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1" w:rsidRPr="00734EA9" w:rsidRDefault="00EE7A51" w:rsidP="00EE7A51">
      <w:pPr>
        <w:spacing w:after="12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bookmarkStart w:id="0" w:name="_GoBack"/>
      <w:r w:rsidRPr="00E008C4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Suppl. Table 3</w:t>
      </w:r>
      <w:bookmarkEnd w:id="0"/>
      <w:r w:rsidRPr="00734E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Laboratory parameters in DILI patients </w:t>
      </w:r>
      <w:r w:rsidRPr="00D2085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with ANA</w:t>
      </w:r>
      <w:r w:rsidRPr="00734EA9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†</w:t>
      </w:r>
      <w:r w:rsidRPr="00734E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Pr="00D2085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titers ≥ 1:400 vs. undetectable or low ANA titers</w:t>
      </w:r>
      <w:r w:rsidRPr="00734E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at the onset of disease </w:t>
      </w:r>
    </w:p>
    <w:tbl>
      <w:tblPr>
        <w:tblW w:w="9355" w:type="dxa"/>
        <w:tblBorders>
          <w:top w:val="single" w:sz="8" w:space="0" w:color="auto"/>
          <w:bottom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268"/>
        <w:gridCol w:w="1134"/>
      </w:tblGrid>
      <w:tr w:rsidR="00EE7A51" w:rsidRPr="00D45271" w:rsidTr="00EE7A51">
        <w:trPr>
          <w:trHeight w:val="30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51" w:rsidRPr="00D45271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A51" w:rsidRPr="00D45271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51" w:rsidRPr="00D2085A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ANA ≥ 1:400</w:t>
            </w:r>
          </w:p>
          <w:p w:rsidR="00EE7A51" w:rsidRPr="00D2085A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(n=41; 28 %)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A51" w:rsidRPr="00D2085A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ANA &lt; 1:400</w:t>
            </w:r>
          </w:p>
          <w:p w:rsidR="00EE7A51" w:rsidRPr="00D2085A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8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(n=103; 72 %)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7A51" w:rsidRPr="00D45271" w:rsidRDefault="00EE7A51" w:rsidP="004D7700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D45271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ALT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 xml:space="preserve">‡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onset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27.1 (1.1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-145.5)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45271" w:rsidRDefault="00EE4586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21.3</w:t>
            </w:r>
            <w:r w:rsidR="00EE7A51"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EE7A5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0.4</w:t>
            </w:r>
            <w:r w:rsidR="00EE7A51"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</w:t>
            </w:r>
            <w:r w:rsidR="00EE7A5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116.5</w:t>
            </w:r>
            <w:r w:rsidR="00EE7A51"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D45271" w:rsidRDefault="00EE4586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0.16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AST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onset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19.</w:t>
            </w:r>
            <w:r w:rsidR="00EE458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1.0-104.0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45271" w:rsidRDefault="00EE4586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12.2</w:t>
            </w:r>
            <w:r w:rsidR="00EE7A51"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EE7A5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0.5</w:t>
            </w:r>
            <w:r w:rsidR="00EE7A51"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-202.2)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2F1AE0" w:rsidRDefault="00EE7A51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1AE0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0.</w:t>
            </w:r>
            <w:r w:rsidR="00EE4586" w:rsidRPr="002F1AE0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05</w:t>
            </w:r>
            <w:r w:rsidR="002F1AE0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*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ALP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¶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onset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1.8 (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0.4-3.8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.5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(0.4-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14.5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734EA9" w:rsidRDefault="00EE4586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0.34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TB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††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onset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D707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6.5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(0.5-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41.5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2.1 (0.1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48.8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EE4586" w:rsidRDefault="002F1AE0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1AE0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0.05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*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INR </w:t>
            </w:r>
            <w:r w:rsidRPr="000D7079">
              <w:rPr>
                <w:rFonts w:asciiTheme="minorHAnsi" w:hAnsiTheme="minorHAnsi" w:cstheme="minorHAnsi"/>
                <w:b/>
                <w:snapToGrid/>
                <w:color w:val="000000" w:themeColor="text1"/>
                <w:sz w:val="18"/>
                <w:szCs w:val="18"/>
                <w:vertAlign w:val="superscript"/>
              </w:rPr>
              <w:t xml:space="preserve">‡‡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onset</w:t>
            </w:r>
            <w:r w:rsidRPr="000D70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.1 (0.9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3.7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.1 (0.8-5.0</w:t>
            </w:r>
            <w:r w:rsidRPr="00D4527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D45271" w:rsidRDefault="00EE4586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0.74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0D7079" w:rsidRDefault="00EE7A51" w:rsidP="00F16771">
            <w:pPr>
              <w:pStyle w:val="MDPI42tablebody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R-Ratio onset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19.3 (0.3-88.1)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45271" w:rsidRDefault="00EE4586" w:rsidP="00F16771">
            <w:pPr>
              <w:pStyle w:val="MDPI42tablebody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15.1</w:t>
            </w:r>
            <w:r w:rsidR="00EE7A5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(0.3-164.6)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D45271" w:rsidRDefault="00EE7A51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0.</w:t>
            </w:r>
            <w:r w:rsidR="00EE458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41</w:t>
            </w:r>
          </w:p>
        </w:tc>
      </w:tr>
      <w:tr w:rsidR="00EE7A51" w:rsidRPr="00D45271" w:rsidTr="00F16771">
        <w:trPr>
          <w:trHeight w:val="307"/>
        </w:trPr>
        <w:tc>
          <w:tcPr>
            <w:tcW w:w="3685" w:type="dxa"/>
            <w:shd w:val="clear" w:color="auto" w:fill="auto"/>
            <w:noWrap/>
            <w:vAlign w:val="center"/>
          </w:tcPr>
          <w:p w:rsidR="00EE7A51" w:rsidRPr="009D35F9" w:rsidRDefault="00EE7A51" w:rsidP="00F16771">
            <w:pPr>
              <w:pStyle w:val="MDPI42tablebody"/>
              <w:spacing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721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Latency between initiation of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drug </w:t>
            </w:r>
            <w:r w:rsidRPr="00721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treatment and onset of liver injury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721276">
              <w:rPr>
                <w:rFonts w:asciiTheme="minorHAnsi" w:hAnsiTheme="minorHAnsi" w:cstheme="minorHAnsi"/>
                <w:b/>
                <w:sz w:val="18"/>
                <w:szCs w:val="18"/>
              </w:rPr>
              <w:t>days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7A51" w:rsidRPr="00D2085A" w:rsidRDefault="00EE7A51" w:rsidP="00F16771">
            <w:pPr>
              <w:pStyle w:val="MDPI42tablebody"/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 (1-1589)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A51" w:rsidRPr="00D2085A" w:rsidRDefault="00EE4586" w:rsidP="00F16771">
            <w:pPr>
              <w:pStyle w:val="MDPI42tablebody"/>
              <w:spacing w:after="120" w:line="312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</w:t>
            </w:r>
            <w:r w:rsidR="00EE7A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(1-1987)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A51" w:rsidRPr="00D2085A" w:rsidRDefault="00EE7A51" w:rsidP="00F16771">
            <w:pPr>
              <w:pStyle w:val="MDPI42tablebod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</w:t>
            </w:r>
            <w:r w:rsidR="00101C8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</w:t>
            </w:r>
          </w:p>
        </w:tc>
      </w:tr>
    </w:tbl>
    <w:p w:rsidR="00EE7A51" w:rsidRPr="00FD66C2" w:rsidRDefault="00EE7A51" w:rsidP="00FD66C2">
      <w:pPr>
        <w:pStyle w:val="Beschriftung"/>
        <w:spacing w:before="40" w:after="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Values are stated as median (range).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</w:t>
      </w:r>
      <w:r w:rsidRPr="00734EA9">
        <w:rPr>
          <w:rFonts w:asciiTheme="minorHAnsi" w:hAnsiTheme="minorHAnsi" w:cstheme="minorHAnsi"/>
          <w:i w:val="0"/>
          <w:color w:val="000000" w:themeColor="text1"/>
          <w:sz w:val="16"/>
          <w:szCs w:val="16"/>
          <w:vertAlign w:val="superscript"/>
          <w:lang w:val="en-US"/>
        </w:rPr>
        <w:t>1</w:t>
      </w:r>
      <w:r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laboratory values are given as times ULN (upper limit of normal);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vertAlign w:val="superscript"/>
          <w:lang w:val="en-US"/>
        </w:rPr>
        <w:t>†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ANA:</w:t>
      </w:r>
      <w:r w:rsidRPr="008D319E">
        <w:rPr>
          <w:rFonts w:asciiTheme="minorHAnsi" w:hAnsiTheme="minorHAnsi" w:cstheme="minorHAnsi"/>
          <w:b/>
          <w:i w:val="0"/>
          <w:color w:val="000000" w:themeColor="text1"/>
          <w:sz w:val="16"/>
          <w:szCs w:val="16"/>
          <w:lang w:val="en-US"/>
        </w:rPr>
        <w:t xml:space="preserve">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antinuclear antibodies;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vertAlign w:val="superscript"/>
          <w:lang w:val="en-US" w:eastAsia="de-DE" w:bidi="en-US"/>
        </w:rPr>
        <w:t xml:space="preserve">‡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lang w:val="en-US" w:eastAsia="de-DE" w:bidi="en-US"/>
        </w:rPr>
        <w:t xml:space="preserve">ALT: alanine aminotransferase; </w:t>
      </w:r>
      <w:r w:rsidRPr="008D319E">
        <w:rPr>
          <w:rFonts w:asciiTheme="minorHAnsi" w:hAnsiTheme="minorHAnsi" w:cstheme="minorHAnsi"/>
          <w:b/>
          <w:i w:val="0"/>
          <w:color w:val="000000" w:themeColor="text1"/>
          <w:sz w:val="16"/>
          <w:szCs w:val="16"/>
          <w:vertAlign w:val="superscript"/>
          <w:lang w:val="en-US"/>
        </w:rPr>
        <w:t xml:space="preserve">§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lang w:val="en-US" w:eastAsia="de-DE" w:bidi="en-US"/>
        </w:rPr>
        <w:t xml:space="preserve">AST: aspartate aminotransferase; </w:t>
      </w:r>
      <w:r w:rsidRPr="008D319E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  <w:lang w:val="en-US"/>
        </w:rPr>
        <w:t>¶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 xml:space="preserve"> ALP: alkaline phosphatase;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vertAlign w:val="superscript"/>
          <w:lang w:val="en-US"/>
        </w:rPr>
        <w:t>††</w:t>
      </w:r>
      <w:r w:rsidRPr="008D319E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 xml:space="preserve"> 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TB: total bilirubin;</w:t>
      </w:r>
      <w:r w:rsidRPr="008D319E">
        <w:rPr>
          <w:rFonts w:asciiTheme="minorHAnsi" w:hAnsiTheme="minorHAnsi" w:cstheme="minorHAnsi"/>
          <w:b/>
          <w:i w:val="0"/>
          <w:color w:val="000000" w:themeColor="text1"/>
          <w:sz w:val="16"/>
          <w:szCs w:val="16"/>
          <w:lang w:val="en-US"/>
        </w:rPr>
        <w:t xml:space="preserve">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vertAlign w:val="superscript"/>
          <w:lang w:val="en-US" w:eastAsia="de-DE" w:bidi="en-US"/>
        </w:rPr>
        <w:t xml:space="preserve">‡‡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lang w:val="en-US" w:eastAsia="de-DE" w:bidi="en-US"/>
        </w:rPr>
        <w:t>INR:</w:t>
      </w:r>
      <w:r w:rsidRPr="008D319E">
        <w:rPr>
          <w:rFonts w:asciiTheme="minorHAnsi" w:hAnsiTheme="minorHAnsi" w:cstheme="minorHAnsi"/>
          <w:b/>
          <w:snapToGrid w:val="0"/>
          <w:color w:val="000000" w:themeColor="text1"/>
          <w:sz w:val="16"/>
          <w:szCs w:val="16"/>
          <w:lang w:val="en-US" w:eastAsia="de-DE" w:bidi="en-US"/>
        </w:rPr>
        <w:t xml:space="preserve"> </w:t>
      </w:r>
      <w:r w:rsidRPr="008D319E">
        <w:rPr>
          <w:rFonts w:asciiTheme="minorHAnsi" w:hAnsiTheme="minorHAnsi" w:cstheme="minorHAnsi"/>
          <w:i w:val="0"/>
          <w:snapToGrid w:val="0"/>
          <w:color w:val="000000" w:themeColor="text1"/>
          <w:sz w:val="16"/>
          <w:szCs w:val="16"/>
          <w:lang w:val="en-US" w:eastAsia="de-DE" w:bidi="en-US"/>
        </w:rPr>
        <w:t>international normalized ratio</w:t>
      </w:r>
      <w:r w:rsidRPr="008D319E">
        <w:rPr>
          <w:rFonts w:asciiTheme="minorHAnsi" w:hAnsiTheme="minorHAnsi" w:cstheme="minorHAnsi"/>
          <w:i w:val="0"/>
          <w:color w:val="000000" w:themeColor="text1"/>
          <w:sz w:val="16"/>
          <w:szCs w:val="16"/>
          <w:lang w:val="en-US"/>
        </w:rPr>
        <w:t>. * shows a statistical significance (p≤0.05).</w:t>
      </w:r>
    </w:p>
    <w:p w:rsidR="002F615F" w:rsidRPr="00EE7A51" w:rsidRDefault="003174CB" w:rsidP="00EE7A51"/>
    <w:sectPr w:rsidR="002F615F" w:rsidRPr="00EE7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5616"/>
    <w:multiLevelType w:val="hybridMultilevel"/>
    <w:tmpl w:val="AD54F77E"/>
    <w:lvl w:ilvl="0" w:tplc="3448F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9"/>
    <w:rsid w:val="000D7079"/>
    <w:rsid w:val="00101C8A"/>
    <w:rsid w:val="0015431C"/>
    <w:rsid w:val="00227D59"/>
    <w:rsid w:val="002F1AE0"/>
    <w:rsid w:val="00314282"/>
    <w:rsid w:val="003174CB"/>
    <w:rsid w:val="006219B9"/>
    <w:rsid w:val="00721276"/>
    <w:rsid w:val="00734EA9"/>
    <w:rsid w:val="007659BC"/>
    <w:rsid w:val="007A62F3"/>
    <w:rsid w:val="00847B66"/>
    <w:rsid w:val="009D25A4"/>
    <w:rsid w:val="00A11B35"/>
    <w:rsid w:val="00BF0AE5"/>
    <w:rsid w:val="00D45271"/>
    <w:rsid w:val="00D47059"/>
    <w:rsid w:val="00E008C4"/>
    <w:rsid w:val="00E01202"/>
    <w:rsid w:val="00E91561"/>
    <w:rsid w:val="00EE4586"/>
    <w:rsid w:val="00EE7A51"/>
    <w:rsid w:val="00F01D52"/>
    <w:rsid w:val="00F16771"/>
    <w:rsid w:val="00F24589"/>
    <w:rsid w:val="00F5619E"/>
    <w:rsid w:val="00F73447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D3A72-7C6C-449C-A1B0-160848A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2tablebody">
    <w:name w:val="MDPI_4.2_table_body"/>
    <w:qFormat/>
    <w:rsid w:val="00D4705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59"/>
    <w:rPr>
      <w:rFonts w:ascii="Segoe UI" w:eastAsia="Times New Roman" w:hAnsi="Segoe UI" w:cs="Segoe UI"/>
      <w:sz w:val="18"/>
      <w:szCs w:val="18"/>
      <w:lang w:val="en-NZ"/>
    </w:rPr>
  </w:style>
  <w:style w:type="paragraph" w:styleId="Beschriftung">
    <w:name w:val="caption"/>
    <w:basedOn w:val="Standard"/>
    <w:next w:val="Standard"/>
    <w:uiPriority w:val="35"/>
    <w:unhideWhenUsed/>
    <w:qFormat/>
    <w:rsid w:val="00D4527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saweber</dc:creator>
  <cp:keywords/>
  <dc:description/>
  <cp:lastModifiedBy>saweber</cp:lastModifiedBy>
  <cp:revision>3</cp:revision>
  <dcterms:created xsi:type="dcterms:W3CDTF">2020-09-09T11:16:00Z</dcterms:created>
  <dcterms:modified xsi:type="dcterms:W3CDTF">2020-09-09T11:16:00Z</dcterms:modified>
</cp:coreProperties>
</file>