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47E9" w14:textId="48926EE0" w:rsidR="003F6EB4" w:rsidRPr="008B1D3A" w:rsidRDefault="0022013C" w:rsidP="003F6EB4">
      <w:pPr>
        <w:pStyle w:val="PlainText"/>
        <w:rPr>
          <w:rFonts w:cs="Times New Roman"/>
          <w:b/>
          <w:bCs/>
          <w:iCs/>
          <w:sz w:val="32"/>
          <w:szCs w:val="32"/>
        </w:rPr>
      </w:pPr>
      <w:bookmarkStart w:id="0" w:name="_Hlk50970855"/>
      <w:r>
        <w:rPr>
          <w:rFonts w:cs="Times New Roman"/>
          <w:b/>
          <w:bCs/>
          <w:iCs/>
          <w:sz w:val="32"/>
          <w:szCs w:val="32"/>
        </w:rPr>
        <w:t>Online Supplementary Table 2</w:t>
      </w:r>
    </w:p>
    <w:bookmarkEnd w:id="0"/>
    <w:p w14:paraId="5B88D933" w14:textId="77777777" w:rsidR="003F6EB4" w:rsidRPr="008B1D3A" w:rsidRDefault="003F6EB4" w:rsidP="003F6EB4">
      <w:pPr>
        <w:pStyle w:val="PlainText"/>
        <w:rPr>
          <w:rFonts w:cs="Times New Roman"/>
          <w:iCs/>
          <w:sz w:val="24"/>
          <w:szCs w:val="24"/>
        </w:rPr>
      </w:pPr>
    </w:p>
    <w:p w14:paraId="72B06E70" w14:textId="77777777" w:rsidR="0086570E" w:rsidRPr="008B1D3A" w:rsidRDefault="0086570E" w:rsidP="003F6EB4">
      <w:pPr>
        <w:pStyle w:val="PlainText"/>
        <w:rPr>
          <w:rFonts w:cs="Times New Roman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150"/>
        <w:gridCol w:w="1985"/>
      </w:tblGrid>
      <w:tr w:rsidR="003F6EB4" w:rsidRPr="008B1D3A" w14:paraId="65519E51" w14:textId="77777777" w:rsidTr="005C5C56">
        <w:tc>
          <w:tcPr>
            <w:tcW w:w="4390" w:type="dxa"/>
          </w:tcPr>
          <w:p w14:paraId="33193C88" w14:textId="77777777" w:rsidR="003F6EB4" w:rsidRPr="00423DFA" w:rsidRDefault="003F6EB4" w:rsidP="00C37F93">
            <w:pPr>
              <w:pStyle w:val="PlainText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423DFA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Risk factor and condition </w:t>
            </w:r>
          </w:p>
        </w:tc>
        <w:tc>
          <w:tcPr>
            <w:tcW w:w="1417" w:type="dxa"/>
          </w:tcPr>
          <w:p w14:paraId="6A3409A4" w14:textId="77777777" w:rsidR="003F6EB4" w:rsidRPr="00423DFA" w:rsidRDefault="003F6EB4" w:rsidP="00C37F93">
            <w:pPr>
              <w:pStyle w:val="PlainText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423DFA">
              <w:rPr>
                <w:rFonts w:cs="Times New Roman"/>
                <w:b/>
                <w:bCs/>
                <w:iCs/>
                <w:sz w:val="24"/>
                <w:szCs w:val="24"/>
              </w:rPr>
              <w:t>Rate (%)</w:t>
            </w:r>
          </w:p>
        </w:tc>
        <w:tc>
          <w:tcPr>
            <w:tcW w:w="1150" w:type="dxa"/>
          </w:tcPr>
          <w:p w14:paraId="6962C96B" w14:textId="77777777" w:rsidR="003F6EB4" w:rsidRPr="00423DFA" w:rsidRDefault="003F6EB4" w:rsidP="00C37F93">
            <w:pPr>
              <w:pStyle w:val="PlainText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423DFA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Country </w:t>
            </w:r>
          </w:p>
        </w:tc>
        <w:tc>
          <w:tcPr>
            <w:tcW w:w="1985" w:type="dxa"/>
          </w:tcPr>
          <w:p w14:paraId="0DD5FCD8" w14:textId="46E7FB62" w:rsidR="003F6EB4" w:rsidRPr="00423DFA" w:rsidRDefault="003F6EB4" w:rsidP="00C37F93">
            <w:pPr>
              <w:pStyle w:val="PlainText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423DFA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Author Year </w:t>
            </w:r>
          </w:p>
        </w:tc>
      </w:tr>
      <w:tr w:rsidR="003F6EB4" w:rsidRPr="008B1D3A" w14:paraId="50643493" w14:textId="77777777" w:rsidTr="005C5C56">
        <w:tc>
          <w:tcPr>
            <w:tcW w:w="4390" w:type="dxa"/>
          </w:tcPr>
          <w:p w14:paraId="07337DF1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High TSB, transient ‘BE”, abnormal ABR</w:t>
            </w:r>
          </w:p>
        </w:tc>
        <w:tc>
          <w:tcPr>
            <w:tcW w:w="1417" w:type="dxa"/>
          </w:tcPr>
          <w:p w14:paraId="5D734B55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34%</w:t>
            </w:r>
          </w:p>
        </w:tc>
        <w:tc>
          <w:tcPr>
            <w:tcW w:w="1150" w:type="dxa"/>
          </w:tcPr>
          <w:p w14:paraId="2B1DF258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USA</w:t>
            </w:r>
          </w:p>
        </w:tc>
        <w:tc>
          <w:tcPr>
            <w:tcW w:w="1985" w:type="dxa"/>
          </w:tcPr>
          <w:p w14:paraId="36E6D41D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Amin 2005</w:t>
            </w:r>
          </w:p>
        </w:tc>
      </w:tr>
      <w:tr w:rsidR="003F6EB4" w:rsidRPr="008B1D3A" w14:paraId="6DBA861F" w14:textId="77777777" w:rsidTr="005C5C56">
        <w:tc>
          <w:tcPr>
            <w:tcW w:w="4390" w:type="dxa"/>
          </w:tcPr>
          <w:p w14:paraId="2F41D5A7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High TSB, ‘ABE” </w:t>
            </w:r>
          </w:p>
        </w:tc>
        <w:tc>
          <w:tcPr>
            <w:tcW w:w="1417" w:type="dxa"/>
          </w:tcPr>
          <w:p w14:paraId="0BAE30E0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8.5%</w:t>
            </w:r>
          </w:p>
        </w:tc>
        <w:tc>
          <w:tcPr>
            <w:tcW w:w="1150" w:type="dxa"/>
          </w:tcPr>
          <w:p w14:paraId="3495C69C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USA</w:t>
            </w:r>
          </w:p>
        </w:tc>
        <w:tc>
          <w:tcPr>
            <w:tcW w:w="1985" w:type="dxa"/>
          </w:tcPr>
          <w:p w14:paraId="70F12237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8B1D3A">
              <w:rPr>
                <w:rFonts w:cs="Times New Roman"/>
                <w:iCs/>
                <w:sz w:val="24"/>
                <w:szCs w:val="24"/>
              </w:rPr>
              <w:t>Kuzniewisc</w:t>
            </w:r>
            <w:proofErr w:type="spellEnd"/>
            <w:r w:rsidRPr="008B1D3A">
              <w:rPr>
                <w:rFonts w:cs="Times New Roman"/>
                <w:iCs/>
                <w:sz w:val="24"/>
                <w:szCs w:val="24"/>
              </w:rPr>
              <w:t xml:space="preserve"> 2016</w:t>
            </w:r>
          </w:p>
        </w:tc>
      </w:tr>
      <w:tr w:rsidR="003F6EB4" w:rsidRPr="008B1D3A" w14:paraId="42185F01" w14:textId="77777777" w:rsidTr="005C5C56">
        <w:tc>
          <w:tcPr>
            <w:tcW w:w="4390" w:type="dxa"/>
          </w:tcPr>
          <w:p w14:paraId="27B85411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“Severe hyperbilirubinaemia” </w:t>
            </w:r>
          </w:p>
        </w:tc>
        <w:tc>
          <w:tcPr>
            <w:tcW w:w="1417" w:type="dxa"/>
          </w:tcPr>
          <w:p w14:paraId="657DCCF1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14.7%</w:t>
            </w:r>
          </w:p>
        </w:tc>
        <w:tc>
          <w:tcPr>
            <w:tcW w:w="1150" w:type="dxa"/>
          </w:tcPr>
          <w:p w14:paraId="262C1F4E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Australia </w:t>
            </w:r>
          </w:p>
        </w:tc>
        <w:tc>
          <w:tcPr>
            <w:tcW w:w="1985" w:type="dxa"/>
          </w:tcPr>
          <w:p w14:paraId="05B9C071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McGillivray 2018</w:t>
            </w:r>
          </w:p>
        </w:tc>
      </w:tr>
      <w:tr w:rsidR="003F6EB4" w:rsidRPr="008B1D3A" w14:paraId="6A460761" w14:textId="77777777" w:rsidTr="005C5C56">
        <w:tc>
          <w:tcPr>
            <w:tcW w:w="4390" w:type="dxa"/>
          </w:tcPr>
          <w:p w14:paraId="3C018CCB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High TSB, “BE”</w:t>
            </w:r>
          </w:p>
        </w:tc>
        <w:tc>
          <w:tcPr>
            <w:tcW w:w="1417" w:type="dxa"/>
          </w:tcPr>
          <w:p w14:paraId="22832303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14%, 30% </w:t>
            </w:r>
          </w:p>
        </w:tc>
        <w:tc>
          <w:tcPr>
            <w:tcW w:w="1150" w:type="dxa"/>
          </w:tcPr>
          <w:p w14:paraId="1BE2E6B6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Egypt </w:t>
            </w:r>
          </w:p>
        </w:tc>
        <w:tc>
          <w:tcPr>
            <w:tcW w:w="1985" w:type="dxa"/>
          </w:tcPr>
          <w:p w14:paraId="6AB98591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8B1D3A">
              <w:rPr>
                <w:rFonts w:cs="Times New Roman"/>
                <w:iCs/>
                <w:sz w:val="24"/>
                <w:szCs w:val="24"/>
              </w:rPr>
              <w:t>Gamaleldin</w:t>
            </w:r>
            <w:proofErr w:type="spellEnd"/>
            <w:r w:rsidRPr="008B1D3A">
              <w:rPr>
                <w:rFonts w:cs="Times New Roman"/>
                <w:iCs/>
                <w:sz w:val="24"/>
                <w:szCs w:val="24"/>
              </w:rPr>
              <w:t xml:space="preserve"> 2011, </w:t>
            </w:r>
            <w:proofErr w:type="spellStart"/>
            <w:r w:rsidRPr="008B1D3A">
              <w:rPr>
                <w:rFonts w:cs="Times New Roman"/>
                <w:iCs/>
                <w:sz w:val="24"/>
                <w:szCs w:val="24"/>
              </w:rPr>
              <w:t>Iskander</w:t>
            </w:r>
            <w:proofErr w:type="spellEnd"/>
            <w:r w:rsidRPr="008B1D3A">
              <w:rPr>
                <w:rFonts w:cs="Times New Roman"/>
                <w:iCs/>
                <w:sz w:val="24"/>
                <w:szCs w:val="24"/>
              </w:rPr>
              <w:t xml:space="preserve"> 2014</w:t>
            </w:r>
          </w:p>
        </w:tc>
      </w:tr>
      <w:tr w:rsidR="003F6EB4" w:rsidRPr="008B1D3A" w14:paraId="6CE481EB" w14:textId="77777777" w:rsidTr="005C5C56">
        <w:tc>
          <w:tcPr>
            <w:tcW w:w="4390" w:type="dxa"/>
          </w:tcPr>
          <w:p w14:paraId="1B96102C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High TSB, “ABE” </w:t>
            </w:r>
          </w:p>
        </w:tc>
        <w:tc>
          <w:tcPr>
            <w:tcW w:w="1417" w:type="dxa"/>
          </w:tcPr>
          <w:p w14:paraId="66F72C18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22%</w:t>
            </w:r>
          </w:p>
        </w:tc>
        <w:tc>
          <w:tcPr>
            <w:tcW w:w="1150" w:type="dxa"/>
          </w:tcPr>
          <w:p w14:paraId="336372D4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Iraq</w:t>
            </w:r>
          </w:p>
        </w:tc>
        <w:tc>
          <w:tcPr>
            <w:tcW w:w="1985" w:type="dxa"/>
          </w:tcPr>
          <w:p w14:paraId="09390E41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Hameed 2001</w:t>
            </w:r>
          </w:p>
        </w:tc>
      </w:tr>
      <w:tr w:rsidR="003F6EB4" w:rsidRPr="008B1D3A" w14:paraId="288030F5" w14:textId="77777777" w:rsidTr="005C5C56">
        <w:tc>
          <w:tcPr>
            <w:tcW w:w="4390" w:type="dxa"/>
          </w:tcPr>
          <w:p w14:paraId="1558F7F4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High TSB, “ABE” </w:t>
            </w:r>
          </w:p>
        </w:tc>
        <w:tc>
          <w:tcPr>
            <w:tcW w:w="1417" w:type="dxa"/>
          </w:tcPr>
          <w:p w14:paraId="112D0E8E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44% </w:t>
            </w:r>
          </w:p>
        </w:tc>
        <w:tc>
          <w:tcPr>
            <w:tcW w:w="1150" w:type="dxa"/>
          </w:tcPr>
          <w:p w14:paraId="089418EF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India </w:t>
            </w:r>
          </w:p>
        </w:tc>
        <w:tc>
          <w:tcPr>
            <w:tcW w:w="1985" w:type="dxa"/>
          </w:tcPr>
          <w:p w14:paraId="348D36E8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Kumar 2016</w:t>
            </w:r>
          </w:p>
        </w:tc>
      </w:tr>
      <w:tr w:rsidR="003F6EB4" w:rsidRPr="008B1D3A" w14:paraId="20C770A5" w14:textId="77777777" w:rsidTr="005C5C56">
        <w:tc>
          <w:tcPr>
            <w:tcW w:w="4390" w:type="dxa"/>
          </w:tcPr>
          <w:p w14:paraId="58E2F634" w14:textId="3C50F1E9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ABO </w:t>
            </w:r>
            <w:r w:rsidR="0086570E" w:rsidRPr="008B1D3A">
              <w:rPr>
                <w:rFonts w:cs="Times New Roman"/>
                <w:iCs/>
                <w:sz w:val="24"/>
                <w:szCs w:val="24"/>
              </w:rPr>
              <w:t>incompatibility</w:t>
            </w:r>
            <w:r w:rsidRPr="008B1D3A">
              <w:rPr>
                <w:rFonts w:cs="Times New Roman"/>
                <w:iCs/>
                <w:sz w:val="24"/>
                <w:szCs w:val="24"/>
              </w:rPr>
              <w:t>, “ABE”</w:t>
            </w:r>
          </w:p>
        </w:tc>
        <w:tc>
          <w:tcPr>
            <w:tcW w:w="1417" w:type="dxa"/>
          </w:tcPr>
          <w:p w14:paraId="160C0282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348 in a year</w:t>
            </w:r>
          </w:p>
        </w:tc>
        <w:tc>
          <w:tcPr>
            <w:tcW w:w="1150" w:type="dxa"/>
          </w:tcPr>
          <w:p w14:paraId="65C8F1FE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China </w:t>
            </w:r>
          </w:p>
        </w:tc>
        <w:tc>
          <w:tcPr>
            <w:tcW w:w="1985" w:type="dxa"/>
          </w:tcPr>
          <w:p w14:paraId="68F88306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Subspeciality 2012</w:t>
            </w:r>
          </w:p>
        </w:tc>
      </w:tr>
      <w:tr w:rsidR="003F6EB4" w:rsidRPr="008B1D3A" w14:paraId="3CD292A3" w14:textId="77777777" w:rsidTr="005C5C56">
        <w:tc>
          <w:tcPr>
            <w:tcW w:w="4390" w:type="dxa"/>
          </w:tcPr>
          <w:p w14:paraId="1E394043" w14:textId="7C1AB599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ABO </w:t>
            </w:r>
            <w:r w:rsidR="0086570E" w:rsidRPr="008B1D3A">
              <w:rPr>
                <w:rFonts w:cs="Times New Roman"/>
                <w:iCs/>
                <w:sz w:val="24"/>
                <w:szCs w:val="24"/>
              </w:rPr>
              <w:t>incompatibility</w:t>
            </w:r>
            <w:r w:rsidRPr="008B1D3A">
              <w:rPr>
                <w:rFonts w:cs="Times New Roman"/>
                <w:iCs/>
                <w:sz w:val="24"/>
                <w:szCs w:val="24"/>
              </w:rPr>
              <w:t>, “ABE”</w:t>
            </w:r>
          </w:p>
        </w:tc>
        <w:tc>
          <w:tcPr>
            <w:tcW w:w="1417" w:type="dxa"/>
          </w:tcPr>
          <w:p w14:paraId="15630769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53% </w:t>
            </w:r>
          </w:p>
        </w:tc>
        <w:tc>
          <w:tcPr>
            <w:tcW w:w="1150" w:type="dxa"/>
          </w:tcPr>
          <w:p w14:paraId="131FFC0C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China </w:t>
            </w:r>
          </w:p>
        </w:tc>
        <w:tc>
          <w:tcPr>
            <w:tcW w:w="1985" w:type="dxa"/>
          </w:tcPr>
          <w:p w14:paraId="4D1514FA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Yu 2017 </w:t>
            </w:r>
          </w:p>
        </w:tc>
      </w:tr>
      <w:tr w:rsidR="003F6EB4" w:rsidRPr="008B1D3A" w14:paraId="7F1D76C4" w14:textId="77777777" w:rsidTr="005C5C56">
        <w:tc>
          <w:tcPr>
            <w:tcW w:w="4390" w:type="dxa"/>
          </w:tcPr>
          <w:p w14:paraId="75504C8E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High TSB, “BE” </w:t>
            </w:r>
          </w:p>
        </w:tc>
        <w:tc>
          <w:tcPr>
            <w:tcW w:w="1417" w:type="dxa"/>
          </w:tcPr>
          <w:p w14:paraId="2495DF85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3.8%</w:t>
            </w:r>
          </w:p>
        </w:tc>
        <w:tc>
          <w:tcPr>
            <w:tcW w:w="1150" w:type="dxa"/>
          </w:tcPr>
          <w:p w14:paraId="24ACB594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Iran </w:t>
            </w:r>
          </w:p>
        </w:tc>
        <w:tc>
          <w:tcPr>
            <w:tcW w:w="1985" w:type="dxa"/>
          </w:tcPr>
          <w:p w14:paraId="10BEB474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8B1D3A">
              <w:rPr>
                <w:rFonts w:cs="Times New Roman"/>
                <w:iCs/>
                <w:sz w:val="24"/>
                <w:szCs w:val="24"/>
              </w:rPr>
              <w:t>Arkadani</w:t>
            </w:r>
            <w:proofErr w:type="spellEnd"/>
            <w:r w:rsidRPr="008B1D3A">
              <w:rPr>
                <w:rFonts w:cs="Times New Roman"/>
                <w:iCs/>
                <w:sz w:val="24"/>
                <w:szCs w:val="24"/>
              </w:rPr>
              <w:t xml:space="preserve"> 2011</w:t>
            </w:r>
          </w:p>
        </w:tc>
      </w:tr>
      <w:tr w:rsidR="003F6EB4" w:rsidRPr="008B1D3A" w14:paraId="392BA5D6" w14:textId="77777777" w:rsidTr="005C5C56">
        <w:tc>
          <w:tcPr>
            <w:tcW w:w="4390" w:type="dxa"/>
          </w:tcPr>
          <w:p w14:paraId="286238FD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High TSB needing phototherapy, “ABE”</w:t>
            </w:r>
          </w:p>
        </w:tc>
        <w:tc>
          <w:tcPr>
            <w:tcW w:w="1417" w:type="dxa"/>
          </w:tcPr>
          <w:p w14:paraId="5B30F815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>21.2%</w:t>
            </w:r>
          </w:p>
        </w:tc>
        <w:tc>
          <w:tcPr>
            <w:tcW w:w="1150" w:type="dxa"/>
          </w:tcPr>
          <w:p w14:paraId="00AA23FC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r w:rsidRPr="008B1D3A">
              <w:rPr>
                <w:rFonts w:cs="Times New Roman"/>
                <w:iCs/>
                <w:sz w:val="24"/>
                <w:szCs w:val="24"/>
              </w:rPr>
              <w:t xml:space="preserve">Myanmar </w:t>
            </w:r>
          </w:p>
        </w:tc>
        <w:tc>
          <w:tcPr>
            <w:tcW w:w="1985" w:type="dxa"/>
          </w:tcPr>
          <w:p w14:paraId="1A3332AC" w14:textId="77777777" w:rsidR="003F6EB4" w:rsidRPr="008B1D3A" w:rsidRDefault="003F6EB4" w:rsidP="00C37F93">
            <w:pPr>
              <w:pStyle w:val="PlainTex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8B1D3A">
              <w:rPr>
                <w:rFonts w:cs="Times New Roman"/>
                <w:iCs/>
                <w:sz w:val="24"/>
                <w:szCs w:val="24"/>
              </w:rPr>
              <w:t>Arnolda</w:t>
            </w:r>
            <w:proofErr w:type="spellEnd"/>
            <w:r w:rsidRPr="008B1D3A">
              <w:rPr>
                <w:rFonts w:cs="Times New Roman"/>
                <w:iCs/>
                <w:sz w:val="24"/>
                <w:szCs w:val="24"/>
              </w:rPr>
              <w:t xml:space="preserve"> 2015</w:t>
            </w:r>
          </w:p>
        </w:tc>
      </w:tr>
    </w:tbl>
    <w:p w14:paraId="5A85CE4E" w14:textId="77777777" w:rsidR="003F6EB4" w:rsidRPr="008B1D3A" w:rsidRDefault="003F6EB4" w:rsidP="003F6EB4">
      <w:pPr>
        <w:pStyle w:val="PlainText"/>
        <w:rPr>
          <w:rFonts w:cs="Times New Roman"/>
          <w:iCs/>
          <w:sz w:val="24"/>
          <w:szCs w:val="24"/>
        </w:rPr>
      </w:pPr>
    </w:p>
    <w:p w14:paraId="76CE087A" w14:textId="1E4DC262" w:rsidR="00381B89" w:rsidRPr="0086570E" w:rsidRDefault="00381B89" w:rsidP="00381B89">
      <w:pPr>
        <w:pStyle w:val="PlainText"/>
        <w:rPr>
          <w:rFonts w:cs="Times New Roman"/>
          <w:b/>
          <w:bCs/>
          <w:iCs/>
          <w:sz w:val="24"/>
          <w:szCs w:val="24"/>
        </w:rPr>
      </w:pPr>
      <w:r w:rsidRPr="00DA2E3E">
        <w:rPr>
          <w:rFonts w:cs="Times New Roman"/>
          <w:b/>
          <w:sz w:val="24"/>
          <w:szCs w:val="24"/>
        </w:rPr>
        <w:t xml:space="preserve">Table </w:t>
      </w:r>
      <w:r w:rsidR="00B74A60">
        <w:rPr>
          <w:rFonts w:cs="Times New Roman"/>
          <w:b/>
          <w:sz w:val="24"/>
          <w:szCs w:val="24"/>
        </w:rPr>
        <w:t>2</w:t>
      </w:r>
      <w:r w:rsidRPr="00DA2E3E">
        <w:rPr>
          <w:rFonts w:cs="Times New Roman"/>
          <w:b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t>Selected r</w:t>
      </w:r>
      <w:r w:rsidRPr="0086570E">
        <w:rPr>
          <w:rFonts w:cs="Times New Roman"/>
          <w:b/>
          <w:bCs/>
          <w:iCs/>
          <w:sz w:val="24"/>
          <w:szCs w:val="24"/>
        </w:rPr>
        <w:t xml:space="preserve">eferences on the incidence of conditions </w:t>
      </w:r>
      <w:r>
        <w:rPr>
          <w:rFonts w:cs="Times New Roman"/>
          <w:b/>
          <w:bCs/>
          <w:iCs/>
          <w:sz w:val="24"/>
          <w:szCs w:val="24"/>
        </w:rPr>
        <w:t xml:space="preserve">covered </w:t>
      </w:r>
      <w:r w:rsidRPr="0086570E">
        <w:rPr>
          <w:rFonts w:cs="Times New Roman"/>
          <w:b/>
          <w:bCs/>
          <w:iCs/>
          <w:sz w:val="24"/>
          <w:szCs w:val="24"/>
        </w:rPr>
        <w:t xml:space="preserve">in the spectrum of Kernicterus Spectrum Disorder (KSD) among high-risk groups in different countries. </w:t>
      </w:r>
    </w:p>
    <w:p w14:paraId="1A1BBF29" w14:textId="5928389D" w:rsidR="00381B89" w:rsidRDefault="00381B89" w:rsidP="00381B89">
      <w:pPr>
        <w:rPr>
          <w:b/>
        </w:rPr>
      </w:pPr>
    </w:p>
    <w:p w14:paraId="5A487A79" w14:textId="166083FA" w:rsidR="003F6EB4" w:rsidRPr="00381B89" w:rsidRDefault="003F6EB4" w:rsidP="003F6EB4">
      <w:pPr>
        <w:pStyle w:val="PlainText"/>
        <w:rPr>
          <w:rFonts w:cs="Times New Roman"/>
          <w:b/>
          <w:bCs/>
          <w:iCs/>
          <w:sz w:val="24"/>
          <w:szCs w:val="24"/>
        </w:rPr>
      </w:pPr>
      <w:r w:rsidRPr="00381B89">
        <w:rPr>
          <w:rFonts w:cs="Times New Roman"/>
          <w:b/>
          <w:bCs/>
          <w:iCs/>
          <w:sz w:val="24"/>
          <w:szCs w:val="24"/>
        </w:rPr>
        <w:t xml:space="preserve">*ABE: acute bilirubin encephalopathy, BE: bilirubin encephalopathy </w:t>
      </w:r>
    </w:p>
    <w:p w14:paraId="6FCB62A7" w14:textId="77777777" w:rsidR="0086570E" w:rsidRDefault="0086570E" w:rsidP="003F6EB4">
      <w:pPr>
        <w:rPr>
          <w:b/>
        </w:rPr>
      </w:pPr>
    </w:p>
    <w:p w14:paraId="28AA3FA9" w14:textId="77777777" w:rsidR="0086570E" w:rsidRDefault="0086570E" w:rsidP="003F6EB4">
      <w:pPr>
        <w:rPr>
          <w:b/>
        </w:rPr>
      </w:pPr>
    </w:p>
    <w:p w14:paraId="7DFC6C1F" w14:textId="68949F25" w:rsidR="003F6EB4" w:rsidRPr="008B1D3A" w:rsidRDefault="003F6EB4" w:rsidP="003F6EB4">
      <w:pPr>
        <w:rPr>
          <w:b/>
        </w:rPr>
      </w:pPr>
      <w:r w:rsidRPr="008B1D3A">
        <w:rPr>
          <w:b/>
        </w:rPr>
        <w:t>References</w:t>
      </w:r>
    </w:p>
    <w:p w14:paraId="57CCD134" w14:textId="77777777" w:rsidR="003F6EB4" w:rsidRPr="008B1D3A" w:rsidRDefault="003F6EB4" w:rsidP="003F6EB4">
      <w:r w:rsidRPr="008B1D3A">
        <w:t>1.</w:t>
      </w:r>
      <w:r w:rsidRPr="008B1D3A">
        <w:tab/>
      </w:r>
      <w:proofErr w:type="spellStart"/>
      <w:r w:rsidRPr="008B1D3A">
        <w:t>Sgro</w:t>
      </w:r>
      <w:proofErr w:type="spellEnd"/>
      <w:r w:rsidRPr="008B1D3A">
        <w:t xml:space="preserve"> M, Kandasamy S, Campbell DM, </w:t>
      </w:r>
      <w:proofErr w:type="spellStart"/>
      <w:r w:rsidRPr="008B1D3A">
        <w:t>Ofner</w:t>
      </w:r>
      <w:proofErr w:type="spellEnd"/>
      <w:r w:rsidRPr="008B1D3A">
        <w:t xml:space="preserve"> M. Comparing rate of severe neonatal hyperbilirubinemia in three Western industrialized populations: Canada, the United Kingdom &amp; Ireland, and Switzerland. Paediatrics and Child Health (Canada). 2014;19(6</w:t>
      </w:r>
      <w:proofErr w:type="gramStart"/>
      <w:r w:rsidRPr="008B1D3A">
        <w:t>):e</w:t>
      </w:r>
      <w:proofErr w:type="gramEnd"/>
      <w:r w:rsidRPr="008B1D3A">
        <w:t>92-e3.</w:t>
      </w:r>
    </w:p>
    <w:p w14:paraId="6782A01D" w14:textId="77777777" w:rsidR="003F6EB4" w:rsidRPr="008B1D3A" w:rsidRDefault="003F6EB4" w:rsidP="003F6EB4">
      <w:r w:rsidRPr="008B1D3A">
        <w:t>2.</w:t>
      </w:r>
      <w:r w:rsidRPr="008B1D3A">
        <w:tab/>
        <w:t xml:space="preserve">Amin SB, </w:t>
      </w:r>
      <w:proofErr w:type="spellStart"/>
      <w:r w:rsidRPr="008B1D3A">
        <w:t>Charafeddine</w:t>
      </w:r>
      <w:proofErr w:type="spellEnd"/>
      <w:r w:rsidRPr="008B1D3A">
        <w:t xml:space="preserve"> L, </w:t>
      </w:r>
      <w:proofErr w:type="spellStart"/>
      <w:r w:rsidRPr="008B1D3A">
        <w:t>Guillet</w:t>
      </w:r>
      <w:proofErr w:type="spellEnd"/>
      <w:r w:rsidRPr="008B1D3A">
        <w:t xml:space="preserve"> R. Transient bilirubin encephalopathy and apnea of prematurity in 28 to 32 weeks gestational age infants. Journal of </w:t>
      </w:r>
      <w:proofErr w:type="gramStart"/>
      <w:r w:rsidRPr="008B1D3A">
        <w:t>perinatology :</w:t>
      </w:r>
      <w:proofErr w:type="gramEnd"/>
      <w:r w:rsidRPr="008B1D3A">
        <w:t xml:space="preserve"> official journal of the California Perinatal Association. 2005;25(6):386-90.</w:t>
      </w:r>
    </w:p>
    <w:p w14:paraId="19456BC7" w14:textId="77777777" w:rsidR="003F6EB4" w:rsidRPr="008B1D3A" w:rsidRDefault="003F6EB4" w:rsidP="003F6EB4">
      <w:r w:rsidRPr="008B1D3A">
        <w:t>3.</w:t>
      </w:r>
      <w:r w:rsidRPr="008B1D3A">
        <w:tab/>
      </w:r>
      <w:proofErr w:type="spellStart"/>
      <w:r w:rsidRPr="008B1D3A">
        <w:t>Kuzniewicz</w:t>
      </w:r>
      <w:proofErr w:type="spellEnd"/>
      <w:r w:rsidRPr="008B1D3A">
        <w:t xml:space="preserve"> MW, Wickremasinghe AC, Wu YW, McCulloch CE, Walsh EM, Wi S, et al. Incidence, etiology, and outcomes of hazardous hyperbilirubinemia in newborns. Pediatrics. 2014;134(3):504-9.</w:t>
      </w:r>
    </w:p>
    <w:p w14:paraId="174472B5" w14:textId="77777777" w:rsidR="003F6EB4" w:rsidRPr="008B1D3A" w:rsidRDefault="003F6EB4" w:rsidP="003F6EB4">
      <w:r w:rsidRPr="008B1D3A">
        <w:t>4.</w:t>
      </w:r>
      <w:r w:rsidRPr="008B1D3A">
        <w:tab/>
        <w:t xml:space="preserve">McGillivray AJ, </w:t>
      </w:r>
      <w:proofErr w:type="spellStart"/>
      <w:r w:rsidRPr="008B1D3A">
        <w:t>Polverino</w:t>
      </w:r>
      <w:proofErr w:type="spellEnd"/>
      <w:r w:rsidRPr="008B1D3A">
        <w:t xml:space="preserve"> J, Badawi N, Evans N. Long-term neurodevelopmental outcomes following extreme neonatal hyperbilirubinaemia in Australian infants born between 2010 and 2013. Journal of Paediatrics and Child Health. </w:t>
      </w:r>
      <w:proofErr w:type="gramStart"/>
      <w:r w:rsidRPr="008B1D3A">
        <w:t>2018;54:91</w:t>
      </w:r>
      <w:proofErr w:type="gramEnd"/>
      <w:r w:rsidRPr="008B1D3A">
        <w:t>.</w:t>
      </w:r>
    </w:p>
    <w:p w14:paraId="37F1532F" w14:textId="77777777" w:rsidR="003F6EB4" w:rsidRPr="008B1D3A" w:rsidRDefault="003F6EB4" w:rsidP="003F6EB4">
      <w:r w:rsidRPr="008B1D3A">
        <w:t>5.</w:t>
      </w:r>
      <w:r w:rsidRPr="008B1D3A">
        <w:tab/>
      </w:r>
      <w:proofErr w:type="spellStart"/>
      <w:r w:rsidRPr="008B1D3A">
        <w:t>Gamaleldin</w:t>
      </w:r>
      <w:proofErr w:type="spellEnd"/>
      <w:r w:rsidRPr="008B1D3A">
        <w:t xml:space="preserve"> R, </w:t>
      </w:r>
      <w:proofErr w:type="spellStart"/>
      <w:r w:rsidRPr="008B1D3A">
        <w:t>Iskander</w:t>
      </w:r>
      <w:proofErr w:type="spellEnd"/>
      <w:r w:rsidRPr="008B1D3A">
        <w:t xml:space="preserve"> I, </w:t>
      </w:r>
      <w:proofErr w:type="spellStart"/>
      <w:r w:rsidRPr="008B1D3A">
        <w:t>Seoud</w:t>
      </w:r>
      <w:proofErr w:type="spellEnd"/>
      <w:r w:rsidRPr="008B1D3A">
        <w:t xml:space="preserve"> I, </w:t>
      </w:r>
      <w:proofErr w:type="spellStart"/>
      <w:r w:rsidRPr="008B1D3A">
        <w:t>Aboraya</w:t>
      </w:r>
      <w:proofErr w:type="spellEnd"/>
      <w:r w:rsidRPr="008B1D3A">
        <w:t xml:space="preserve"> H, </w:t>
      </w:r>
      <w:proofErr w:type="spellStart"/>
      <w:r w:rsidRPr="008B1D3A">
        <w:t>Aravkin</w:t>
      </w:r>
      <w:proofErr w:type="spellEnd"/>
      <w:r w:rsidRPr="008B1D3A">
        <w:t xml:space="preserve"> A, Sampson PD, et al. Risk factors for neurotoxicity in newborns with severe neonatal hyperbilirubinemia. Pediatrics. 2011;128(4</w:t>
      </w:r>
      <w:proofErr w:type="gramStart"/>
      <w:r w:rsidRPr="008B1D3A">
        <w:t>):e</w:t>
      </w:r>
      <w:proofErr w:type="gramEnd"/>
      <w:r w:rsidRPr="008B1D3A">
        <w:t>925-31.</w:t>
      </w:r>
    </w:p>
    <w:p w14:paraId="40110C37" w14:textId="77777777" w:rsidR="003F6EB4" w:rsidRPr="008B1D3A" w:rsidRDefault="003F6EB4" w:rsidP="003F6EB4">
      <w:r w:rsidRPr="008B1D3A">
        <w:t>6.</w:t>
      </w:r>
      <w:r w:rsidRPr="008B1D3A">
        <w:tab/>
        <w:t xml:space="preserve">Hameed NN, Na' Ma AM, </w:t>
      </w:r>
      <w:proofErr w:type="spellStart"/>
      <w:r w:rsidRPr="008B1D3A">
        <w:t>Vilms</w:t>
      </w:r>
      <w:proofErr w:type="spellEnd"/>
      <w:r w:rsidRPr="008B1D3A">
        <w:t xml:space="preserve"> R, </w:t>
      </w:r>
      <w:proofErr w:type="spellStart"/>
      <w:r w:rsidRPr="008B1D3A">
        <w:t>Bhutani</w:t>
      </w:r>
      <w:proofErr w:type="spellEnd"/>
      <w:r w:rsidRPr="008B1D3A">
        <w:t xml:space="preserve"> VK. Severe neonatal hyperbilirubinemia and adverse short-term consequences in Baghdad, Iraq. Neonatology. 2011;100(1):57-63.</w:t>
      </w:r>
    </w:p>
    <w:p w14:paraId="690E6129" w14:textId="77777777" w:rsidR="003F6EB4" w:rsidRPr="008B1D3A" w:rsidRDefault="003F6EB4" w:rsidP="003F6EB4">
      <w:r w:rsidRPr="008B1D3A">
        <w:t>7.</w:t>
      </w:r>
      <w:r w:rsidRPr="008B1D3A">
        <w:tab/>
      </w:r>
      <w:proofErr w:type="spellStart"/>
      <w:r w:rsidRPr="008B1D3A">
        <w:t>Iskander</w:t>
      </w:r>
      <w:proofErr w:type="spellEnd"/>
      <w:r w:rsidRPr="008B1D3A">
        <w:t xml:space="preserve"> I, </w:t>
      </w:r>
      <w:proofErr w:type="spellStart"/>
      <w:r w:rsidRPr="008B1D3A">
        <w:t>Gamaleldin</w:t>
      </w:r>
      <w:proofErr w:type="spellEnd"/>
      <w:r w:rsidRPr="008B1D3A">
        <w:t xml:space="preserve"> R, El </w:t>
      </w:r>
      <w:proofErr w:type="spellStart"/>
      <w:r w:rsidRPr="008B1D3A">
        <w:t>Houchi</w:t>
      </w:r>
      <w:proofErr w:type="spellEnd"/>
      <w:r w:rsidRPr="008B1D3A">
        <w:t xml:space="preserve"> S, El </w:t>
      </w:r>
      <w:proofErr w:type="spellStart"/>
      <w:r w:rsidRPr="008B1D3A">
        <w:t>Shenawy</w:t>
      </w:r>
      <w:proofErr w:type="spellEnd"/>
      <w:r w:rsidRPr="008B1D3A">
        <w:t xml:space="preserve"> A, </w:t>
      </w:r>
      <w:proofErr w:type="spellStart"/>
      <w:r w:rsidRPr="008B1D3A">
        <w:t>Seoud</w:t>
      </w:r>
      <w:proofErr w:type="spellEnd"/>
      <w:r w:rsidRPr="008B1D3A">
        <w:t xml:space="preserve"> I, El </w:t>
      </w:r>
      <w:proofErr w:type="spellStart"/>
      <w:r w:rsidRPr="008B1D3A">
        <w:t>Gharbawi</w:t>
      </w:r>
      <w:proofErr w:type="spellEnd"/>
      <w:r w:rsidRPr="008B1D3A">
        <w:t xml:space="preserve"> N, et al. Serum bilirubin and bilirubin/albumin ratio as predictors of bilirubin encephalopathy. Pediatrics. 2014;134(5</w:t>
      </w:r>
      <w:proofErr w:type="gramStart"/>
      <w:r w:rsidRPr="008B1D3A">
        <w:t>):e</w:t>
      </w:r>
      <w:proofErr w:type="gramEnd"/>
      <w:r w:rsidRPr="008B1D3A">
        <w:t>1330-9.</w:t>
      </w:r>
    </w:p>
    <w:p w14:paraId="67B25129" w14:textId="77777777" w:rsidR="003F6EB4" w:rsidRPr="008B1D3A" w:rsidRDefault="003F6EB4" w:rsidP="003F6EB4">
      <w:r w:rsidRPr="008B1D3A">
        <w:t>8.</w:t>
      </w:r>
      <w:r w:rsidRPr="008B1D3A">
        <w:tab/>
        <w:t>Kumar M, Tripathi S, Singh SN, Anand V. Outcome of neonates with severe hyperbilirubinemia in a tertiary level neonatal unit of North India. Clinical Epidemiology and Global Health. 2016;4(2):51-6.</w:t>
      </w:r>
    </w:p>
    <w:p w14:paraId="3EE087FB" w14:textId="77777777" w:rsidR="003F6EB4" w:rsidRPr="008B1D3A" w:rsidRDefault="003F6EB4" w:rsidP="003F6EB4">
      <w:r w:rsidRPr="008B1D3A">
        <w:t>9.</w:t>
      </w:r>
      <w:r w:rsidRPr="008B1D3A">
        <w:tab/>
        <w:t xml:space="preserve">Subspecialty Group of N, Society of Pediatrics CMA, Chinese Multicenter S, Coordination Group for Neonatal Bilirubin E. [Clinical characteristics of bilirubin </w:t>
      </w:r>
      <w:r w:rsidRPr="008B1D3A">
        <w:lastRenderedPageBreak/>
        <w:t xml:space="preserve">encephalopathy in Chinese newborn infants-a national multicenter survey]. </w:t>
      </w:r>
      <w:proofErr w:type="spellStart"/>
      <w:r w:rsidRPr="008B1D3A">
        <w:t>Zhonghua</w:t>
      </w:r>
      <w:proofErr w:type="spellEnd"/>
      <w:r w:rsidRPr="008B1D3A">
        <w:t xml:space="preserve"> er </w:t>
      </w:r>
      <w:proofErr w:type="spellStart"/>
      <w:r w:rsidRPr="008B1D3A">
        <w:t>ke</w:t>
      </w:r>
      <w:proofErr w:type="spellEnd"/>
      <w:r w:rsidRPr="008B1D3A">
        <w:t xml:space="preserve"> za </w:t>
      </w:r>
      <w:proofErr w:type="spellStart"/>
      <w:r w:rsidRPr="008B1D3A">
        <w:t>zhi</w:t>
      </w:r>
      <w:proofErr w:type="spellEnd"/>
      <w:r w:rsidRPr="008B1D3A">
        <w:t xml:space="preserve"> Chinese journal of pediatrics. 2012;50(5):331-5.</w:t>
      </w:r>
    </w:p>
    <w:p w14:paraId="46CD8C36" w14:textId="77777777" w:rsidR="003F6EB4" w:rsidRPr="008B1D3A" w:rsidRDefault="003F6EB4" w:rsidP="003F6EB4">
      <w:r w:rsidRPr="008B1D3A">
        <w:t>10.</w:t>
      </w:r>
      <w:r w:rsidRPr="008B1D3A">
        <w:tab/>
        <w:t xml:space="preserve">Yu C, Li H, Zhang Q, He H, Chen X, Hua Z. Report about term infants with severe hyperbilirubinemia undergoing exchange transfusion in Southwestern China during an 11-year period, from 2001 to 2011. </w:t>
      </w:r>
      <w:proofErr w:type="spellStart"/>
      <w:r w:rsidRPr="008B1D3A">
        <w:t>PLoS</w:t>
      </w:r>
      <w:proofErr w:type="spellEnd"/>
      <w:r w:rsidRPr="008B1D3A">
        <w:t xml:space="preserve"> One. 2017;12(6</w:t>
      </w:r>
      <w:proofErr w:type="gramStart"/>
      <w:r w:rsidRPr="008B1D3A">
        <w:t>):e</w:t>
      </w:r>
      <w:proofErr w:type="gramEnd"/>
      <w:r w:rsidRPr="008B1D3A">
        <w:t>0179550.</w:t>
      </w:r>
    </w:p>
    <w:p w14:paraId="5688E043" w14:textId="77777777" w:rsidR="003F6EB4" w:rsidRPr="008B1D3A" w:rsidRDefault="003F6EB4" w:rsidP="003F6EB4">
      <w:r w:rsidRPr="008B1D3A">
        <w:t>11.</w:t>
      </w:r>
      <w:r w:rsidRPr="008B1D3A">
        <w:tab/>
      </w:r>
      <w:proofErr w:type="spellStart"/>
      <w:r w:rsidRPr="008B1D3A">
        <w:t>Ardakani</w:t>
      </w:r>
      <w:proofErr w:type="spellEnd"/>
      <w:r w:rsidRPr="008B1D3A">
        <w:t xml:space="preserve"> SB, Dana VG, </w:t>
      </w:r>
      <w:proofErr w:type="spellStart"/>
      <w:r w:rsidRPr="008B1D3A">
        <w:t>Ziaee</w:t>
      </w:r>
      <w:proofErr w:type="spellEnd"/>
      <w:r w:rsidRPr="008B1D3A">
        <w:t xml:space="preserve"> V, </w:t>
      </w:r>
      <w:proofErr w:type="spellStart"/>
      <w:r w:rsidRPr="008B1D3A">
        <w:t>Ashtiani</w:t>
      </w:r>
      <w:proofErr w:type="spellEnd"/>
      <w:r w:rsidRPr="008B1D3A">
        <w:t xml:space="preserve"> MT, </w:t>
      </w:r>
      <w:proofErr w:type="spellStart"/>
      <w:r w:rsidRPr="008B1D3A">
        <w:t>Djavid</w:t>
      </w:r>
      <w:proofErr w:type="spellEnd"/>
      <w:r w:rsidRPr="008B1D3A">
        <w:t xml:space="preserve"> GE, </w:t>
      </w:r>
      <w:proofErr w:type="spellStart"/>
      <w:r w:rsidRPr="008B1D3A">
        <w:t>Alijani</w:t>
      </w:r>
      <w:proofErr w:type="spellEnd"/>
      <w:r w:rsidRPr="008B1D3A">
        <w:t xml:space="preserve"> M. Bilirubin/Albumin Ratio for Predicting Acute Bilirubin-induced Neurologic Dysfunction. Iranian journal of pediatrics. 2011;21(1):28-32.</w:t>
      </w:r>
    </w:p>
    <w:p w14:paraId="5C1052B7" w14:textId="77777777" w:rsidR="003F6EB4" w:rsidRPr="008B1D3A" w:rsidRDefault="003F6EB4" w:rsidP="003F6EB4">
      <w:r w:rsidRPr="008B1D3A">
        <w:t>12.</w:t>
      </w:r>
      <w:r w:rsidRPr="008B1D3A">
        <w:tab/>
      </w:r>
      <w:proofErr w:type="spellStart"/>
      <w:r w:rsidRPr="008B1D3A">
        <w:t>Arnolda</w:t>
      </w:r>
      <w:proofErr w:type="spellEnd"/>
      <w:r w:rsidRPr="008B1D3A">
        <w:t xml:space="preserve"> G, </w:t>
      </w:r>
      <w:proofErr w:type="spellStart"/>
      <w:r w:rsidRPr="008B1D3A">
        <w:t>Nwe</w:t>
      </w:r>
      <w:proofErr w:type="spellEnd"/>
      <w:r w:rsidRPr="008B1D3A">
        <w:t xml:space="preserve"> HM, </w:t>
      </w:r>
      <w:proofErr w:type="spellStart"/>
      <w:r w:rsidRPr="008B1D3A">
        <w:t>Trevisanuto</w:t>
      </w:r>
      <w:proofErr w:type="spellEnd"/>
      <w:r w:rsidRPr="008B1D3A">
        <w:t xml:space="preserve"> D, Thin AA, Thein AA, </w:t>
      </w:r>
      <w:proofErr w:type="spellStart"/>
      <w:r w:rsidRPr="008B1D3A">
        <w:t>Defechereux</w:t>
      </w:r>
      <w:proofErr w:type="spellEnd"/>
      <w:r w:rsidRPr="008B1D3A">
        <w:t xml:space="preserve"> T, et al. Risk factors for acute bilirubin encephalopathy on admission to two Myanmar national </w:t>
      </w:r>
      <w:proofErr w:type="spellStart"/>
      <w:r w:rsidRPr="008B1D3A">
        <w:t>paediatric</w:t>
      </w:r>
      <w:proofErr w:type="spellEnd"/>
      <w:r w:rsidRPr="008B1D3A">
        <w:t xml:space="preserve"> hospitals. Maternal health, </w:t>
      </w:r>
      <w:proofErr w:type="gramStart"/>
      <w:r w:rsidRPr="008B1D3A">
        <w:t>neonatology</w:t>
      </w:r>
      <w:proofErr w:type="gramEnd"/>
      <w:r w:rsidRPr="008B1D3A">
        <w:t xml:space="preserve"> and perinatology. </w:t>
      </w:r>
      <w:proofErr w:type="gramStart"/>
      <w:r w:rsidRPr="008B1D3A">
        <w:t>2015;1:22</w:t>
      </w:r>
      <w:proofErr w:type="gramEnd"/>
      <w:r w:rsidRPr="008B1D3A">
        <w:t>.</w:t>
      </w:r>
    </w:p>
    <w:p w14:paraId="7942114A" w14:textId="77777777" w:rsidR="003F6EB4" w:rsidRPr="008B1D3A" w:rsidRDefault="003F6EB4" w:rsidP="003F6EB4"/>
    <w:p w14:paraId="6C88EC1C" w14:textId="77777777" w:rsidR="00C4702C" w:rsidRPr="008B1D3A" w:rsidRDefault="00C4702C"/>
    <w:sectPr w:rsidR="00C4702C" w:rsidRPr="008B1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B4"/>
    <w:rsid w:val="0022013C"/>
    <w:rsid w:val="00381B89"/>
    <w:rsid w:val="003F6EB4"/>
    <w:rsid w:val="00423DFA"/>
    <w:rsid w:val="004A1018"/>
    <w:rsid w:val="005C5C56"/>
    <w:rsid w:val="0086570E"/>
    <w:rsid w:val="008B1D3A"/>
    <w:rsid w:val="00B74A60"/>
    <w:rsid w:val="00C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843A"/>
  <w15:chartTrackingRefBased/>
  <w15:docId w15:val="{787307E5-9739-4FD3-8B60-47DCE9D1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6EB4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6EB4"/>
    <w:rPr>
      <w:rFonts w:ascii="Times New Roman" w:eastAsiaTheme="minorHAnsi" w:hAnsi="Times New Roman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8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Nai Ming</dc:creator>
  <cp:keywords/>
  <dc:description/>
  <cp:lastModifiedBy>Lai Nai Ming</cp:lastModifiedBy>
  <cp:revision>9</cp:revision>
  <dcterms:created xsi:type="dcterms:W3CDTF">2020-09-08T01:42:00Z</dcterms:created>
  <dcterms:modified xsi:type="dcterms:W3CDTF">2020-09-14T15:18:00Z</dcterms:modified>
</cp:coreProperties>
</file>