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5E" w:rsidRPr="00077AED" w:rsidRDefault="009A73BF" w:rsidP="00B94F5E">
      <w:pPr>
        <w:rPr>
          <w:rFonts w:ascii="Cambria" w:hAnsi="Cambria" w:cstheme="minorHAnsi"/>
          <w:b/>
          <w:sz w:val="24"/>
          <w:szCs w:val="20"/>
          <w:lang w:val="en-US"/>
        </w:rPr>
      </w:pPr>
      <w:r w:rsidRPr="00077AED">
        <w:rPr>
          <w:rFonts w:ascii="Cambria" w:hAnsi="Cambria" w:cstheme="minorHAnsi"/>
          <w:b/>
          <w:sz w:val="24"/>
          <w:szCs w:val="20"/>
          <w:lang w:val="en-US"/>
        </w:rPr>
        <w:t>Supplement 1</w:t>
      </w:r>
    </w:p>
    <w:p w:rsidR="00B94F5E" w:rsidRPr="00077AED" w:rsidRDefault="00D53C93" w:rsidP="00B94F5E">
      <w:pPr>
        <w:rPr>
          <w:rFonts w:cstheme="minorHAnsi"/>
          <w:b/>
          <w:sz w:val="20"/>
          <w:szCs w:val="20"/>
          <w:lang w:val="en-US"/>
        </w:rPr>
      </w:pPr>
      <w:r w:rsidRPr="00077AED">
        <w:rPr>
          <w:rFonts w:cstheme="minorHAnsi"/>
          <w:b/>
          <w:sz w:val="20"/>
          <w:szCs w:val="20"/>
          <w:lang w:val="en-US"/>
        </w:rPr>
        <w:t>eTable</w:t>
      </w:r>
      <w:r w:rsidR="00B94F5E" w:rsidRPr="00077AED">
        <w:rPr>
          <w:rFonts w:cstheme="minorHAnsi"/>
          <w:b/>
          <w:sz w:val="20"/>
          <w:szCs w:val="20"/>
          <w:lang w:val="en-US"/>
        </w:rPr>
        <w:t xml:space="preserve"> 1: Dev</w:t>
      </w:r>
      <w:r w:rsidR="000703C1">
        <w:rPr>
          <w:rFonts w:cstheme="minorHAnsi"/>
          <w:b/>
          <w:sz w:val="20"/>
          <w:szCs w:val="20"/>
          <w:lang w:val="en-US"/>
        </w:rPr>
        <w:t>iations from the study protocol [</w:t>
      </w:r>
      <w:r w:rsidR="00D230D6">
        <w:rPr>
          <w:rFonts w:cstheme="minorHAnsi"/>
          <w:b/>
          <w:sz w:val="20"/>
          <w:szCs w:val="20"/>
          <w:lang w:val="en-US"/>
        </w:rPr>
        <w:t>21</w:t>
      </w:r>
      <w:bookmarkStart w:id="0" w:name="_GoBack"/>
      <w:bookmarkEnd w:id="0"/>
      <w:r w:rsidR="000703C1">
        <w:rPr>
          <w:rFonts w:cstheme="minorHAnsi"/>
          <w:b/>
          <w:sz w:val="20"/>
          <w:szCs w:val="20"/>
          <w:lang w:val="en-US"/>
        </w:rPr>
        <w:t>]</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8187"/>
      </w:tblGrid>
      <w:tr w:rsidR="00D53C93" w:rsidRPr="00D230D6" w:rsidTr="00927211">
        <w:tc>
          <w:tcPr>
            <w:tcW w:w="1101" w:type="dxa"/>
          </w:tcPr>
          <w:p w:rsidR="00D53C93" w:rsidRPr="00077AED" w:rsidRDefault="00D53C93" w:rsidP="00D53C93">
            <w:pPr>
              <w:pStyle w:val="Listenabsatz"/>
              <w:numPr>
                <w:ilvl w:val="0"/>
                <w:numId w:val="1"/>
              </w:numPr>
              <w:spacing w:line="360" w:lineRule="auto"/>
              <w:rPr>
                <w:rFonts w:cstheme="minorHAnsi"/>
                <w:sz w:val="20"/>
                <w:szCs w:val="20"/>
                <w:lang w:val="en-US"/>
              </w:rPr>
            </w:pPr>
          </w:p>
        </w:tc>
        <w:tc>
          <w:tcPr>
            <w:tcW w:w="8187" w:type="dxa"/>
          </w:tcPr>
          <w:p w:rsidR="00D53C93" w:rsidRPr="00077AED" w:rsidRDefault="00D53C93" w:rsidP="00D53C93">
            <w:pPr>
              <w:spacing w:line="360" w:lineRule="auto"/>
              <w:rPr>
                <w:rFonts w:cstheme="minorHAnsi"/>
                <w:sz w:val="20"/>
                <w:szCs w:val="20"/>
                <w:lang w:val="en-US"/>
              </w:rPr>
            </w:pPr>
            <w:r w:rsidRPr="00077AED">
              <w:rPr>
                <w:rFonts w:cstheme="minorHAnsi"/>
                <w:sz w:val="20"/>
                <w:szCs w:val="20"/>
                <w:lang w:val="en-US"/>
              </w:rPr>
              <w:t xml:space="preserve">In addition to the baseline values sex, and age, we included the recruitment center to account for influences of the centers. This was recommended by the biostatistician prior to data analysis. </w:t>
            </w:r>
          </w:p>
        </w:tc>
      </w:tr>
      <w:tr w:rsidR="00D53C93" w:rsidRPr="00D230D6" w:rsidTr="00927211">
        <w:tc>
          <w:tcPr>
            <w:tcW w:w="1101" w:type="dxa"/>
          </w:tcPr>
          <w:p w:rsidR="00D53C93" w:rsidRPr="00077AED" w:rsidRDefault="00D53C93" w:rsidP="00D53C93">
            <w:pPr>
              <w:pStyle w:val="Listenabsatz"/>
              <w:numPr>
                <w:ilvl w:val="0"/>
                <w:numId w:val="1"/>
              </w:numPr>
              <w:spacing w:line="360" w:lineRule="auto"/>
              <w:rPr>
                <w:rFonts w:cstheme="minorHAnsi"/>
                <w:sz w:val="20"/>
                <w:szCs w:val="20"/>
                <w:lang w:val="en-US"/>
              </w:rPr>
            </w:pPr>
          </w:p>
        </w:tc>
        <w:tc>
          <w:tcPr>
            <w:tcW w:w="8187" w:type="dxa"/>
          </w:tcPr>
          <w:p w:rsidR="00D53C93" w:rsidRPr="00077AED" w:rsidRDefault="00D53C93" w:rsidP="00D53C93">
            <w:pPr>
              <w:spacing w:line="360" w:lineRule="auto"/>
              <w:rPr>
                <w:rFonts w:cstheme="minorHAnsi"/>
                <w:sz w:val="20"/>
                <w:szCs w:val="20"/>
                <w:lang w:val="en-US"/>
              </w:rPr>
            </w:pPr>
            <w:r w:rsidRPr="00077AED">
              <w:rPr>
                <w:rFonts w:cstheme="minorHAnsi"/>
                <w:sz w:val="20"/>
                <w:szCs w:val="20"/>
                <w:lang w:val="en-US"/>
              </w:rPr>
              <w:t>Our aim in the per protocol analysis was to determine the effectiveness of WARD-BP in patients that utilized the intervention as they were supposed to do. Thus, we focused on intervention completers and not study completers, as labeled incorrectly in the study protocol.</w:t>
            </w:r>
          </w:p>
        </w:tc>
      </w:tr>
      <w:tr w:rsidR="00D53C93" w:rsidRPr="00D230D6" w:rsidTr="00927211">
        <w:tc>
          <w:tcPr>
            <w:tcW w:w="1101" w:type="dxa"/>
          </w:tcPr>
          <w:p w:rsidR="00D53C93" w:rsidRPr="00077AED" w:rsidRDefault="00D53C93" w:rsidP="00D53C93">
            <w:pPr>
              <w:pStyle w:val="Listenabsatz"/>
              <w:numPr>
                <w:ilvl w:val="0"/>
                <w:numId w:val="1"/>
              </w:numPr>
              <w:spacing w:line="360" w:lineRule="auto"/>
              <w:rPr>
                <w:rFonts w:cstheme="minorHAnsi"/>
                <w:sz w:val="20"/>
                <w:szCs w:val="20"/>
                <w:lang w:val="en-US"/>
              </w:rPr>
            </w:pPr>
          </w:p>
        </w:tc>
        <w:tc>
          <w:tcPr>
            <w:tcW w:w="8187" w:type="dxa"/>
          </w:tcPr>
          <w:p w:rsidR="00D53C93" w:rsidRPr="00077AED" w:rsidRDefault="00D53C93" w:rsidP="007162B8">
            <w:pPr>
              <w:spacing w:line="360" w:lineRule="auto"/>
              <w:rPr>
                <w:rFonts w:cstheme="minorHAnsi"/>
                <w:sz w:val="20"/>
                <w:szCs w:val="20"/>
                <w:lang w:val="en-US"/>
              </w:rPr>
            </w:pPr>
            <w:r w:rsidRPr="00077AED">
              <w:rPr>
                <w:rFonts w:cstheme="minorHAnsi"/>
                <w:sz w:val="20"/>
                <w:szCs w:val="20"/>
                <w:lang w:val="en-US"/>
              </w:rPr>
              <w:t xml:space="preserve">Side-effects and adverse events are of great importance in clinical research. As defined in the study protocol we reported the results of the INEP, results from the telephone interviews and the results of the events reported in the intervention session. Additionally, we extended this section by calculating reliable deterioration according to Jacobson and </w:t>
            </w:r>
            <w:r w:rsidRPr="00CE66F6">
              <w:rPr>
                <w:rFonts w:cstheme="minorHAnsi"/>
                <w:sz w:val="20"/>
                <w:szCs w:val="20"/>
                <w:lang w:val="en-US"/>
              </w:rPr>
              <w:t>Truax</w:t>
            </w:r>
            <w:r w:rsidR="00CE66F6">
              <w:rPr>
                <w:rFonts w:cstheme="minorHAnsi"/>
                <w:sz w:val="20"/>
                <w:szCs w:val="20"/>
                <w:vertAlign w:val="superscript"/>
                <w:lang w:val="en-US"/>
              </w:rPr>
              <w:t xml:space="preserve"> </w:t>
            </w:r>
            <w:r w:rsidR="00CE66F6">
              <w:rPr>
                <w:rFonts w:cstheme="minorHAnsi"/>
                <w:sz w:val="20"/>
                <w:szCs w:val="20"/>
                <w:lang w:val="en-US"/>
              </w:rPr>
              <w:t>[24]</w:t>
            </w:r>
            <w:r w:rsidRPr="00077AED">
              <w:rPr>
                <w:rFonts w:cstheme="minorHAnsi"/>
                <w:sz w:val="20"/>
                <w:szCs w:val="20"/>
                <w:lang w:val="en-US"/>
              </w:rPr>
              <w:t xml:space="preserve"> and investigated the group effect on deterioration.</w:t>
            </w:r>
          </w:p>
        </w:tc>
      </w:tr>
      <w:tr w:rsidR="00D53C93" w:rsidRPr="00D230D6" w:rsidTr="00927211">
        <w:tc>
          <w:tcPr>
            <w:tcW w:w="1101" w:type="dxa"/>
          </w:tcPr>
          <w:p w:rsidR="00D53C93" w:rsidRPr="00077AED" w:rsidRDefault="00D53C93" w:rsidP="00D53C93">
            <w:pPr>
              <w:pStyle w:val="Listenabsatz"/>
              <w:numPr>
                <w:ilvl w:val="0"/>
                <w:numId w:val="1"/>
              </w:numPr>
              <w:spacing w:line="360" w:lineRule="auto"/>
              <w:rPr>
                <w:rFonts w:cstheme="minorHAnsi"/>
                <w:sz w:val="20"/>
                <w:szCs w:val="20"/>
                <w:lang w:val="en-US"/>
              </w:rPr>
            </w:pPr>
          </w:p>
        </w:tc>
        <w:tc>
          <w:tcPr>
            <w:tcW w:w="8187" w:type="dxa"/>
          </w:tcPr>
          <w:p w:rsidR="00D53C93" w:rsidRPr="00077AED" w:rsidRDefault="00D53C93" w:rsidP="00D53C93">
            <w:pPr>
              <w:spacing w:line="360" w:lineRule="auto"/>
              <w:rPr>
                <w:rFonts w:cstheme="minorHAnsi"/>
                <w:sz w:val="20"/>
                <w:szCs w:val="20"/>
                <w:lang w:val="en-US"/>
              </w:rPr>
            </w:pPr>
            <w:r w:rsidRPr="00077AED">
              <w:rPr>
                <w:rFonts w:cstheme="minorHAnsi"/>
                <w:sz w:val="20"/>
                <w:szCs w:val="20"/>
                <w:lang w:val="en-US"/>
              </w:rPr>
              <w:t>Given the complexity of the accompanying economic evaluation of the WARD-BP trial, results will be reported in a separate paper.</w:t>
            </w:r>
          </w:p>
        </w:tc>
      </w:tr>
    </w:tbl>
    <w:p w:rsidR="00D53C93" w:rsidRPr="00077AED" w:rsidRDefault="00D53C93" w:rsidP="00B94F5E">
      <w:pPr>
        <w:rPr>
          <w:rFonts w:cstheme="minorHAnsi"/>
          <w:b/>
          <w:sz w:val="20"/>
          <w:szCs w:val="20"/>
          <w:lang w:val="en-US"/>
        </w:rPr>
      </w:pPr>
    </w:p>
    <w:p w:rsidR="005669F9" w:rsidRPr="00077AED" w:rsidRDefault="005669F9">
      <w:pPr>
        <w:rPr>
          <w:rFonts w:cstheme="minorHAnsi"/>
          <w:lang w:val="en-US"/>
        </w:rPr>
      </w:pPr>
    </w:p>
    <w:sectPr w:rsidR="005669F9" w:rsidRPr="00077AED">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D2" w:rsidRDefault="00822BD2" w:rsidP="000D0E67">
      <w:pPr>
        <w:spacing w:after="0" w:line="240" w:lineRule="auto"/>
      </w:pPr>
      <w:r>
        <w:separator/>
      </w:r>
    </w:p>
  </w:endnote>
  <w:endnote w:type="continuationSeparator" w:id="0">
    <w:p w:rsidR="00822BD2" w:rsidRDefault="00822BD2" w:rsidP="000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6553"/>
      <w:docPartObj>
        <w:docPartGallery w:val="Page Numbers (Bottom of Page)"/>
        <w:docPartUnique/>
      </w:docPartObj>
    </w:sdtPr>
    <w:sdtEndPr/>
    <w:sdtContent>
      <w:p w:rsidR="000D0E67" w:rsidRDefault="000D0E67">
        <w:pPr>
          <w:pStyle w:val="Fuzeile"/>
          <w:jc w:val="right"/>
        </w:pPr>
        <w:r>
          <w:fldChar w:fldCharType="begin"/>
        </w:r>
        <w:r>
          <w:instrText>PAGE   \* MERGEFORMAT</w:instrText>
        </w:r>
        <w:r>
          <w:fldChar w:fldCharType="separate"/>
        </w:r>
        <w:r w:rsidR="00D230D6">
          <w:rPr>
            <w:noProof/>
          </w:rPr>
          <w:t>1</w:t>
        </w:r>
        <w:r>
          <w:fldChar w:fldCharType="end"/>
        </w:r>
      </w:p>
    </w:sdtContent>
  </w:sdt>
  <w:p w:rsidR="000D0E67" w:rsidRDefault="000D0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D2" w:rsidRDefault="00822BD2" w:rsidP="000D0E67">
      <w:pPr>
        <w:spacing w:after="0" w:line="240" w:lineRule="auto"/>
      </w:pPr>
      <w:r>
        <w:separator/>
      </w:r>
    </w:p>
  </w:footnote>
  <w:footnote w:type="continuationSeparator" w:id="0">
    <w:p w:rsidR="00822BD2" w:rsidRDefault="00822BD2" w:rsidP="000D0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47540"/>
    <w:multiLevelType w:val="hybridMultilevel"/>
    <w:tmpl w:val="DB921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5E"/>
    <w:rsid w:val="000703C1"/>
    <w:rsid w:val="00077AED"/>
    <w:rsid w:val="000D0E67"/>
    <w:rsid w:val="000F2895"/>
    <w:rsid w:val="00113EDE"/>
    <w:rsid w:val="001422C0"/>
    <w:rsid w:val="00142463"/>
    <w:rsid w:val="00195EF9"/>
    <w:rsid w:val="002372EA"/>
    <w:rsid w:val="00250FDD"/>
    <w:rsid w:val="002825E4"/>
    <w:rsid w:val="003B0333"/>
    <w:rsid w:val="003D1217"/>
    <w:rsid w:val="0045223F"/>
    <w:rsid w:val="0045537F"/>
    <w:rsid w:val="0049106B"/>
    <w:rsid w:val="004929F2"/>
    <w:rsid w:val="004B5B8A"/>
    <w:rsid w:val="004D2D02"/>
    <w:rsid w:val="004D3EB6"/>
    <w:rsid w:val="005669F9"/>
    <w:rsid w:val="00576BF6"/>
    <w:rsid w:val="0059423C"/>
    <w:rsid w:val="005B670B"/>
    <w:rsid w:val="00651905"/>
    <w:rsid w:val="006B231B"/>
    <w:rsid w:val="007162B8"/>
    <w:rsid w:val="007F3502"/>
    <w:rsid w:val="00822BD2"/>
    <w:rsid w:val="008421ED"/>
    <w:rsid w:val="00855DAB"/>
    <w:rsid w:val="00865071"/>
    <w:rsid w:val="008A78D5"/>
    <w:rsid w:val="0091008D"/>
    <w:rsid w:val="00927211"/>
    <w:rsid w:val="009631C9"/>
    <w:rsid w:val="00992E6B"/>
    <w:rsid w:val="009A73BF"/>
    <w:rsid w:val="00A17DF8"/>
    <w:rsid w:val="00A6133E"/>
    <w:rsid w:val="00B244C0"/>
    <w:rsid w:val="00B62094"/>
    <w:rsid w:val="00B6562A"/>
    <w:rsid w:val="00B94F5E"/>
    <w:rsid w:val="00BF0F52"/>
    <w:rsid w:val="00C169FA"/>
    <w:rsid w:val="00C45EC3"/>
    <w:rsid w:val="00C53706"/>
    <w:rsid w:val="00C61896"/>
    <w:rsid w:val="00CE66F6"/>
    <w:rsid w:val="00D230D6"/>
    <w:rsid w:val="00D53C93"/>
    <w:rsid w:val="00D90285"/>
    <w:rsid w:val="00DE73A1"/>
    <w:rsid w:val="00E35148"/>
    <w:rsid w:val="00E77A7C"/>
    <w:rsid w:val="00E94A68"/>
    <w:rsid w:val="00F35C1D"/>
    <w:rsid w:val="00F63627"/>
    <w:rsid w:val="00F87A87"/>
    <w:rsid w:val="00FD0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6E42"/>
  <w15:docId w15:val="{BBB0BF05-D2C9-4E05-9816-F9350EF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4F5E"/>
  </w:style>
  <w:style w:type="paragraph" w:styleId="berschrift1">
    <w:name w:val="heading 1"/>
    <w:basedOn w:val="Standard"/>
    <w:next w:val="Standard"/>
    <w:link w:val="berschrift1Zchn"/>
    <w:autoRedefine/>
    <w:uiPriority w:val="9"/>
    <w:qFormat/>
    <w:rsid w:val="000F2895"/>
    <w:pPr>
      <w:keepNext/>
      <w:keepLines/>
      <w:spacing w:before="240" w:after="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autoRedefine/>
    <w:uiPriority w:val="9"/>
    <w:semiHidden/>
    <w:unhideWhenUsed/>
    <w:qFormat/>
    <w:rsid w:val="000F2895"/>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autoRedefine/>
    <w:uiPriority w:val="9"/>
    <w:unhideWhenUsed/>
    <w:qFormat/>
    <w:rsid w:val="00C61896"/>
    <w:pPr>
      <w:keepNext/>
      <w:keepLines/>
      <w:spacing w:before="40" w:after="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895"/>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semiHidden/>
    <w:rsid w:val="000F2895"/>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C61896"/>
    <w:rPr>
      <w:rFonts w:asciiTheme="majorHAnsi" w:eastAsiaTheme="majorEastAsia" w:hAnsiTheme="majorHAnsi" w:cstheme="majorBidi"/>
      <w:sz w:val="24"/>
      <w:szCs w:val="24"/>
    </w:rPr>
  </w:style>
  <w:style w:type="paragraph" w:styleId="Listenabsatz">
    <w:name w:val="List Paragraph"/>
    <w:basedOn w:val="Standard"/>
    <w:uiPriority w:val="34"/>
    <w:qFormat/>
    <w:rsid w:val="00B94F5E"/>
    <w:pPr>
      <w:ind w:left="720"/>
      <w:contextualSpacing/>
    </w:pPr>
  </w:style>
  <w:style w:type="paragraph" w:styleId="Kopfzeile">
    <w:name w:val="header"/>
    <w:basedOn w:val="Standard"/>
    <w:link w:val="KopfzeileZchn"/>
    <w:uiPriority w:val="99"/>
    <w:unhideWhenUsed/>
    <w:rsid w:val="000D0E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0E67"/>
  </w:style>
  <w:style w:type="paragraph" w:styleId="Fuzeile">
    <w:name w:val="footer"/>
    <w:basedOn w:val="Standard"/>
    <w:link w:val="FuzeileZchn"/>
    <w:uiPriority w:val="99"/>
    <w:unhideWhenUsed/>
    <w:rsid w:val="000D0E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0E67"/>
  </w:style>
  <w:style w:type="table" w:styleId="Tabellenraster">
    <w:name w:val="Table Grid"/>
    <w:basedOn w:val="NormaleTabelle"/>
    <w:uiPriority w:val="39"/>
    <w:rsid w:val="00D5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89E9-465A-4C37-AD7A-7716CC70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ALU</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Yannik Terhorst</dc:creator>
  <cp:lastModifiedBy>baumeister</cp:lastModifiedBy>
  <cp:revision>4</cp:revision>
  <dcterms:created xsi:type="dcterms:W3CDTF">2020-04-17T14:37:00Z</dcterms:created>
  <dcterms:modified xsi:type="dcterms:W3CDTF">2020-07-24T14:27:00Z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http://www.zotero.org/styles/bmj-open</vt:lpwstr>
  </property>
  <property fmtid="{D5CDD505-2E9C-101B-9397-08002B2CF9AE}" pid="9" name="Mendeley Recent Style Name 3_1">
    <vt:lpwstr>BMJ Open</vt:lpwstr>
  </property>
  <property fmtid="{D5CDD505-2E9C-101B-9397-08002B2CF9AE}" pid="10" name="Mendeley Recent Style Id 4_1">
    <vt:lpwstr>http://www.zotero.org/styles/biomed-central</vt:lpwstr>
  </property>
  <property fmtid="{D5CDD505-2E9C-101B-9397-08002B2CF9AE}" pid="11" name="Mendeley Recent Style Name 4_1">
    <vt:lpwstr>BioMed Central</vt:lpwstr>
  </property>
  <property fmtid="{D5CDD505-2E9C-101B-9397-08002B2CF9AE}" pid="12" name="Mendeley Recent Style Id 5_1">
    <vt:lpwstr>http://www.zotero.org/styles/deutsche-gesellschaft-fur-psychologie</vt:lpwstr>
  </property>
  <property fmtid="{D5CDD505-2E9C-101B-9397-08002B2CF9AE}" pid="13" name="Mendeley Recent Style Name 5_1">
    <vt:lpwstr>Deutsche Gesellschaft für Psychologie (German)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http://www.zotero.org/styles/verhaltenstherapie</vt:lpwstr>
  </property>
  <property fmtid="{D5CDD505-2E9C-101B-9397-08002B2CF9AE}" pid="21" name="Mendeley Recent Style Name 9_1">
    <vt:lpwstr>Verhaltenstherapie</vt:lpwstr>
  </property>
</Properties>
</file>