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16CE1" w14:textId="77777777" w:rsidR="000E4A6F" w:rsidRPr="00B660CB" w:rsidRDefault="000E4A6F" w:rsidP="000E4A6F">
      <w:pPr>
        <w:spacing w:after="0" w:line="480" w:lineRule="auto"/>
        <w:ind w:firstLine="708"/>
        <w:jc w:val="center"/>
        <w:rPr>
          <w:rFonts w:ascii="Cambria" w:hAnsi="Cambria" w:cstheme="minorHAnsi"/>
          <w:b/>
          <w:bCs/>
          <w:i/>
          <w:iCs/>
          <w:sz w:val="28"/>
          <w:szCs w:val="28"/>
          <w:lang w:val="en-US"/>
        </w:rPr>
      </w:pPr>
      <w:r w:rsidRPr="00B660CB">
        <w:rPr>
          <w:rFonts w:ascii="Cambria" w:hAnsi="Cambria" w:cstheme="minorHAnsi"/>
          <w:b/>
          <w:bCs/>
          <w:i/>
          <w:iCs/>
          <w:sz w:val="28"/>
          <w:szCs w:val="28"/>
          <w:lang w:val="en-US"/>
        </w:rPr>
        <w:t xml:space="preserve">A Three-Arm Randomized Clinical Trial Comparing the Efficacy of a Mindfulness-Based Intervention </w:t>
      </w:r>
      <w:r>
        <w:rPr>
          <w:rFonts w:ascii="Cambria" w:hAnsi="Cambria" w:cstheme="minorHAnsi"/>
          <w:b/>
          <w:bCs/>
          <w:i/>
          <w:iCs/>
          <w:sz w:val="28"/>
          <w:szCs w:val="28"/>
          <w:lang w:val="en-US"/>
        </w:rPr>
        <w:t>with</w:t>
      </w:r>
      <w:r w:rsidRPr="00B660CB">
        <w:rPr>
          <w:rFonts w:ascii="Cambria" w:hAnsi="Cambria" w:cstheme="minorHAnsi"/>
          <w:b/>
          <w:bCs/>
          <w:i/>
          <w:iCs/>
          <w:sz w:val="28"/>
          <w:szCs w:val="28"/>
          <w:lang w:val="en-US"/>
        </w:rPr>
        <w:t xml:space="preserve"> </w:t>
      </w:r>
      <w:r>
        <w:rPr>
          <w:rFonts w:ascii="Cambria" w:hAnsi="Cambria" w:cstheme="minorHAnsi"/>
          <w:b/>
          <w:bCs/>
          <w:i/>
          <w:iCs/>
          <w:sz w:val="28"/>
          <w:szCs w:val="28"/>
          <w:lang w:val="en-US"/>
        </w:rPr>
        <w:t>an Active Comparison</w:t>
      </w:r>
      <w:r w:rsidRPr="00B660CB">
        <w:rPr>
          <w:rFonts w:ascii="Cambria" w:hAnsi="Cambria" w:cstheme="minorHAnsi"/>
          <w:b/>
          <w:bCs/>
          <w:i/>
          <w:iCs/>
          <w:sz w:val="28"/>
          <w:szCs w:val="28"/>
          <w:lang w:val="en-US"/>
        </w:rPr>
        <w:t xml:space="preserve"> Group and Fluoxetine</w:t>
      </w:r>
      <w:r>
        <w:rPr>
          <w:rFonts w:ascii="Cambria" w:hAnsi="Cambria" w:cstheme="minorHAnsi"/>
          <w:b/>
          <w:bCs/>
          <w:i/>
          <w:iCs/>
          <w:sz w:val="28"/>
          <w:szCs w:val="28"/>
          <w:lang w:val="en-US"/>
        </w:rPr>
        <w:t xml:space="preserve"> Treatment</w:t>
      </w:r>
      <w:r w:rsidRPr="00B660CB">
        <w:rPr>
          <w:rFonts w:ascii="Cambria" w:hAnsi="Cambria" w:cstheme="minorHAnsi"/>
          <w:b/>
          <w:bCs/>
          <w:i/>
          <w:iCs/>
          <w:sz w:val="28"/>
          <w:szCs w:val="28"/>
          <w:lang w:val="en-US"/>
        </w:rPr>
        <w:t xml:space="preserve"> for Adults with Generalized Anxiety Disorder</w:t>
      </w:r>
    </w:p>
    <w:p w14:paraId="670917EA" w14:textId="77777777" w:rsidR="008A4B66" w:rsidRDefault="008A4B66" w:rsidP="005369F5">
      <w:pPr>
        <w:jc w:val="center"/>
        <w:rPr>
          <w:b/>
          <w:lang w:val="en-US"/>
        </w:rPr>
      </w:pPr>
    </w:p>
    <w:p w14:paraId="53B4C011" w14:textId="3AB60B20" w:rsidR="000C6005" w:rsidRDefault="005369F5" w:rsidP="005369F5">
      <w:pPr>
        <w:jc w:val="center"/>
        <w:rPr>
          <w:b/>
          <w:lang w:val="en-US"/>
        </w:rPr>
      </w:pPr>
      <w:bookmarkStart w:id="0" w:name="_Hlk44405757"/>
      <w:r w:rsidRPr="00525A40">
        <w:rPr>
          <w:b/>
          <w:lang w:val="en-US"/>
        </w:rPr>
        <w:t xml:space="preserve">Supplemental Material </w:t>
      </w:r>
    </w:p>
    <w:bookmarkEnd w:id="0"/>
    <w:p w14:paraId="74D59D45" w14:textId="41FF4751" w:rsidR="00905E32" w:rsidRDefault="00905E32" w:rsidP="00905E32">
      <w:pPr>
        <w:rPr>
          <w:b/>
          <w:lang w:val="en-US"/>
        </w:rPr>
      </w:pPr>
    </w:p>
    <w:p w14:paraId="0158AFB4" w14:textId="77777777" w:rsidR="00177956" w:rsidRPr="00B660CB" w:rsidRDefault="00177956" w:rsidP="00177956">
      <w:pPr>
        <w:spacing w:after="0" w:line="480" w:lineRule="auto"/>
        <w:jc w:val="both"/>
        <w:rPr>
          <w:rFonts w:cstheme="minorHAnsi"/>
          <w:b/>
          <w:lang w:val="en-US"/>
        </w:rPr>
      </w:pPr>
      <w:r w:rsidRPr="00B660CB">
        <w:rPr>
          <w:rFonts w:cstheme="minorHAnsi"/>
          <w:b/>
          <w:lang w:val="en-US"/>
        </w:rPr>
        <w:t>Treatment Condition</w:t>
      </w:r>
      <w:r>
        <w:rPr>
          <w:rFonts w:cstheme="minorHAnsi"/>
          <w:b/>
          <w:lang w:val="en-US"/>
        </w:rPr>
        <w:t>s Description</w:t>
      </w:r>
    </w:p>
    <w:p w14:paraId="42592E2F" w14:textId="73BA19D1" w:rsidR="00177956" w:rsidRPr="00B660CB" w:rsidRDefault="00177956" w:rsidP="00177956">
      <w:pPr>
        <w:spacing w:after="0" w:line="480" w:lineRule="auto"/>
        <w:jc w:val="both"/>
        <w:rPr>
          <w:rFonts w:cstheme="minorHAnsi"/>
          <w:i/>
          <w:lang w:val="en-US"/>
        </w:rPr>
      </w:pPr>
      <w:r w:rsidRPr="00B660CB">
        <w:rPr>
          <w:rFonts w:cstheme="minorHAnsi"/>
          <w:i/>
          <w:lang w:val="en-US"/>
        </w:rPr>
        <w:t>Experimental Group: Body in Mind Training (BMT)</w:t>
      </w:r>
    </w:p>
    <w:p w14:paraId="724D97D7" w14:textId="03D68D93" w:rsidR="00177956" w:rsidRDefault="00177956" w:rsidP="00177956">
      <w:pPr>
        <w:spacing w:after="0" w:line="480" w:lineRule="auto"/>
        <w:jc w:val="both"/>
        <w:rPr>
          <w:rFonts w:cstheme="minorHAnsi"/>
          <w:lang w:val="en-US"/>
        </w:rPr>
      </w:pPr>
      <w:r w:rsidRPr="00B660CB">
        <w:rPr>
          <w:rFonts w:cstheme="minorHAnsi"/>
          <w:i/>
          <w:lang w:val="en-US"/>
        </w:rPr>
        <w:tab/>
      </w:r>
      <w:r w:rsidRPr="00B660CB">
        <w:rPr>
          <w:rFonts w:cstheme="minorHAnsi"/>
          <w:lang w:val="en-US"/>
        </w:rPr>
        <w:t xml:space="preserve"> The BMT is a mindfulness-based intervention developed for severe mental illness </w:t>
      </w:r>
      <w:r w:rsidRPr="00B660CB">
        <w:rPr>
          <w:rFonts w:cstheme="minorHAnsi"/>
          <w:lang w:val="en-US"/>
        </w:rPr>
        <w:fldChar w:fldCharType="begin"/>
      </w:r>
      <w:r w:rsidRPr="00B660CB">
        <w:rPr>
          <w:rFonts w:cstheme="minorHAnsi"/>
          <w:lang w:val="en-US"/>
        </w:rPr>
        <w:instrText xml:space="preserve"> ADDIN ZOTERO_ITEM CSL_CITATION {"citationID":"7EKypKLm","properties":{"formattedCitation":"(22,23,27)","plainCitation":"(22,23,27)","noteIndex":0},"citationItems":[{"id":"TBRmwTa4/E5ZObcKl","uris":["http://zotero.org/users/local/jM1SJXOg/items/KKFBJXYA"],"uri":["http://zotero.org/users/local/jM1SJXOg/items/KKFBJXYA"],"itemData":{"id":181,"type":"article-journal","abstract":"The discipline of mindfulness has inspired a new programme for individuals with severe mental health difficulties. Tamara Russell introduces Body in Mind Training","container-title":"British Journal of Wellbeing","DOI":"10.12968/bjow.2011.2.4.13","ISSN":"2043-9393","issue":"4","journalAbbreviation":"British Journal of Wellbeing","page":"13-16","source":"magonlinelibrary.com (Atypon)","title":"Body in mind training: mindful movement for severe and enduring mental illness","title-short":"Body in mind training","volume":"2","author":[{"family":"Russell","given":"Tamara"}],"issued":{"date-parts":[["2011",4,1]]}}},{"id":"TBRmwTa4/niIAvgwe","uris":["http://zotero.org/users/local/jM1SJXOg/items/64NU4TIL"],"uri":["http://zotero.org/users/local/jM1SJXOg/items/64NU4TIL"],"itemData":{"id":1524,"type":"book","abstract":"Discover a life of ease and joy through movement-based mindfulness  Mindfulness in Motion presents the Body in Mind Training programme: a truly groundbreaking new approach to mindfulness that is practised not by sitting still but by engaging with the moving body.  Written by neuroscientist and mindfulness expert Dr Tamara Russell, this is the only book on mindfulness to explain exactly why moving meditation is the best way of ‘rewiring’ the brain, teaching it to focus on the present moment. Her simple exercises are designed to be accessible to everyone, including those who can’t seem to find time for practice, and those who have struggled with traditional Zen-inspired mindfulness, with its emphasis on sitting meditation.  This book will guide you step by step through Dr Tamara Russell’s Body in Mind Training (BMT) programme, a unique approach to secular mindfulness that uses the moving body as the main meditation tool. The message is simple: getting out of your head and into your body is the key to a happier, healthier life. Chapter by chapter the book explores the five principles of movement-based mindfulness:  PAUSE In order to hear your body you have to slow down and listen to its voice – this is the starting point for BMT mindfulness practice.  INTENTION Setting your intention before you act can dramatically increase your ability to achieve what you want in life.  ATTENTION You can detect the mind-wandering habits that hold you back and use your attention to create more space for the things that really matter.  UNDERSTANDING ME It’s possible to tame your unruly ‘mental monkeys’ and create new neural pathways in your brain to help you to realize your full potential.  COMPASSION Facing and accepting your own difficult experiences can profoundly transform your relationship with life.  With easy-to-follow exercises, step-by-step photographs, clear brain diagrams and a host of practical tips, this book offers all the tools you need to start living in your body. With a little focus, determination and practice, you too can experience the amazing benefits of mindfulness!","event-place":"Place of publication not identified","ISBN":"978-1-78028-581-8","language":"English","number-of-pages":"144","publisher":"Watkins Publishing","publisher-place":"Place of publication not identified","source":"Amazon","title":"Mindfulness in Motion: Unlock the Secrets of Mindfulness in Motion","title-short":"Mindfulness in Motion","author":[{"family":"Russell","given":"Tamara"}],"issued":{"date-parts":[["2015",9,15]]}}},{"id":"TBRmwTa4/5RicUeo2","uris":["http://zotero.org/users/local/jM1SJXOg/items/CFCHM6FR"],"uri":["http://zotero.org/users/local/jM1SJXOg/items/CFCHM6FR"],"itemData":{"id":1539,"type":"book","title":"Body in mind training: mindful movement for the clinical settin. Neuro Disabil Psychother. 2.","author":[{"literal":"Russell T.A."},{"literal":"Tatton-Ramons T"}]}}],"schema":"https://github.com/citation-style-language/schema/raw/master/csl-citation.json"} </w:instrText>
      </w:r>
      <w:r w:rsidRPr="00B660CB">
        <w:rPr>
          <w:rFonts w:cstheme="minorHAnsi"/>
          <w:lang w:val="en-US"/>
        </w:rPr>
        <w:fldChar w:fldCharType="separate"/>
      </w:r>
      <w:r w:rsidRPr="00B660CB">
        <w:rPr>
          <w:rFonts w:ascii="Calibri" w:hAnsi="Calibri" w:cs="Calibri"/>
          <w:lang w:val="en-US"/>
        </w:rPr>
        <w:t>(22,23,27)</w:t>
      </w:r>
      <w:r w:rsidRPr="00B660CB">
        <w:rPr>
          <w:rFonts w:cstheme="minorHAnsi"/>
          <w:lang w:val="en-US"/>
        </w:rPr>
        <w:fldChar w:fldCharType="end"/>
      </w:r>
      <w:r w:rsidRPr="00B660CB">
        <w:rPr>
          <w:rFonts w:cstheme="minorHAnsi"/>
          <w:lang w:val="en-US"/>
        </w:rPr>
        <w:t xml:space="preserve">. It combines concepts from </w:t>
      </w:r>
      <w:r w:rsidR="000E320A">
        <w:rPr>
          <w:rFonts w:cstheme="minorHAnsi"/>
          <w:lang w:val="en-US"/>
        </w:rPr>
        <w:t xml:space="preserve">the </w:t>
      </w:r>
      <w:r w:rsidRPr="00B660CB">
        <w:rPr>
          <w:rFonts w:cstheme="minorHAnsi"/>
          <w:lang w:val="en-US"/>
        </w:rPr>
        <w:t>neurosciences, mindfulness, embodied cognition, psychology</w:t>
      </w:r>
      <w:r w:rsidR="000E320A">
        <w:rPr>
          <w:rFonts w:cstheme="minorHAnsi"/>
          <w:lang w:val="en-US"/>
        </w:rPr>
        <w:t>,</w:t>
      </w:r>
      <w:r w:rsidRPr="00B660CB">
        <w:rPr>
          <w:rFonts w:cstheme="minorHAnsi"/>
          <w:lang w:val="en-US"/>
        </w:rPr>
        <w:t xml:space="preserve"> and tai chi, and gently uses the body as an anchor to attention and proprioceptive processes </w:t>
      </w:r>
      <w:r w:rsidRPr="00B660CB">
        <w:rPr>
          <w:rFonts w:cstheme="minorHAnsi"/>
          <w:lang w:val="en-US"/>
        </w:rPr>
        <w:fldChar w:fldCharType="begin"/>
      </w:r>
      <w:r w:rsidRPr="00B660CB">
        <w:rPr>
          <w:rFonts w:cstheme="minorHAnsi"/>
          <w:lang w:val="en-US"/>
        </w:rPr>
        <w:instrText xml:space="preserve"> ADDIN ZOTERO_ITEM CSL_CITATION {"citationID":"u4ED8Scl","properties":{"formattedCitation":"(22,23)","plainCitation":"(22,23)","noteIndex":0},"citationItems":[{"id":"TBRmwTa4/E5ZObcKl","uris":["http://zotero.org/users/local/jM1SJXOg/items/KKFBJXYA"],"uri":["http://zotero.org/users/local/jM1SJXOg/items/KKFBJXYA"],"itemData":{"id":181,"type":"article-journal","abstract":"The discipline of mindfulness has inspired a new programme for individuals with severe mental health difficulties. Tamara Russell introduces Body in Mind Training","container-title":"British Journal of Wellbeing","DOI":"10.12968/bjow.2011.2.4.13","ISSN":"2043-9393","issue":"4","journalAbbreviation":"British Journal of Wellbeing","page":"13-16","source":"magonlinelibrary.com (Atypon)","title":"Body in mind training: mindful movement for severe and enduring mental illness","title-short":"Body in mind training","volume":"2","author":[{"family":"Russell","given":"Tamara"}],"issued":{"date-parts":[["2011",4,1]]}}},{"id":"TBRmwTa4/niIAvgwe","uris":["http://zotero.org/users/local/jM1SJXOg/items/64NU4TIL"],"uri":["http://zotero.org/users/local/jM1SJXOg/items/64NU4TIL"],"itemData":{"id":1524,"type":"book","abstract":"Discover a life of ease and joy through movement-based mindfulness  Mindfulness in Motion presents the Body in Mind Training programme: a truly groundbreaking new approach to mindfulness that is practised not by sitting still but by engaging with the moving body.  Written by neuroscientist and mindfulness expert Dr Tamara Russell, this is the only book on mindfulness to explain exactly why moving meditation is the best way of ‘rewiring’ the brain, teaching it to focus on the present moment. Her simple exercises are designed to be accessible to everyone, including those who can’t seem to find time for practice, and those who have struggled with traditional Zen-inspired mindfulness, with its emphasis on sitting meditation.  This book will guide you step by step through Dr Tamara Russell’s Body in Mind Training (BMT) programme, a unique approach to secular mindfulness that uses the moving body as the main meditation tool. The message is simple: getting out of your head and into your body is the key to a happier, healthier life. Chapter by chapter the book explores the five principles of movement-based mindfulness:  PAUSE In order to hear your body you have to slow down and listen to its voice – this is the starting point for BMT mindfulness practice.  INTENTION Setting your intention before you act can dramatically increase your ability to achieve what you want in life.  ATTENTION You can detect the mind-wandering habits that hold you back and use your attention to create more space for the things that really matter.  UNDERSTANDING ME It’s possible to tame your unruly ‘mental monkeys’ and create new neural pathways in your brain to help you to realize your full potential.  COMPASSION Facing and accepting your own difficult experiences can profoundly transform your relationship with life.  With easy-to-follow exercises, step-by-step photographs, clear brain diagrams and a host of practical tips, this book offers all the tools you need to start living in your body. With a little focus, determination and practice, you too can experience the amazing benefits of mindfulness!","event-place":"Place of publication not identified","ISBN":"978-1-78028-581-8","language":"English","number-of-pages":"144","publisher":"Watkins Publishing","publisher-place":"Place of publication not identified","source":"Amazon","title":"Mindfulness in Motion: Unlock the Secrets of Mindfulness in Motion","title-short":"Mindfulness in Motion","author":[{"family":"Russell","given":"Tamara"}],"issued":{"date-parts":[["2015",9,15]]}}}],"schema":"https://github.com/citation-style-language/schema/raw/master/csl-citation.json"} </w:instrText>
      </w:r>
      <w:r w:rsidRPr="00B660CB">
        <w:rPr>
          <w:rFonts w:cstheme="minorHAnsi"/>
          <w:lang w:val="en-US"/>
        </w:rPr>
        <w:fldChar w:fldCharType="separate"/>
      </w:r>
      <w:r w:rsidRPr="00B660CB">
        <w:rPr>
          <w:rFonts w:ascii="Calibri" w:hAnsi="Calibri" w:cs="Calibri"/>
          <w:lang w:val="en-US"/>
        </w:rPr>
        <w:t>(22,23)</w:t>
      </w:r>
      <w:r w:rsidRPr="00B660CB">
        <w:rPr>
          <w:rFonts w:cstheme="minorHAnsi"/>
          <w:lang w:val="en-US"/>
        </w:rPr>
        <w:fldChar w:fldCharType="end"/>
      </w:r>
      <w:r w:rsidRPr="00B660CB">
        <w:rPr>
          <w:rFonts w:cstheme="minorHAnsi"/>
          <w:lang w:val="en-US"/>
        </w:rPr>
        <w:t xml:space="preserve">. Participants are invited to be aware of bodily sensations, to be kind and non-judgmental with the help of body movement </w:t>
      </w:r>
      <w:r w:rsidRPr="00B660CB">
        <w:rPr>
          <w:rFonts w:cstheme="minorHAnsi"/>
          <w:lang w:val="en-US"/>
        </w:rPr>
        <w:fldChar w:fldCharType="begin"/>
      </w:r>
      <w:r w:rsidRPr="00B660CB">
        <w:rPr>
          <w:rFonts w:cstheme="minorHAnsi"/>
          <w:lang w:val="en-US"/>
        </w:rPr>
        <w:instrText xml:space="preserve"> ADDIN ZOTERO_ITEM CSL_CITATION {"citationID":"nKRkzQWn","properties":{"formattedCitation":"(22,23)","plainCitation":"(22,23)","noteIndex":0},"citationItems":[{"id":"TBRmwTa4/E5ZObcKl","uris":["http://zotero.org/users/local/jM1SJXOg/items/KKFBJXYA"],"uri":["http://zotero.org/users/local/jM1SJXOg/items/KKFBJXYA"],"itemData":{"id":181,"type":"article-journal","abstract":"The discipline of mindfulness has inspired a new programme for individuals with severe mental health difficulties. Tamara Russell introduces Body in Mind Training","container-title":"British Journal of Wellbeing","DOI":"10.12968/bjow.2011.2.4.13","ISSN":"2043-9393","issue":"4","journalAbbreviation":"British Journal of Wellbeing","page":"13-16","source":"magonlinelibrary.com (Atypon)","title":"Body in mind training: mindful movement for severe and enduring mental illness","title-short":"Body in mind training","volume":"2","author":[{"family":"Russell","given":"Tamara"}],"issued":{"date-parts":[["2011",4,1]]}}},{"id":"TBRmwTa4/niIAvgwe","uris":["http://zotero.org/users/local/jM1SJXOg/items/64NU4TIL"],"uri":["http://zotero.org/users/local/jM1SJXOg/items/64NU4TIL"],"itemData":{"id":1524,"type":"book","abstract":"Discover a life of ease and joy through movement-based mindfulness  Mindfulness in Motion presents the Body in Mind Training programme: a truly groundbreaking new approach to mindfulness that is practised not by sitting still but by engaging with the moving body.  Written by neuroscientist and mindfulness expert Dr Tamara Russell, this is the only book on mindfulness to explain exactly why moving meditation is the best way of ‘rewiring’ the brain, teaching it to focus on the present moment. Her simple exercises are designed to be accessible to everyone, including those who can’t seem to find time for practice, and those who have struggled with traditional Zen-inspired mindfulness, with its emphasis on sitting meditation.  This book will guide you step by step through Dr Tamara Russell’s Body in Mind Training (BMT) programme, a unique approach to secular mindfulness that uses the moving body as the main meditation tool. The message is simple: getting out of your head and into your body is the key to a happier, healthier life. Chapter by chapter the book explores the five principles of movement-based mindfulness:  PAUSE In order to hear your body you have to slow down and listen to its voice – this is the starting point for BMT mindfulness practice.  INTENTION Setting your intention before you act can dramatically increase your ability to achieve what you want in life.  ATTENTION You can detect the mind-wandering habits that hold you back and use your attention to create more space for the things that really matter.  UNDERSTANDING ME It’s possible to tame your unruly ‘mental monkeys’ and create new neural pathways in your brain to help you to realize your full potential.  COMPASSION Facing and accepting your own difficult experiences can profoundly transform your relationship with life.  With easy-to-follow exercises, step-by-step photographs, clear brain diagrams and a host of practical tips, this book offers all the tools you need to start living in your body. With a little focus, determination and practice, you too can experience the amazing benefits of mindfulness!","event-place":"Place of publication not identified","ISBN":"978-1-78028-581-8","language":"English","number-of-pages":"144","publisher":"Watkins Publishing","publisher-place":"Place of publication not identified","source":"Amazon","title":"Mindfulness in Motion: Unlock the Secrets of Mindfulness in Motion","title-short":"Mindfulness in Motion","author":[{"family":"Russell","given":"Tamara"}],"issued":{"date-parts":[["2015",9,15]]}}}],"schema":"https://github.com/citation-style-language/schema/raw/master/csl-citation.json"} </w:instrText>
      </w:r>
      <w:r w:rsidRPr="00B660CB">
        <w:rPr>
          <w:rFonts w:cstheme="minorHAnsi"/>
          <w:lang w:val="en-US"/>
        </w:rPr>
        <w:fldChar w:fldCharType="separate"/>
      </w:r>
      <w:r w:rsidRPr="00B660CB">
        <w:rPr>
          <w:rFonts w:ascii="Calibri" w:hAnsi="Calibri" w:cs="Calibri"/>
          <w:lang w:val="en-US"/>
        </w:rPr>
        <w:t>(22,23)</w:t>
      </w:r>
      <w:r w:rsidRPr="00B660CB">
        <w:rPr>
          <w:rFonts w:cstheme="minorHAnsi"/>
          <w:lang w:val="en-US"/>
        </w:rPr>
        <w:fldChar w:fldCharType="end"/>
      </w:r>
      <w:r w:rsidRPr="00B660CB">
        <w:rPr>
          <w:rFonts w:cstheme="minorHAnsi"/>
          <w:lang w:val="en-US"/>
        </w:rPr>
        <w:t xml:space="preserve">. The focus on body awareness and movement aims to provide a greater interoceptive (perception of sensations arising within the body) and proprioceptive (perception of body movement and position) feedback to the mind </w:t>
      </w:r>
      <w:r w:rsidRPr="00B660CB">
        <w:rPr>
          <w:rFonts w:cstheme="minorHAnsi"/>
          <w:lang w:val="en-US"/>
        </w:rPr>
        <w:fldChar w:fldCharType="begin"/>
      </w:r>
      <w:r w:rsidRPr="00B660CB">
        <w:rPr>
          <w:rFonts w:cstheme="minorHAnsi"/>
          <w:lang w:val="en-US"/>
        </w:rPr>
        <w:instrText xml:space="preserve"> ADDIN ZOTERO_ITEM CSL_CITATION {"citationID":"g5IyZ8hj","properties":{"formattedCitation":"(23)","plainCitation":"(23)","noteIndex":0},"citationItems":[{"id":"TBRmwTa4/E5ZObcKl","uris":["http://zotero.org/users/local/jM1SJXOg/items/KKFBJXYA"],"uri":["http://zotero.org/users/local/jM1SJXOg/items/KKFBJXYA"],"itemData":{"id":181,"type":"article-journal","abstract":"The discipline of mindfulness has inspired a new programme for individuals with severe mental health difficulties. Tamara Russell introduces Body in Mind Training","container-title":"British Journal of Wellbeing","DOI":"10.12968/bjow.2011.2.4.13","ISSN":"2043-9393","issue":"4","journalAbbreviation":"British Journal of Wellbeing","page":"13-16","source":"magonlinelibrary.com (Atypon)","title":"Body in mind training: mindful movement for severe and enduring mental illness","title-short":"Body in mind training","volume":"2","author":[{"family":"Russell","given":"Tamara"}],"issued":{"date-parts":[["2011",4,1]]}}}],"schema":"https://github.com/citation-style-language/schema/raw/master/csl-citation.json"} </w:instrText>
      </w:r>
      <w:r w:rsidRPr="00B660CB">
        <w:rPr>
          <w:rFonts w:cstheme="minorHAnsi"/>
          <w:lang w:val="en-US"/>
        </w:rPr>
        <w:fldChar w:fldCharType="separate"/>
      </w:r>
      <w:r w:rsidRPr="00B660CB">
        <w:rPr>
          <w:rFonts w:ascii="Calibri" w:hAnsi="Calibri" w:cs="Calibri"/>
          <w:lang w:val="en-US"/>
        </w:rPr>
        <w:t>(23)</w:t>
      </w:r>
      <w:r w:rsidRPr="00B660CB">
        <w:rPr>
          <w:rFonts w:cstheme="minorHAnsi"/>
          <w:lang w:val="en-US"/>
        </w:rPr>
        <w:fldChar w:fldCharType="end"/>
      </w:r>
      <w:r w:rsidRPr="00B660CB">
        <w:rPr>
          <w:rFonts w:cstheme="minorHAnsi"/>
          <w:lang w:val="en-US"/>
        </w:rPr>
        <w:t xml:space="preserve"> and to develop mindfulness ability to promote attentional and emotional regulation and also self-compassion. The original protocol comprises five sessions with the following theoretical frameworks: (a) Session 1: Train to pause; (b) Session 2: Understand intention; (c) Session 3: Understand attention; (d) Session 4: a Ph.D. in me or learning mental habits; and (e) Session 5: Self-</w:t>
      </w:r>
      <w:r w:rsidR="000E320A">
        <w:rPr>
          <w:rFonts w:cstheme="minorHAnsi"/>
          <w:lang w:val="en-US"/>
        </w:rPr>
        <w:t>c</w:t>
      </w:r>
      <w:r w:rsidRPr="00B660CB">
        <w:rPr>
          <w:rFonts w:cstheme="minorHAnsi"/>
          <w:lang w:val="en-US"/>
        </w:rPr>
        <w:t xml:space="preserve">ompassion practices. We added </w:t>
      </w:r>
      <w:r w:rsidR="000E320A">
        <w:rPr>
          <w:rFonts w:cstheme="minorHAnsi"/>
          <w:lang w:val="en-US"/>
        </w:rPr>
        <w:t>three</w:t>
      </w:r>
      <w:r w:rsidRPr="00B660CB">
        <w:rPr>
          <w:rFonts w:cstheme="minorHAnsi"/>
          <w:lang w:val="en-US"/>
        </w:rPr>
        <w:t xml:space="preserve"> sessions to practice self-compassion exercises to the original protocol. The participants were also </w:t>
      </w:r>
      <w:r w:rsidR="000E320A">
        <w:rPr>
          <w:rFonts w:cstheme="minorHAnsi"/>
          <w:lang w:val="en-US"/>
        </w:rPr>
        <w:t>encouraged</w:t>
      </w:r>
      <w:r w:rsidRPr="00B660CB">
        <w:rPr>
          <w:rFonts w:cstheme="minorHAnsi"/>
          <w:lang w:val="en-US"/>
        </w:rPr>
        <w:t xml:space="preserve"> to engage in 20-minute practices </w:t>
      </w:r>
      <w:r w:rsidR="000E320A">
        <w:rPr>
          <w:rFonts w:cstheme="minorHAnsi"/>
          <w:lang w:val="en-US"/>
        </w:rPr>
        <w:t>each</w:t>
      </w:r>
      <w:r w:rsidRPr="00B660CB">
        <w:rPr>
          <w:rFonts w:cstheme="minorHAnsi"/>
          <w:lang w:val="en-US"/>
        </w:rPr>
        <w:t xml:space="preserve"> day through a popular phone chat group (WhatsApp) managed by the group psychologist (TT). Despite movement practices </w:t>
      </w:r>
      <w:r w:rsidR="000E320A">
        <w:rPr>
          <w:rFonts w:cstheme="minorHAnsi"/>
          <w:lang w:val="en-US"/>
        </w:rPr>
        <w:t>being</w:t>
      </w:r>
      <w:r w:rsidRPr="00B660CB">
        <w:rPr>
          <w:rFonts w:cstheme="minorHAnsi"/>
          <w:lang w:val="en-US"/>
        </w:rPr>
        <w:t xml:space="preserve"> the central component in sessions, the participants were encouraged to choose those practices that were more helpful or appropriate for them as homework. </w:t>
      </w:r>
    </w:p>
    <w:p w14:paraId="5F28C772" w14:textId="77777777" w:rsidR="00177956" w:rsidRDefault="00177956" w:rsidP="007B3DD6">
      <w:pPr>
        <w:spacing w:after="0" w:line="480" w:lineRule="auto"/>
        <w:jc w:val="both"/>
        <w:rPr>
          <w:rFonts w:cstheme="minorHAnsi"/>
          <w:i/>
          <w:lang w:val="en-US"/>
        </w:rPr>
      </w:pPr>
    </w:p>
    <w:p w14:paraId="465CD856" w14:textId="77777777" w:rsidR="00177956" w:rsidRPr="00B660CB" w:rsidRDefault="00177956" w:rsidP="00177956">
      <w:pPr>
        <w:spacing w:after="0" w:line="480" w:lineRule="auto"/>
        <w:jc w:val="both"/>
        <w:rPr>
          <w:rFonts w:cstheme="minorHAnsi"/>
          <w:i/>
          <w:lang w:val="en-US"/>
        </w:rPr>
      </w:pPr>
      <w:r w:rsidRPr="00B660CB">
        <w:rPr>
          <w:rFonts w:cstheme="minorHAnsi"/>
          <w:i/>
          <w:lang w:val="en-US"/>
        </w:rPr>
        <w:t>Quality of Life and Psychoeducation Group (QoL)</w:t>
      </w:r>
    </w:p>
    <w:p w14:paraId="72E42E2F" w14:textId="12484415" w:rsidR="00177956" w:rsidRDefault="00177956" w:rsidP="00177956">
      <w:pPr>
        <w:spacing w:after="0" w:line="480" w:lineRule="auto"/>
        <w:ind w:firstLine="708"/>
        <w:jc w:val="both"/>
        <w:rPr>
          <w:rFonts w:cstheme="minorHAnsi"/>
          <w:lang w:val="en-US"/>
        </w:rPr>
      </w:pPr>
      <w:r w:rsidRPr="00B660CB">
        <w:rPr>
          <w:rFonts w:cstheme="minorHAnsi"/>
          <w:shd w:val="clear" w:color="auto" w:fill="FFFFFF"/>
          <w:lang w:val="en-US"/>
        </w:rPr>
        <w:t xml:space="preserve">We used this group as an active control group to BMT. It was characterized by 2-hour weekly sessions for </w:t>
      </w:r>
      <w:r w:rsidR="000E320A">
        <w:rPr>
          <w:rFonts w:cstheme="minorHAnsi"/>
          <w:shd w:val="clear" w:color="auto" w:fill="FFFFFF"/>
          <w:lang w:val="en-US"/>
        </w:rPr>
        <w:t>eight</w:t>
      </w:r>
      <w:r w:rsidRPr="00B660CB">
        <w:rPr>
          <w:rFonts w:cstheme="minorHAnsi"/>
          <w:shd w:val="clear" w:color="auto" w:fill="FFFFFF"/>
          <w:lang w:val="en-US"/>
        </w:rPr>
        <w:t xml:space="preserve"> weeks</w:t>
      </w:r>
      <w:r>
        <w:rPr>
          <w:rFonts w:cstheme="minorHAnsi"/>
          <w:shd w:val="clear" w:color="auto" w:fill="FFFFFF"/>
          <w:lang w:val="en-US"/>
        </w:rPr>
        <w:t xml:space="preserve"> </w:t>
      </w:r>
      <w:r w:rsidRPr="00E13314">
        <w:rPr>
          <w:rFonts w:cstheme="minorHAnsi"/>
          <w:shd w:val="clear" w:color="auto" w:fill="FFFFFF"/>
          <w:lang w:val="en-US"/>
        </w:rPr>
        <w:t>based on psychoeducational principles</w:t>
      </w:r>
      <w:r>
        <w:rPr>
          <w:rFonts w:cstheme="minorHAnsi"/>
          <w:shd w:val="clear" w:color="auto" w:fill="FFFFFF"/>
          <w:lang w:val="en-US"/>
        </w:rPr>
        <w:t>,</w:t>
      </w:r>
      <w:r w:rsidRPr="00E13314">
        <w:rPr>
          <w:rFonts w:cstheme="minorHAnsi"/>
          <w:shd w:val="clear" w:color="auto" w:fill="FFFFFF"/>
          <w:lang w:val="en-US"/>
        </w:rPr>
        <w:t xml:space="preserve"> </w:t>
      </w:r>
      <w:r w:rsidRPr="00B660CB">
        <w:rPr>
          <w:rFonts w:cstheme="minorHAnsi"/>
          <w:shd w:val="clear" w:color="auto" w:fill="FFFFFF"/>
          <w:lang w:val="en-US"/>
        </w:rPr>
        <w:t>delivered by a trained psychologist (FG) with seven years</w:t>
      </w:r>
      <w:r w:rsidR="000E320A">
        <w:rPr>
          <w:rFonts w:cstheme="minorHAnsi"/>
          <w:shd w:val="clear" w:color="auto" w:fill="FFFFFF"/>
          <w:lang w:val="en-US"/>
        </w:rPr>
        <w:t>’</w:t>
      </w:r>
      <w:r w:rsidRPr="00B660CB">
        <w:rPr>
          <w:rFonts w:cstheme="minorHAnsi"/>
          <w:shd w:val="clear" w:color="auto" w:fill="FFFFFF"/>
          <w:lang w:val="en-US"/>
        </w:rPr>
        <w:t xml:space="preserve"> clinical experience </w:t>
      </w:r>
      <w:r w:rsidR="00AA6574">
        <w:rPr>
          <w:rFonts w:cstheme="minorHAnsi"/>
          <w:shd w:val="clear" w:color="auto" w:fill="FFFFFF"/>
          <w:lang w:val="en-US"/>
        </w:rPr>
        <w:t xml:space="preserve">of working </w:t>
      </w:r>
      <w:r w:rsidRPr="00B660CB">
        <w:rPr>
          <w:rFonts w:cstheme="minorHAnsi"/>
          <w:shd w:val="clear" w:color="auto" w:fill="FFFFFF"/>
          <w:lang w:val="en-US"/>
        </w:rPr>
        <w:t>with</w:t>
      </w:r>
      <w:r w:rsidRPr="00B660CB">
        <w:rPr>
          <w:rFonts w:cstheme="minorHAnsi"/>
          <w:lang w:val="en-US"/>
        </w:rPr>
        <w:t xml:space="preserve"> both psychoeducation and intervention groups. Each treatment group consisted of 8 to 15 participants.</w:t>
      </w:r>
      <w:r w:rsidRPr="00B660CB">
        <w:rPr>
          <w:rFonts w:cstheme="minorHAnsi"/>
          <w:shd w:val="clear" w:color="auto" w:fill="FFFFFF"/>
          <w:lang w:val="en-US"/>
        </w:rPr>
        <w:t xml:space="preserve"> </w:t>
      </w:r>
      <w:r w:rsidRPr="00B660CB">
        <w:rPr>
          <w:rFonts w:cstheme="minorHAnsi"/>
          <w:lang w:val="en-US"/>
        </w:rPr>
        <w:t xml:space="preserve">In the first five sessions, the psychologist introduced and discussed important topics for controlling anxiety in a class format followed by </w:t>
      </w:r>
      <w:r w:rsidR="000E320A">
        <w:rPr>
          <w:rFonts w:cstheme="minorHAnsi"/>
          <w:lang w:val="en-US"/>
        </w:rPr>
        <w:t xml:space="preserve">a </w:t>
      </w:r>
      <w:r w:rsidRPr="00B660CB">
        <w:rPr>
          <w:rFonts w:cstheme="minorHAnsi"/>
          <w:lang w:val="en-US"/>
        </w:rPr>
        <w:t xml:space="preserve">group discussion </w:t>
      </w:r>
      <w:r w:rsidR="000E320A">
        <w:rPr>
          <w:rFonts w:cstheme="minorHAnsi"/>
          <w:lang w:val="en-US"/>
        </w:rPr>
        <w:t>on</w:t>
      </w:r>
      <w:r w:rsidRPr="00B660CB">
        <w:rPr>
          <w:rFonts w:cstheme="minorHAnsi"/>
          <w:lang w:val="en-US"/>
        </w:rPr>
        <w:t xml:space="preserve"> the following topics: (a) Session 1: GAD psychoeducation; (b) Session 2: Substance use; (c) Session 3: Sleep </w:t>
      </w:r>
      <w:r w:rsidR="000E320A">
        <w:rPr>
          <w:rFonts w:cstheme="minorHAnsi"/>
          <w:lang w:val="en-US"/>
        </w:rPr>
        <w:t>h</w:t>
      </w:r>
      <w:r w:rsidRPr="00B660CB">
        <w:rPr>
          <w:rFonts w:cstheme="minorHAnsi"/>
          <w:lang w:val="en-US"/>
        </w:rPr>
        <w:t xml:space="preserve">ygiene; (d) Session 4: Physical activity; and (e) Session 5: Healthy eating. The participants were </w:t>
      </w:r>
      <w:r w:rsidR="000E320A">
        <w:rPr>
          <w:rFonts w:cstheme="minorHAnsi"/>
          <w:lang w:val="en-US"/>
        </w:rPr>
        <w:t>encouraged</w:t>
      </w:r>
      <w:r w:rsidRPr="00B660CB">
        <w:rPr>
          <w:rFonts w:cstheme="minorHAnsi"/>
          <w:lang w:val="en-US"/>
        </w:rPr>
        <w:t xml:space="preserve"> to </w:t>
      </w:r>
      <w:r w:rsidR="00A0365A">
        <w:rPr>
          <w:rFonts w:cstheme="minorHAnsi"/>
          <w:lang w:val="en-US"/>
        </w:rPr>
        <w:t>adopt</w:t>
      </w:r>
      <w:r w:rsidRPr="00B660CB">
        <w:rPr>
          <w:rFonts w:cstheme="minorHAnsi"/>
          <w:lang w:val="en-US"/>
        </w:rPr>
        <w:t xml:space="preserve"> new healthy habits </w:t>
      </w:r>
      <w:r w:rsidR="000E320A">
        <w:rPr>
          <w:rFonts w:cstheme="minorHAnsi"/>
          <w:lang w:val="en-US"/>
        </w:rPr>
        <w:t xml:space="preserve">introduced </w:t>
      </w:r>
      <w:r w:rsidR="00AA6574">
        <w:rPr>
          <w:rFonts w:cstheme="minorHAnsi"/>
          <w:lang w:val="en-US"/>
        </w:rPr>
        <w:t>during</w:t>
      </w:r>
      <w:r w:rsidRPr="00B660CB">
        <w:rPr>
          <w:rFonts w:cstheme="minorHAnsi"/>
          <w:lang w:val="en-US"/>
        </w:rPr>
        <w:t xml:space="preserve"> the </w:t>
      </w:r>
      <w:r w:rsidR="000E320A">
        <w:rPr>
          <w:rFonts w:cstheme="minorHAnsi"/>
          <w:lang w:val="en-US"/>
        </w:rPr>
        <w:t>three</w:t>
      </w:r>
      <w:r w:rsidRPr="00B660CB">
        <w:rPr>
          <w:rFonts w:cstheme="minorHAnsi"/>
          <w:lang w:val="en-US"/>
        </w:rPr>
        <w:t xml:space="preserve"> final sessions, and to discuss </w:t>
      </w:r>
      <w:r w:rsidR="00A0365A">
        <w:rPr>
          <w:rFonts w:cstheme="minorHAnsi"/>
          <w:lang w:val="en-US"/>
        </w:rPr>
        <w:t xml:space="preserve">their </w:t>
      </w:r>
      <w:r w:rsidRPr="00B660CB">
        <w:rPr>
          <w:rFonts w:cstheme="minorHAnsi"/>
          <w:lang w:val="en-US"/>
        </w:rPr>
        <w:t xml:space="preserve">difficulties </w:t>
      </w:r>
      <w:r w:rsidR="006B0258">
        <w:rPr>
          <w:rFonts w:cstheme="minorHAnsi"/>
          <w:lang w:val="en-US"/>
        </w:rPr>
        <w:t>in</w:t>
      </w:r>
      <w:r w:rsidRPr="00B660CB">
        <w:rPr>
          <w:rFonts w:cstheme="minorHAnsi"/>
          <w:lang w:val="en-US"/>
        </w:rPr>
        <w:t xml:space="preserve"> implementing these new habits. At the end of each meeting, the therapist suggested, without any structured homework or individualized goals</w:t>
      </w:r>
      <w:r w:rsidR="00932AE5">
        <w:rPr>
          <w:rFonts w:cstheme="minorHAnsi"/>
          <w:lang w:val="en-US"/>
        </w:rPr>
        <w:t>,</w:t>
      </w:r>
      <w:r w:rsidRPr="00B660CB">
        <w:rPr>
          <w:rFonts w:cstheme="minorHAnsi"/>
          <w:lang w:val="en-US"/>
        </w:rPr>
        <w:t xml:space="preserve"> that participants should engage in the learned healthier habits. A WhatsApp group managed by the psychologist was used to send motivational messages during the week. The QoL sessions were planned with the senior research group coordinator (GGM) and adherence to the QoL protocol was assured by means of weekly supervisions </w:t>
      </w:r>
      <w:r w:rsidR="00932AE5">
        <w:rPr>
          <w:rFonts w:cstheme="minorHAnsi"/>
          <w:lang w:val="en-US"/>
        </w:rPr>
        <w:t xml:space="preserve">held </w:t>
      </w:r>
      <w:r w:rsidRPr="00B660CB">
        <w:rPr>
          <w:rFonts w:cstheme="minorHAnsi"/>
          <w:lang w:val="en-US"/>
        </w:rPr>
        <w:t>with her (GGM).</w:t>
      </w:r>
    </w:p>
    <w:p w14:paraId="7866DAFF" w14:textId="350E8B63" w:rsidR="002934E0" w:rsidRDefault="002934E0" w:rsidP="00177956">
      <w:pPr>
        <w:spacing w:after="0" w:line="480" w:lineRule="auto"/>
        <w:ind w:firstLine="708"/>
        <w:jc w:val="both"/>
        <w:rPr>
          <w:rFonts w:cstheme="minorHAnsi"/>
          <w:lang w:val="en-US"/>
        </w:rPr>
      </w:pPr>
    </w:p>
    <w:p w14:paraId="5552C09D" w14:textId="1080D0BF" w:rsidR="002934E0" w:rsidRPr="005678C8" w:rsidRDefault="00253C2F" w:rsidP="005678C8">
      <w:pPr>
        <w:spacing w:after="0" w:line="480" w:lineRule="auto"/>
        <w:jc w:val="both"/>
        <w:rPr>
          <w:rFonts w:cstheme="minorHAnsi"/>
          <w:b/>
          <w:bCs/>
          <w:lang w:val="en-US"/>
        </w:rPr>
      </w:pPr>
      <w:bookmarkStart w:id="1" w:name="_Hlk51777949"/>
      <w:r>
        <w:rPr>
          <w:rFonts w:cstheme="minorHAnsi"/>
          <w:b/>
          <w:bCs/>
          <w:lang w:val="en-US"/>
        </w:rPr>
        <w:t>Supplemental</w:t>
      </w:r>
      <w:r w:rsidR="00A2502D">
        <w:rPr>
          <w:rFonts w:cstheme="minorHAnsi"/>
          <w:b/>
          <w:bCs/>
          <w:lang w:val="en-US"/>
        </w:rPr>
        <w:t xml:space="preserve"> </w:t>
      </w:r>
      <w:bookmarkEnd w:id="1"/>
      <w:r w:rsidR="002934E0">
        <w:rPr>
          <w:rFonts w:cstheme="minorHAnsi"/>
          <w:b/>
          <w:bCs/>
          <w:lang w:val="en-US"/>
        </w:rPr>
        <w:t>A</w:t>
      </w:r>
      <w:r w:rsidR="002934E0" w:rsidRPr="002934E0">
        <w:rPr>
          <w:rFonts w:cstheme="minorHAnsi"/>
          <w:b/>
          <w:bCs/>
          <w:lang w:val="en-US"/>
        </w:rPr>
        <w:t>nalysis</w:t>
      </w:r>
    </w:p>
    <w:p w14:paraId="62B41D20" w14:textId="77777777" w:rsidR="002934E0" w:rsidRPr="002934E0" w:rsidRDefault="002934E0" w:rsidP="002934E0">
      <w:pPr>
        <w:spacing w:after="0" w:line="480" w:lineRule="auto"/>
        <w:ind w:firstLine="708"/>
        <w:jc w:val="both"/>
        <w:rPr>
          <w:rFonts w:cstheme="minorHAnsi"/>
          <w:lang w:val="en-US"/>
        </w:rPr>
      </w:pPr>
      <w:r w:rsidRPr="002934E0">
        <w:rPr>
          <w:rFonts w:cstheme="minorHAnsi"/>
          <w:lang w:val="en-US"/>
        </w:rPr>
        <w:t>The analyses of participants who completed the 8-week protocol showed similar results compared with the ITT analyses. Our data reported significant group-by-time interactions in all evaluated outcomes despite the WHOQOL-</w:t>
      </w:r>
      <w:proofErr w:type="spellStart"/>
      <w:r w:rsidRPr="002934E0">
        <w:rPr>
          <w:rFonts w:cstheme="minorHAnsi"/>
          <w:lang w:val="en-US"/>
        </w:rPr>
        <w:t>Bref</w:t>
      </w:r>
      <w:proofErr w:type="spellEnd"/>
      <w:r w:rsidRPr="002934E0">
        <w:rPr>
          <w:rFonts w:cstheme="minorHAnsi"/>
          <w:lang w:val="en-US"/>
        </w:rPr>
        <w:t>, and that FLX was not superior to BMT considering the HAM-A assessment. The FLX group was superior to QoL and to BMT at week 8, but BMT was not superior to QoL in HAM-A, PSWQ, and GAD-7. We described these analyses for all the outcomes, as can be seen below.</w:t>
      </w:r>
    </w:p>
    <w:p w14:paraId="6853E88B" w14:textId="77777777" w:rsidR="00C13673" w:rsidRDefault="00C13673" w:rsidP="002934E0">
      <w:pPr>
        <w:spacing w:after="0" w:line="480" w:lineRule="auto"/>
        <w:ind w:firstLine="708"/>
        <w:jc w:val="both"/>
        <w:rPr>
          <w:rFonts w:cstheme="minorHAnsi"/>
          <w:lang w:val="en-US"/>
        </w:rPr>
      </w:pPr>
    </w:p>
    <w:p w14:paraId="32CE4984" w14:textId="1A0C638D" w:rsidR="002934E0" w:rsidRPr="003851D1" w:rsidRDefault="002934E0" w:rsidP="002934E0">
      <w:pPr>
        <w:spacing w:after="0" w:line="480" w:lineRule="auto"/>
        <w:ind w:firstLine="708"/>
        <w:jc w:val="both"/>
        <w:rPr>
          <w:rFonts w:cstheme="minorHAnsi"/>
          <w:i/>
          <w:iCs/>
          <w:lang w:val="en-US"/>
        </w:rPr>
      </w:pPr>
      <w:r w:rsidRPr="003851D1">
        <w:rPr>
          <w:rFonts w:cstheme="minorHAnsi"/>
          <w:i/>
          <w:iCs/>
          <w:lang w:val="en-US"/>
        </w:rPr>
        <w:lastRenderedPageBreak/>
        <w:t>Clinician-rated Hamilton Anxiety Rating Scale (HAM-A)</w:t>
      </w:r>
    </w:p>
    <w:p w14:paraId="218B505A" w14:textId="79689EDC" w:rsidR="00C13673" w:rsidRDefault="002934E0" w:rsidP="002934E0">
      <w:pPr>
        <w:spacing w:after="0" w:line="480" w:lineRule="auto"/>
        <w:ind w:firstLine="708"/>
        <w:jc w:val="both"/>
        <w:rPr>
          <w:b/>
          <w:lang w:val="en-US"/>
        </w:rPr>
      </w:pPr>
      <w:r w:rsidRPr="002934E0">
        <w:rPr>
          <w:rFonts w:cstheme="minorHAnsi"/>
          <w:lang w:val="en-US"/>
        </w:rPr>
        <w:t>Completer analysis showed significant group-by-time interactions (p = .02). At week 8, FLX was superior to QoL (mean difference = -4.87; CI 95% -8.44 to -1.3; p = .008), but BMT was not superior to QoL for reducing HAM-A scores (mean difference = -1.67; CI 95% -5.47 to 2.14; p = .391).</w:t>
      </w:r>
    </w:p>
    <w:p w14:paraId="6287D81E" w14:textId="77777777" w:rsidR="00C13673" w:rsidRDefault="00C13673" w:rsidP="00C13673">
      <w:pPr>
        <w:spacing w:after="0" w:line="480" w:lineRule="auto"/>
        <w:ind w:firstLine="708"/>
        <w:jc w:val="both"/>
        <w:rPr>
          <w:bCs/>
          <w:lang w:val="en-US"/>
        </w:rPr>
      </w:pPr>
    </w:p>
    <w:p w14:paraId="7E7D5E9A" w14:textId="6CDC8283" w:rsidR="00C13673" w:rsidRPr="003851D1" w:rsidRDefault="00C13673" w:rsidP="00C13673">
      <w:pPr>
        <w:spacing w:after="0" w:line="480" w:lineRule="auto"/>
        <w:ind w:firstLine="708"/>
        <w:jc w:val="both"/>
        <w:rPr>
          <w:bCs/>
          <w:i/>
          <w:iCs/>
          <w:lang w:val="en-US"/>
        </w:rPr>
      </w:pPr>
      <w:r w:rsidRPr="003851D1">
        <w:rPr>
          <w:bCs/>
          <w:i/>
          <w:iCs/>
          <w:lang w:val="en-US"/>
        </w:rPr>
        <w:t>Clinician-rated Penn State Worry Questionnaire (PSWQ)</w:t>
      </w:r>
    </w:p>
    <w:p w14:paraId="2AA32BFD" w14:textId="77777777" w:rsidR="00C13673" w:rsidRPr="003851D1" w:rsidRDefault="00C13673" w:rsidP="00C13673">
      <w:pPr>
        <w:spacing w:after="0" w:line="480" w:lineRule="auto"/>
        <w:ind w:firstLine="708"/>
        <w:jc w:val="both"/>
        <w:rPr>
          <w:bCs/>
          <w:lang w:val="en-US"/>
        </w:rPr>
      </w:pPr>
      <w:r w:rsidRPr="003851D1">
        <w:rPr>
          <w:bCs/>
          <w:lang w:val="en-US"/>
        </w:rPr>
        <w:t>Completer analysis showed significant group-by-time interactions (p &lt; .001). At week 8, FLX was superior to QoL (mean difference = -4.45; CI 95% -7.8 to -1.09; p = .009) and to BMT (mean difference = -5.04; CI 95% -8.54 to -1.53; p = .005), but BMT was not superior to QoL for reducing PSWQ scores (mean difference = 0.59; CI 95% -3.21 to 4.39; p = .76).</w:t>
      </w:r>
    </w:p>
    <w:p w14:paraId="50DB4E11" w14:textId="77777777" w:rsidR="00C13673" w:rsidRPr="003851D1" w:rsidRDefault="00C13673" w:rsidP="00C13673">
      <w:pPr>
        <w:spacing w:after="0" w:line="480" w:lineRule="auto"/>
        <w:ind w:firstLine="708"/>
        <w:jc w:val="both"/>
        <w:rPr>
          <w:bCs/>
          <w:lang w:val="en-US"/>
        </w:rPr>
      </w:pPr>
    </w:p>
    <w:p w14:paraId="084ED51F" w14:textId="77777777" w:rsidR="00C13673" w:rsidRPr="003851D1" w:rsidRDefault="00C13673" w:rsidP="00C13673">
      <w:pPr>
        <w:spacing w:after="0" w:line="480" w:lineRule="auto"/>
        <w:ind w:firstLine="708"/>
        <w:jc w:val="both"/>
        <w:rPr>
          <w:bCs/>
          <w:i/>
          <w:iCs/>
          <w:lang w:val="en-US"/>
        </w:rPr>
      </w:pPr>
      <w:r w:rsidRPr="003851D1">
        <w:rPr>
          <w:bCs/>
          <w:i/>
          <w:iCs/>
          <w:lang w:val="en-US"/>
        </w:rPr>
        <w:t>Patient-rated Generalized Anxiety Disorder 7-item (GAD-7) Scale</w:t>
      </w:r>
    </w:p>
    <w:p w14:paraId="2DE19785" w14:textId="17704336" w:rsidR="007F0CC4" w:rsidRPr="00B660CB" w:rsidRDefault="00C13673" w:rsidP="007F0CC4">
      <w:pPr>
        <w:spacing w:after="0" w:line="480" w:lineRule="auto"/>
        <w:ind w:firstLine="708"/>
        <w:jc w:val="both"/>
        <w:rPr>
          <w:rFonts w:cstheme="minorHAnsi"/>
          <w:lang w:val="en-US"/>
        </w:rPr>
      </w:pPr>
      <w:r w:rsidRPr="003851D1">
        <w:rPr>
          <w:bCs/>
          <w:lang w:val="en-US"/>
        </w:rPr>
        <w:t>Completer analysis showed significant group-by-time interactions (p &lt; .001). At week 8, FLX was superior to QoL (mean difference = -3.27; CI 95% -6.29 to -0.25; p = .034) and to BMT (mean difference = -4.01; CI 95% -6.99 to -1.04; p = .008), but BMT was not superior to QoL for reducing GAD-7 scores (mean difference = -0.74; CI 95% -4.55 to 3.07; p = .703).</w:t>
      </w:r>
      <w:r w:rsidR="007F0CC4">
        <w:rPr>
          <w:bCs/>
          <w:lang w:val="en-US"/>
        </w:rPr>
        <w:t xml:space="preserve"> </w:t>
      </w:r>
      <w:r w:rsidR="007F0CC4">
        <w:rPr>
          <w:lang w:val="en-US"/>
        </w:rPr>
        <w:t>T</w:t>
      </w:r>
      <w:r w:rsidR="007F0CC4" w:rsidRPr="00F96828">
        <w:rPr>
          <w:lang w:val="en-US"/>
        </w:rPr>
        <w:t>he</w:t>
      </w:r>
      <w:r w:rsidR="007F0CC4" w:rsidRPr="007F0CC4">
        <w:rPr>
          <w:lang w:val="en-GB"/>
        </w:rPr>
        <w:t xml:space="preserve"> </w:t>
      </w:r>
      <w:r w:rsidR="007F0CC4" w:rsidRPr="007F0CC4">
        <w:rPr>
          <w:lang w:val="en-US"/>
        </w:rPr>
        <w:t>sensitivity analysis with all randomized individuals using the GAD-7</w:t>
      </w:r>
      <w:r w:rsidR="007F0CC4">
        <w:rPr>
          <w:lang w:val="en-US"/>
        </w:rPr>
        <w:t xml:space="preserve"> revealed the same results. All </w:t>
      </w:r>
      <w:r w:rsidR="007F0CC4" w:rsidRPr="00F96828">
        <w:rPr>
          <w:lang w:val="en-US"/>
        </w:rPr>
        <w:t xml:space="preserve">three groups improved from baseline </w:t>
      </w:r>
      <w:r w:rsidR="007F0CC4">
        <w:rPr>
          <w:lang w:val="en-US"/>
        </w:rPr>
        <w:t>t</w:t>
      </w:r>
      <w:r w:rsidR="007F0CC4" w:rsidRPr="00F96828">
        <w:rPr>
          <w:lang w:val="en-US"/>
        </w:rPr>
        <w:t xml:space="preserve">o the endpoint. </w:t>
      </w:r>
      <w:r w:rsidR="007F0CC4">
        <w:rPr>
          <w:lang w:val="en-US"/>
        </w:rPr>
        <w:t>S</w:t>
      </w:r>
      <w:r w:rsidR="007F0CC4" w:rsidRPr="00F96828">
        <w:rPr>
          <w:lang w:val="en-US"/>
        </w:rPr>
        <w:t>ignificant time-by-group interactions were detected (p=.004), but BMT was not superior to QoL at the end of treatment (p = .387), whereas FLX was superior to BMT (p = 0.016) and to the QoL group (p = .006).</w:t>
      </w:r>
    </w:p>
    <w:p w14:paraId="2595B163" w14:textId="77777777" w:rsidR="00C13673" w:rsidRPr="003851D1" w:rsidRDefault="00C13673" w:rsidP="00C13673">
      <w:pPr>
        <w:spacing w:after="0" w:line="480" w:lineRule="auto"/>
        <w:ind w:firstLine="708"/>
        <w:jc w:val="both"/>
        <w:rPr>
          <w:bCs/>
          <w:lang w:val="en-US"/>
        </w:rPr>
      </w:pPr>
    </w:p>
    <w:p w14:paraId="7AC2FB9A" w14:textId="77777777" w:rsidR="00C13673" w:rsidRPr="003851D1" w:rsidRDefault="00C13673" w:rsidP="00C13673">
      <w:pPr>
        <w:spacing w:after="0" w:line="480" w:lineRule="auto"/>
        <w:ind w:firstLine="708"/>
        <w:jc w:val="both"/>
        <w:rPr>
          <w:bCs/>
          <w:i/>
          <w:iCs/>
          <w:lang w:val="en-US"/>
        </w:rPr>
      </w:pPr>
      <w:r w:rsidRPr="003851D1">
        <w:rPr>
          <w:bCs/>
          <w:i/>
          <w:iCs/>
          <w:lang w:val="en-US"/>
        </w:rPr>
        <w:t>Patient-rated WHOQOL-</w:t>
      </w:r>
      <w:proofErr w:type="spellStart"/>
      <w:r w:rsidRPr="003851D1">
        <w:rPr>
          <w:bCs/>
          <w:i/>
          <w:iCs/>
          <w:lang w:val="en-US"/>
        </w:rPr>
        <w:t>Bref</w:t>
      </w:r>
      <w:proofErr w:type="spellEnd"/>
      <w:r w:rsidRPr="003851D1">
        <w:rPr>
          <w:bCs/>
          <w:i/>
          <w:iCs/>
          <w:lang w:val="en-US"/>
        </w:rPr>
        <w:t xml:space="preserve"> </w:t>
      </w:r>
    </w:p>
    <w:p w14:paraId="59FA14A5" w14:textId="253B3E94" w:rsidR="00C13673" w:rsidRPr="003851D1" w:rsidRDefault="00C13673" w:rsidP="003851D1">
      <w:pPr>
        <w:spacing w:after="0" w:line="480" w:lineRule="auto"/>
        <w:ind w:firstLine="708"/>
        <w:jc w:val="both"/>
        <w:rPr>
          <w:bCs/>
          <w:lang w:val="en-US"/>
        </w:rPr>
      </w:pPr>
      <w:r w:rsidRPr="003851D1">
        <w:rPr>
          <w:bCs/>
          <w:lang w:val="en-US"/>
        </w:rPr>
        <w:t>Completer analysis did not show any significant group-by-time interactions (p = .358). At week 8, BMT was not superior to QoL (mean difference = 0.61; CI 95% -6.08 to 7.31; p = .85).</w:t>
      </w:r>
    </w:p>
    <w:p w14:paraId="05263BF1" w14:textId="77777777" w:rsidR="005E4401" w:rsidRDefault="005E4401">
      <w:pPr>
        <w:rPr>
          <w:b/>
          <w:lang w:val="en-US"/>
        </w:rPr>
      </w:pPr>
    </w:p>
    <w:p w14:paraId="2A8034AA" w14:textId="1FA12C1E" w:rsidR="00DC13FD" w:rsidRDefault="003A2924">
      <w:pPr>
        <w:rPr>
          <w:b/>
          <w:lang w:val="en-US"/>
        </w:rPr>
      </w:pPr>
      <w:r>
        <w:rPr>
          <w:b/>
          <w:lang w:val="en-US"/>
        </w:rPr>
        <w:lastRenderedPageBreak/>
        <w:t>F</w:t>
      </w:r>
      <w:r w:rsidR="00E74454">
        <w:rPr>
          <w:b/>
          <w:lang w:val="en-US"/>
        </w:rPr>
        <w:t>IGURES</w:t>
      </w:r>
    </w:p>
    <w:p w14:paraId="4FFF5422" w14:textId="5505A6A6" w:rsidR="006B33C9" w:rsidRPr="00021967" w:rsidRDefault="006B33C9" w:rsidP="00DC13FD">
      <w:pPr>
        <w:rPr>
          <w:b/>
          <w:sz w:val="20"/>
          <w:szCs w:val="20"/>
          <w:lang w:val="en-US"/>
        </w:rPr>
      </w:pPr>
    </w:p>
    <w:p w14:paraId="2FC4C260" w14:textId="77777777" w:rsidR="00C931C5" w:rsidRDefault="00C931C5" w:rsidP="006B33C9">
      <w:pPr>
        <w:rPr>
          <w:b/>
          <w:lang w:val="en-US"/>
        </w:rPr>
      </w:pPr>
    </w:p>
    <w:tbl>
      <w:tblPr>
        <w:tblW w:w="7196" w:type="dxa"/>
        <w:tblLayout w:type="fixed"/>
        <w:tblLook w:val="04A0" w:firstRow="1" w:lastRow="0" w:firstColumn="1" w:lastColumn="0" w:noHBand="0" w:noVBand="1"/>
      </w:tblPr>
      <w:tblGrid>
        <w:gridCol w:w="7196"/>
      </w:tblGrid>
      <w:tr w:rsidR="00177956" w:rsidRPr="00990563" w14:paraId="45FAFDF7" w14:textId="77777777" w:rsidTr="00D14550">
        <w:tc>
          <w:tcPr>
            <w:tcW w:w="7196" w:type="dxa"/>
            <w:shd w:val="clear" w:color="auto" w:fill="auto"/>
          </w:tcPr>
          <w:p w14:paraId="05F93F38" w14:textId="77777777" w:rsidR="00177956" w:rsidRPr="00990563" w:rsidRDefault="00177956" w:rsidP="00D14550">
            <w:pPr>
              <w:autoSpaceDE w:val="0"/>
              <w:autoSpaceDN w:val="0"/>
              <w:adjustRightInd w:val="0"/>
              <w:spacing w:after="0" w:line="400" w:lineRule="atLeast"/>
              <w:rPr>
                <w:rFonts w:ascii="Times New Roman" w:eastAsia="Calibri" w:hAnsi="Times New Roman" w:cs="Times New Roman"/>
                <w:sz w:val="24"/>
                <w:szCs w:val="24"/>
                <w:lang w:val="en-US" w:eastAsia="pt-BR"/>
              </w:rPr>
            </w:pPr>
            <w:r w:rsidRPr="00A67FE2">
              <w:rPr>
                <w:rFonts w:ascii="Times New Roman" w:eastAsia="Calibri" w:hAnsi="Times New Roman" w:cs="Times New Roman"/>
                <w:noProof/>
                <w:sz w:val="24"/>
                <w:szCs w:val="24"/>
                <w:lang w:val="en-GB" w:eastAsia="en-GB"/>
              </w:rPr>
              <w:drawing>
                <wp:inline distT="0" distB="0" distL="0" distR="0" wp14:anchorId="65A35A37" wp14:editId="46C8E7A4">
                  <wp:extent cx="4333240" cy="2882265"/>
                  <wp:effectExtent l="0" t="0" r="10160" b="13335"/>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r w:rsidR="00177956" w:rsidRPr="00253C2F" w14:paraId="674BE52A" w14:textId="77777777" w:rsidTr="00D14550">
        <w:tc>
          <w:tcPr>
            <w:tcW w:w="7196" w:type="dxa"/>
            <w:shd w:val="clear" w:color="auto" w:fill="auto"/>
          </w:tcPr>
          <w:p w14:paraId="48EDD687" w14:textId="454586C3" w:rsidR="00177956" w:rsidRPr="00990563" w:rsidRDefault="00177956" w:rsidP="00D14550">
            <w:pPr>
              <w:autoSpaceDE w:val="0"/>
              <w:autoSpaceDN w:val="0"/>
              <w:adjustRightInd w:val="0"/>
              <w:spacing w:after="0" w:line="400" w:lineRule="atLeast"/>
              <w:rPr>
                <w:rFonts w:ascii="Calibri" w:eastAsia="Calibri" w:hAnsi="Calibri" w:cs="Calibri"/>
                <w:sz w:val="20"/>
                <w:szCs w:val="20"/>
                <w:lang w:val="en-US" w:eastAsia="pt-BR"/>
              </w:rPr>
            </w:pPr>
            <w:r w:rsidRPr="00990563">
              <w:rPr>
                <w:rFonts w:ascii="Calibri" w:eastAsia="Calibri" w:hAnsi="Calibri" w:cs="Calibri"/>
                <w:b/>
                <w:bCs/>
                <w:sz w:val="20"/>
                <w:szCs w:val="20"/>
                <w:lang w:val="en-US" w:eastAsia="pt-BR"/>
              </w:rPr>
              <w:t xml:space="preserve">Fig. </w:t>
            </w:r>
            <w:r w:rsidR="00021967">
              <w:rPr>
                <w:rFonts w:ascii="Calibri" w:eastAsia="Calibri" w:hAnsi="Calibri" w:cs="Calibri"/>
                <w:b/>
                <w:bCs/>
                <w:sz w:val="20"/>
                <w:szCs w:val="20"/>
                <w:lang w:val="en-US" w:eastAsia="pt-BR"/>
              </w:rPr>
              <w:t>1S</w:t>
            </w:r>
            <w:r w:rsidRPr="00990563">
              <w:rPr>
                <w:rFonts w:ascii="Calibri" w:eastAsia="Calibri" w:hAnsi="Calibri" w:cs="Calibri"/>
                <w:b/>
                <w:bCs/>
                <w:sz w:val="20"/>
                <w:szCs w:val="20"/>
                <w:lang w:val="en-US" w:eastAsia="pt-BR"/>
              </w:rPr>
              <w:t xml:space="preserve">. </w:t>
            </w:r>
            <w:r w:rsidRPr="00990563">
              <w:rPr>
                <w:rFonts w:ascii="Calibri" w:eastAsia="Calibri" w:hAnsi="Calibri" w:cs="Calibri"/>
                <w:sz w:val="20"/>
                <w:szCs w:val="20"/>
                <w:lang w:val="en-US" w:eastAsia="pt-BR"/>
              </w:rPr>
              <w:t>HAM</w:t>
            </w:r>
            <w:r w:rsidR="00D13B57">
              <w:rPr>
                <w:rFonts w:ascii="Calibri" w:eastAsia="Calibri" w:hAnsi="Calibri" w:cs="Calibri"/>
                <w:sz w:val="20"/>
                <w:szCs w:val="20"/>
                <w:lang w:val="en-US" w:eastAsia="pt-BR"/>
              </w:rPr>
              <w:t>-</w:t>
            </w:r>
            <w:r w:rsidRPr="00990563">
              <w:rPr>
                <w:rFonts w:ascii="Calibri" w:eastAsia="Calibri" w:hAnsi="Calibri" w:cs="Calibri"/>
                <w:sz w:val="20"/>
                <w:szCs w:val="20"/>
                <w:lang w:val="en-US" w:eastAsia="pt-BR"/>
              </w:rPr>
              <w:t>A scores and SE at baseline (assessment 1), week 5 (assessment 2)</w:t>
            </w:r>
            <w:r w:rsidR="00D13B57">
              <w:rPr>
                <w:rFonts w:ascii="Calibri" w:eastAsia="Calibri" w:hAnsi="Calibri" w:cs="Calibri"/>
                <w:sz w:val="20"/>
                <w:szCs w:val="20"/>
                <w:lang w:val="en-US" w:eastAsia="pt-BR"/>
              </w:rPr>
              <w:t>,</w:t>
            </w:r>
            <w:r w:rsidRPr="00990563">
              <w:rPr>
                <w:rFonts w:ascii="Calibri" w:eastAsia="Calibri" w:hAnsi="Calibri" w:cs="Calibri"/>
                <w:sz w:val="20"/>
                <w:szCs w:val="20"/>
                <w:lang w:val="en-US" w:eastAsia="pt-BR"/>
              </w:rPr>
              <w:t xml:space="preserve"> and endpoint (assessment 3) for each intervention group. </w:t>
            </w:r>
          </w:p>
        </w:tc>
      </w:tr>
    </w:tbl>
    <w:p w14:paraId="069B5318" w14:textId="77777777" w:rsidR="00990563" w:rsidRPr="00177956" w:rsidRDefault="00990563">
      <w:pPr>
        <w:rPr>
          <w:lang w:val="en-GB"/>
        </w:rPr>
      </w:pPr>
      <w:r w:rsidRPr="00177956">
        <w:rPr>
          <w:lang w:val="en-GB"/>
        </w:rPr>
        <w:br w:type="page"/>
      </w:r>
    </w:p>
    <w:p w14:paraId="3A997253" w14:textId="77777777" w:rsidR="00990563" w:rsidRDefault="00990563" w:rsidP="00990563">
      <w:pPr>
        <w:autoSpaceDE w:val="0"/>
        <w:autoSpaceDN w:val="0"/>
        <w:adjustRightInd w:val="0"/>
        <w:spacing w:after="0" w:line="400" w:lineRule="atLeast"/>
        <w:jc w:val="center"/>
        <w:rPr>
          <w:rFonts w:ascii="Times New Roman" w:eastAsia="Calibri" w:hAnsi="Times New Roman" w:cs="Times New Roman"/>
          <w:sz w:val="24"/>
          <w:szCs w:val="24"/>
          <w:lang w:val="en-US" w:eastAsia="pt-BR"/>
        </w:rPr>
        <w:sectPr w:rsidR="00990563">
          <w:pgSz w:w="11906" w:h="16838"/>
          <w:pgMar w:top="1417" w:right="1701" w:bottom="1417" w:left="1701" w:header="708" w:footer="708" w:gutter="0"/>
          <w:cols w:space="708"/>
          <w:docGrid w:linePitch="360"/>
        </w:sectPr>
      </w:pPr>
    </w:p>
    <w:tbl>
      <w:tblPr>
        <w:tblW w:w="14283" w:type="dxa"/>
        <w:tblLayout w:type="fixed"/>
        <w:tblLook w:val="04A0" w:firstRow="1" w:lastRow="0" w:firstColumn="1" w:lastColumn="0" w:noHBand="0" w:noVBand="1"/>
      </w:tblPr>
      <w:tblGrid>
        <w:gridCol w:w="7196"/>
        <w:gridCol w:w="7087"/>
      </w:tblGrid>
      <w:tr w:rsidR="00177956" w:rsidRPr="00990563" w14:paraId="20DB5181" w14:textId="77777777" w:rsidTr="00D14550">
        <w:tc>
          <w:tcPr>
            <w:tcW w:w="7196" w:type="dxa"/>
            <w:shd w:val="clear" w:color="auto" w:fill="auto"/>
            <w:vAlign w:val="center"/>
          </w:tcPr>
          <w:p w14:paraId="1F6095FE" w14:textId="77777777" w:rsidR="00177956" w:rsidRPr="00990563" w:rsidRDefault="00177956" w:rsidP="00D14550">
            <w:pPr>
              <w:autoSpaceDE w:val="0"/>
              <w:autoSpaceDN w:val="0"/>
              <w:adjustRightInd w:val="0"/>
              <w:spacing w:after="0" w:line="400" w:lineRule="atLeast"/>
              <w:jc w:val="center"/>
              <w:rPr>
                <w:rFonts w:ascii="Times New Roman" w:eastAsia="Calibri" w:hAnsi="Times New Roman" w:cs="Times New Roman"/>
                <w:sz w:val="24"/>
                <w:szCs w:val="24"/>
                <w:lang w:val="en-US" w:eastAsia="pt-BR"/>
              </w:rPr>
            </w:pPr>
            <w:r w:rsidRPr="00A67FE2">
              <w:rPr>
                <w:rFonts w:ascii="Calibri" w:eastAsia="Calibri" w:hAnsi="Calibri" w:cs="Times New Roman"/>
                <w:noProof/>
                <w:lang w:val="en-GB" w:eastAsia="en-GB"/>
              </w:rPr>
              <w:lastRenderedPageBreak/>
              <w:drawing>
                <wp:inline distT="0" distB="0" distL="0" distR="0" wp14:anchorId="047470AE" wp14:editId="02137C16">
                  <wp:extent cx="4324350" cy="22098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l="13948" t="23665" r="20764" b="16794"/>
                          <a:stretch>
                            <a:fillRect/>
                          </a:stretch>
                        </pic:blipFill>
                        <pic:spPr bwMode="auto">
                          <a:xfrm>
                            <a:off x="0" y="0"/>
                            <a:ext cx="4324350" cy="2209800"/>
                          </a:xfrm>
                          <a:prstGeom prst="rect">
                            <a:avLst/>
                          </a:prstGeom>
                          <a:noFill/>
                          <a:ln>
                            <a:noFill/>
                          </a:ln>
                        </pic:spPr>
                      </pic:pic>
                    </a:graphicData>
                  </a:graphic>
                </wp:inline>
              </w:drawing>
            </w:r>
          </w:p>
        </w:tc>
        <w:tc>
          <w:tcPr>
            <w:tcW w:w="7087" w:type="dxa"/>
            <w:shd w:val="clear" w:color="auto" w:fill="auto"/>
            <w:vAlign w:val="center"/>
          </w:tcPr>
          <w:p w14:paraId="5766E13A" w14:textId="77777777" w:rsidR="00177956" w:rsidRPr="00990563" w:rsidRDefault="00177956" w:rsidP="00D14550">
            <w:pPr>
              <w:autoSpaceDE w:val="0"/>
              <w:autoSpaceDN w:val="0"/>
              <w:adjustRightInd w:val="0"/>
              <w:spacing w:after="0" w:line="400" w:lineRule="atLeast"/>
              <w:jc w:val="center"/>
              <w:rPr>
                <w:rFonts w:ascii="Times New Roman" w:eastAsia="Calibri" w:hAnsi="Times New Roman" w:cs="Times New Roman"/>
                <w:sz w:val="24"/>
                <w:szCs w:val="24"/>
                <w:lang w:val="en-US" w:eastAsia="pt-BR"/>
              </w:rPr>
            </w:pPr>
            <w:r w:rsidRPr="00A67FE2">
              <w:rPr>
                <w:rFonts w:ascii="Calibri" w:eastAsia="Calibri" w:hAnsi="Calibri" w:cs="Times New Roman"/>
                <w:noProof/>
                <w:lang w:val="en-GB" w:eastAsia="en-GB"/>
              </w:rPr>
              <w:drawing>
                <wp:inline distT="0" distB="0" distL="0" distR="0" wp14:anchorId="408C064C" wp14:editId="56DA7531">
                  <wp:extent cx="4324350" cy="2133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l="10480" t="24124" r="22052" b="16342"/>
                          <a:stretch>
                            <a:fillRect/>
                          </a:stretch>
                        </pic:blipFill>
                        <pic:spPr bwMode="auto">
                          <a:xfrm>
                            <a:off x="0" y="0"/>
                            <a:ext cx="4324350" cy="2133600"/>
                          </a:xfrm>
                          <a:prstGeom prst="rect">
                            <a:avLst/>
                          </a:prstGeom>
                          <a:noFill/>
                          <a:ln>
                            <a:noFill/>
                          </a:ln>
                        </pic:spPr>
                      </pic:pic>
                    </a:graphicData>
                  </a:graphic>
                </wp:inline>
              </w:drawing>
            </w:r>
          </w:p>
        </w:tc>
      </w:tr>
      <w:tr w:rsidR="00177956" w:rsidRPr="00990563" w14:paraId="47547227" w14:textId="77777777" w:rsidTr="00D14550">
        <w:tc>
          <w:tcPr>
            <w:tcW w:w="7196" w:type="dxa"/>
            <w:shd w:val="clear" w:color="auto" w:fill="auto"/>
            <w:vAlign w:val="center"/>
          </w:tcPr>
          <w:p w14:paraId="18D276C4" w14:textId="77777777" w:rsidR="00177956" w:rsidRPr="00990563" w:rsidRDefault="00177956" w:rsidP="00D14550">
            <w:pPr>
              <w:autoSpaceDE w:val="0"/>
              <w:autoSpaceDN w:val="0"/>
              <w:adjustRightInd w:val="0"/>
              <w:spacing w:after="0" w:line="400" w:lineRule="atLeast"/>
              <w:jc w:val="center"/>
              <w:rPr>
                <w:rFonts w:ascii="Times New Roman" w:eastAsia="Calibri" w:hAnsi="Times New Roman" w:cs="Times New Roman"/>
                <w:sz w:val="24"/>
                <w:szCs w:val="24"/>
                <w:lang w:val="en-US" w:eastAsia="pt-BR"/>
              </w:rPr>
            </w:pPr>
            <w:r w:rsidRPr="00A67FE2">
              <w:rPr>
                <w:rFonts w:ascii="Calibri" w:eastAsia="Calibri" w:hAnsi="Calibri" w:cs="Times New Roman"/>
                <w:noProof/>
                <w:lang w:val="en-GB" w:eastAsia="en-GB"/>
              </w:rPr>
              <w:drawing>
                <wp:inline distT="0" distB="0" distL="0" distR="0" wp14:anchorId="15CEB2A5" wp14:editId="35A80F40">
                  <wp:extent cx="4324350" cy="1676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l="9679" t="24809" r="6653" b="17557"/>
                          <a:stretch>
                            <a:fillRect/>
                          </a:stretch>
                        </pic:blipFill>
                        <pic:spPr bwMode="auto">
                          <a:xfrm>
                            <a:off x="0" y="0"/>
                            <a:ext cx="4324350" cy="1676400"/>
                          </a:xfrm>
                          <a:prstGeom prst="rect">
                            <a:avLst/>
                          </a:prstGeom>
                          <a:noFill/>
                          <a:ln>
                            <a:noFill/>
                          </a:ln>
                        </pic:spPr>
                      </pic:pic>
                    </a:graphicData>
                  </a:graphic>
                </wp:inline>
              </w:drawing>
            </w:r>
          </w:p>
        </w:tc>
        <w:tc>
          <w:tcPr>
            <w:tcW w:w="7087" w:type="dxa"/>
            <w:shd w:val="clear" w:color="auto" w:fill="auto"/>
            <w:vAlign w:val="center"/>
          </w:tcPr>
          <w:p w14:paraId="5D22F9D2" w14:textId="77777777" w:rsidR="00177956" w:rsidRPr="00990563" w:rsidRDefault="00177956" w:rsidP="00D14550">
            <w:pPr>
              <w:autoSpaceDE w:val="0"/>
              <w:autoSpaceDN w:val="0"/>
              <w:adjustRightInd w:val="0"/>
              <w:spacing w:after="0" w:line="400" w:lineRule="atLeast"/>
              <w:jc w:val="center"/>
              <w:rPr>
                <w:rFonts w:ascii="Times New Roman" w:eastAsia="Calibri" w:hAnsi="Times New Roman" w:cs="Times New Roman"/>
                <w:sz w:val="24"/>
                <w:szCs w:val="24"/>
                <w:lang w:val="en-US" w:eastAsia="pt-BR"/>
              </w:rPr>
            </w:pPr>
            <w:r w:rsidRPr="00A67FE2">
              <w:rPr>
                <w:rFonts w:ascii="Calibri" w:eastAsia="Calibri" w:hAnsi="Calibri" w:cs="Times New Roman"/>
                <w:noProof/>
                <w:lang w:val="en-GB" w:eastAsia="en-GB"/>
              </w:rPr>
              <w:drawing>
                <wp:inline distT="0" distB="0" distL="0" distR="0" wp14:anchorId="0B5DE3A5" wp14:editId="2BF2D8CE">
                  <wp:extent cx="4324350" cy="21621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l="14629" t="25681" r="21834" b="17509"/>
                          <a:stretch>
                            <a:fillRect/>
                          </a:stretch>
                        </pic:blipFill>
                        <pic:spPr bwMode="auto">
                          <a:xfrm>
                            <a:off x="0" y="0"/>
                            <a:ext cx="4324350" cy="2162175"/>
                          </a:xfrm>
                          <a:prstGeom prst="rect">
                            <a:avLst/>
                          </a:prstGeom>
                          <a:noFill/>
                          <a:ln>
                            <a:noFill/>
                          </a:ln>
                        </pic:spPr>
                      </pic:pic>
                    </a:graphicData>
                  </a:graphic>
                </wp:inline>
              </w:drawing>
            </w:r>
          </w:p>
          <w:p w14:paraId="21D6C51B" w14:textId="77777777" w:rsidR="00177956" w:rsidRPr="00990563" w:rsidRDefault="00177956" w:rsidP="00D14550">
            <w:pPr>
              <w:autoSpaceDE w:val="0"/>
              <w:autoSpaceDN w:val="0"/>
              <w:adjustRightInd w:val="0"/>
              <w:spacing w:after="0" w:line="400" w:lineRule="atLeast"/>
              <w:jc w:val="center"/>
              <w:rPr>
                <w:rFonts w:ascii="Times New Roman" w:eastAsia="Calibri" w:hAnsi="Times New Roman" w:cs="Times New Roman"/>
                <w:sz w:val="24"/>
                <w:szCs w:val="24"/>
                <w:lang w:val="en-US" w:eastAsia="pt-BR"/>
              </w:rPr>
            </w:pPr>
          </w:p>
        </w:tc>
      </w:tr>
      <w:tr w:rsidR="00177956" w:rsidRPr="00253C2F" w14:paraId="1E1771C6" w14:textId="77777777" w:rsidTr="00D14550">
        <w:tc>
          <w:tcPr>
            <w:tcW w:w="14283" w:type="dxa"/>
            <w:gridSpan w:val="2"/>
            <w:shd w:val="clear" w:color="auto" w:fill="auto"/>
            <w:vAlign w:val="center"/>
          </w:tcPr>
          <w:p w14:paraId="0DAC17BD" w14:textId="174FB4FE" w:rsidR="00177956" w:rsidRPr="00990563" w:rsidRDefault="00177956" w:rsidP="00D13B57">
            <w:pPr>
              <w:autoSpaceDE w:val="0"/>
              <w:autoSpaceDN w:val="0"/>
              <w:adjustRightInd w:val="0"/>
              <w:spacing w:after="0" w:line="400" w:lineRule="atLeast"/>
              <w:rPr>
                <w:rFonts w:ascii="Calibri" w:eastAsia="Calibri" w:hAnsi="Calibri" w:cs="Times New Roman"/>
                <w:noProof/>
                <w:sz w:val="20"/>
                <w:szCs w:val="20"/>
                <w:lang w:val="en-US"/>
              </w:rPr>
            </w:pPr>
            <w:r w:rsidRPr="00990563">
              <w:rPr>
                <w:rFonts w:ascii="Calibri" w:eastAsia="Calibri" w:hAnsi="Calibri" w:cs="Times New Roman"/>
                <w:b/>
                <w:noProof/>
                <w:sz w:val="20"/>
                <w:szCs w:val="20"/>
                <w:lang w:val="en-US"/>
              </w:rPr>
              <w:t xml:space="preserve">Fig. </w:t>
            </w:r>
            <w:r w:rsidR="00021967">
              <w:rPr>
                <w:rFonts w:ascii="Calibri" w:eastAsia="Calibri" w:hAnsi="Calibri" w:cs="Times New Roman"/>
                <w:b/>
                <w:noProof/>
                <w:sz w:val="20"/>
                <w:szCs w:val="20"/>
                <w:lang w:val="en-US"/>
              </w:rPr>
              <w:t>2</w:t>
            </w:r>
            <w:r>
              <w:rPr>
                <w:rFonts w:ascii="Calibri" w:eastAsia="Calibri" w:hAnsi="Calibri" w:cs="Times New Roman"/>
                <w:b/>
                <w:noProof/>
                <w:sz w:val="20"/>
                <w:szCs w:val="20"/>
                <w:lang w:val="en-US"/>
              </w:rPr>
              <w:t>S</w:t>
            </w:r>
            <w:r w:rsidRPr="00990563">
              <w:rPr>
                <w:rFonts w:ascii="Calibri" w:eastAsia="Calibri" w:hAnsi="Calibri" w:cs="Times New Roman"/>
                <w:b/>
                <w:noProof/>
                <w:sz w:val="20"/>
                <w:szCs w:val="20"/>
                <w:lang w:val="en-US"/>
              </w:rPr>
              <w:t xml:space="preserve">. </w:t>
            </w:r>
            <w:r w:rsidRPr="00990563">
              <w:rPr>
                <w:rFonts w:ascii="Calibri" w:eastAsia="Calibri" w:hAnsi="Calibri" w:cs="Times New Roman"/>
                <w:noProof/>
                <w:sz w:val="20"/>
                <w:szCs w:val="20"/>
                <w:lang w:val="en-US"/>
              </w:rPr>
              <w:t xml:space="preserve">Non-inferiority analysis comparing scores in </w:t>
            </w:r>
            <w:r w:rsidR="00D13B57">
              <w:rPr>
                <w:rFonts w:ascii="Calibri" w:eastAsia="Calibri" w:hAnsi="Calibri" w:cs="Times New Roman"/>
                <w:noProof/>
                <w:sz w:val="20"/>
                <w:szCs w:val="20"/>
                <w:lang w:val="en-US"/>
              </w:rPr>
              <w:t>w</w:t>
            </w:r>
            <w:r w:rsidRPr="00990563">
              <w:rPr>
                <w:rFonts w:ascii="Calibri" w:eastAsia="Calibri" w:hAnsi="Calibri" w:cs="Times New Roman"/>
                <w:noProof/>
                <w:sz w:val="20"/>
                <w:szCs w:val="20"/>
                <w:lang w:val="en-US"/>
              </w:rPr>
              <w:t xml:space="preserve">eek 8 between MBI and </w:t>
            </w:r>
            <w:r w:rsidR="00D13B57">
              <w:rPr>
                <w:rFonts w:ascii="Calibri" w:eastAsia="Calibri" w:hAnsi="Calibri" w:cs="Times New Roman"/>
                <w:noProof/>
                <w:sz w:val="20"/>
                <w:szCs w:val="20"/>
                <w:lang w:val="en-US"/>
              </w:rPr>
              <w:t>f</w:t>
            </w:r>
            <w:r w:rsidRPr="00990563">
              <w:rPr>
                <w:rFonts w:ascii="Calibri" w:eastAsia="Calibri" w:hAnsi="Calibri" w:cs="Times New Roman"/>
                <w:noProof/>
                <w:sz w:val="20"/>
                <w:szCs w:val="20"/>
                <w:lang w:val="en-US"/>
              </w:rPr>
              <w:t>luoxetine</w:t>
            </w:r>
            <w:r w:rsidR="00D13B57">
              <w:rPr>
                <w:rFonts w:ascii="Calibri" w:eastAsia="Calibri" w:hAnsi="Calibri" w:cs="Times New Roman"/>
                <w:noProof/>
                <w:sz w:val="20"/>
                <w:szCs w:val="20"/>
                <w:lang w:val="en-US"/>
              </w:rPr>
              <w:t>.</w:t>
            </w:r>
          </w:p>
        </w:tc>
      </w:tr>
    </w:tbl>
    <w:p w14:paraId="3E11B0F6" w14:textId="77777777" w:rsidR="00990563" w:rsidRDefault="00990563" w:rsidP="00990563">
      <w:pPr>
        <w:spacing w:after="200" w:line="276" w:lineRule="auto"/>
        <w:rPr>
          <w:rFonts w:ascii="Calibri" w:eastAsia="Calibri" w:hAnsi="Calibri" w:cs="Times New Roman"/>
          <w:sz w:val="20"/>
          <w:szCs w:val="20"/>
          <w:lang w:val="en-US"/>
        </w:rPr>
        <w:sectPr w:rsidR="00990563" w:rsidSect="00990563">
          <w:pgSz w:w="16838" w:h="11906" w:orient="landscape"/>
          <w:pgMar w:top="1701" w:right="1418" w:bottom="1701" w:left="1418" w:header="709" w:footer="709" w:gutter="0"/>
          <w:cols w:space="708"/>
          <w:docGrid w:linePitch="360"/>
        </w:sectPr>
      </w:pPr>
    </w:p>
    <w:p w14:paraId="2DA7FA2E" w14:textId="378D2D5A" w:rsidR="00990563" w:rsidRPr="00990563" w:rsidRDefault="00990563" w:rsidP="00990563">
      <w:pPr>
        <w:spacing w:after="200" w:line="276" w:lineRule="auto"/>
        <w:rPr>
          <w:rFonts w:ascii="Calibri" w:eastAsia="Calibri" w:hAnsi="Calibri" w:cs="Times New Roman"/>
          <w:sz w:val="20"/>
          <w:szCs w:val="20"/>
          <w:lang w:val="en-US"/>
        </w:rPr>
      </w:pPr>
    </w:p>
    <w:p w14:paraId="78944414" w14:textId="5F589752" w:rsidR="00C931C5" w:rsidRDefault="00C931C5" w:rsidP="00D4289E">
      <w:pPr>
        <w:rPr>
          <w:b/>
          <w:lang w:val="en-US"/>
        </w:rPr>
      </w:pPr>
    </w:p>
    <w:p w14:paraId="64B21F5F" w14:textId="77777777" w:rsidR="00D4289E" w:rsidRPr="00525A40" w:rsidRDefault="00D4289E" w:rsidP="00D4289E">
      <w:pPr>
        <w:rPr>
          <w:b/>
          <w:lang w:val="en-US"/>
        </w:rPr>
      </w:pPr>
    </w:p>
    <w:sectPr w:rsidR="00D4289E" w:rsidRPr="00525A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FA"/>
    <w:rsid w:val="00001E41"/>
    <w:rsid w:val="0000575E"/>
    <w:rsid w:val="00021967"/>
    <w:rsid w:val="00022B60"/>
    <w:rsid w:val="00024029"/>
    <w:rsid w:val="0002776D"/>
    <w:rsid w:val="000319EB"/>
    <w:rsid w:val="00050A31"/>
    <w:rsid w:val="00051AAA"/>
    <w:rsid w:val="000531E2"/>
    <w:rsid w:val="00070F2D"/>
    <w:rsid w:val="00092EDF"/>
    <w:rsid w:val="00096367"/>
    <w:rsid w:val="000A114A"/>
    <w:rsid w:val="000B366E"/>
    <w:rsid w:val="000C6005"/>
    <w:rsid w:val="000D5524"/>
    <w:rsid w:val="000E320A"/>
    <w:rsid w:val="000E4A6F"/>
    <w:rsid w:val="000E57C1"/>
    <w:rsid w:val="000F442B"/>
    <w:rsid w:val="000F76A7"/>
    <w:rsid w:val="000F7896"/>
    <w:rsid w:val="001025FA"/>
    <w:rsid w:val="001215A0"/>
    <w:rsid w:val="00122542"/>
    <w:rsid w:val="00134D78"/>
    <w:rsid w:val="001462A6"/>
    <w:rsid w:val="00155F47"/>
    <w:rsid w:val="001561DA"/>
    <w:rsid w:val="001600B3"/>
    <w:rsid w:val="00160927"/>
    <w:rsid w:val="00177956"/>
    <w:rsid w:val="001803C3"/>
    <w:rsid w:val="001B1201"/>
    <w:rsid w:val="001B37A1"/>
    <w:rsid w:val="001D0EDF"/>
    <w:rsid w:val="001D1BE9"/>
    <w:rsid w:val="001F0F01"/>
    <w:rsid w:val="001F1F21"/>
    <w:rsid w:val="001F50FB"/>
    <w:rsid w:val="001F6370"/>
    <w:rsid w:val="00224B74"/>
    <w:rsid w:val="00233D89"/>
    <w:rsid w:val="0023728B"/>
    <w:rsid w:val="0024723A"/>
    <w:rsid w:val="00250BF4"/>
    <w:rsid w:val="002536EF"/>
    <w:rsid w:val="00253A52"/>
    <w:rsid w:val="00253C2F"/>
    <w:rsid w:val="002652AE"/>
    <w:rsid w:val="002771A8"/>
    <w:rsid w:val="002934E0"/>
    <w:rsid w:val="002A6548"/>
    <w:rsid w:val="002A7556"/>
    <w:rsid w:val="002F051F"/>
    <w:rsid w:val="002F180E"/>
    <w:rsid w:val="00311165"/>
    <w:rsid w:val="00322B5B"/>
    <w:rsid w:val="003234DF"/>
    <w:rsid w:val="003534B8"/>
    <w:rsid w:val="0037633F"/>
    <w:rsid w:val="003851D1"/>
    <w:rsid w:val="00395FB3"/>
    <w:rsid w:val="003A2924"/>
    <w:rsid w:val="003A4CB9"/>
    <w:rsid w:val="003A5195"/>
    <w:rsid w:val="003B467D"/>
    <w:rsid w:val="003C5AFD"/>
    <w:rsid w:val="004018CA"/>
    <w:rsid w:val="00411DB5"/>
    <w:rsid w:val="004240F3"/>
    <w:rsid w:val="004431CB"/>
    <w:rsid w:val="00443B49"/>
    <w:rsid w:val="00445C85"/>
    <w:rsid w:val="00462426"/>
    <w:rsid w:val="00462584"/>
    <w:rsid w:val="00472A56"/>
    <w:rsid w:val="004814DD"/>
    <w:rsid w:val="0048757E"/>
    <w:rsid w:val="0049076D"/>
    <w:rsid w:val="004A4D97"/>
    <w:rsid w:val="004A733C"/>
    <w:rsid w:val="004B4BC5"/>
    <w:rsid w:val="00500429"/>
    <w:rsid w:val="00512508"/>
    <w:rsid w:val="00525A40"/>
    <w:rsid w:val="00530ADD"/>
    <w:rsid w:val="005369F5"/>
    <w:rsid w:val="00545BC3"/>
    <w:rsid w:val="00546FC1"/>
    <w:rsid w:val="0055748D"/>
    <w:rsid w:val="005632AC"/>
    <w:rsid w:val="005678C8"/>
    <w:rsid w:val="0057047D"/>
    <w:rsid w:val="0058378B"/>
    <w:rsid w:val="005929BB"/>
    <w:rsid w:val="005B23EC"/>
    <w:rsid w:val="005C4781"/>
    <w:rsid w:val="005C5342"/>
    <w:rsid w:val="005D73E6"/>
    <w:rsid w:val="005E2628"/>
    <w:rsid w:val="005E4401"/>
    <w:rsid w:val="005F4570"/>
    <w:rsid w:val="006167C0"/>
    <w:rsid w:val="00631EFD"/>
    <w:rsid w:val="0063264A"/>
    <w:rsid w:val="00635932"/>
    <w:rsid w:val="0064441A"/>
    <w:rsid w:val="00664E45"/>
    <w:rsid w:val="0067321F"/>
    <w:rsid w:val="00674A2F"/>
    <w:rsid w:val="0068171E"/>
    <w:rsid w:val="00687433"/>
    <w:rsid w:val="00695549"/>
    <w:rsid w:val="006A31A8"/>
    <w:rsid w:val="006B0258"/>
    <w:rsid w:val="006B33C9"/>
    <w:rsid w:val="006C451D"/>
    <w:rsid w:val="006D4997"/>
    <w:rsid w:val="006D5193"/>
    <w:rsid w:val="00703868"/>
    <w:rsid w:val="00720D18"/>
    <w:rsid w:val="00726AAF"/>
    <w:rsid w:val="00732160"/>
    <w:rsid w:val="00766D30"/>
    <w:rsid w:val="00787A66"/>
    <w:rsid w:val="007900F4"/>
    <w:rsid w:val="00792A9D"/>
    <w:rsid w:val="007B3DD6"/>
    <w:rsid w:val="007C1714"/>
    <w:rsid w:val="007C78D2"/>
    <w:rsid w:val="007D361B"/>
    <w:rsid w:val="007D59D4"/>
    <w:rsid w:val="007E73A5"/>
    <w:rsid w:val="007F0CC4"/>
    <w:rsid w:val="007F4687"/>
    <w:rsid w:val="007F5863"/>
    <w:rsid w:val="008019AF"/>
    <w:rsid w:val="0080762F"/>
    <w:rsid w:val="00826FDF"/>
    <w:rsid w:val="008354AE"/>
    <w:rsid w:val="008404C0"/>
    <w:rsid w:val="0084498F"/>
    <w:rsid w:val="00847059"/>
    <w:rsid w:val="008A3B1A"/>
    <w:rsid w:val="008A4B66"/>
    <w:rsid w:val="008B6352"/>
    <w:rsid w:val="008B7366"/>
    <w:rsid w:val="008C1FAD"/>
    <w:rsid w:val="008C2C19"/>
    <w:rsid w:val="008D55E7"/>
    <w:rsid w:val="008F78DB"/>
    <w:rsid w:val="00905E32"/>
    <w:rsid w:val="0092494C"/>
    <w:rsid w:val="00925BFF"/>
    <w:rsid w:val="009304FB"/>
    <w:rsid w:val="00931177"/>
    <w:rsid w:val="00932AE5"/>
    <w:rsid w:val="009450F7"/>
    <w:rsid w:val="00950729"/>
    <w:rsid w:val="00957EDC"/>
    <w:rsid w:val="00990563"/>
    <w:rsid w:val="009915A5"/>
    <w:rsid w:val="0099608C"/>
    <w:rsid w:val="0099793B"/>
    <w:rsid w:val="009A0462"/>
    <w:rsid w:val="009D7FEB"/>
    <w:rsid w:val="00A0365A"/>
    <w:rsid w:val="00A05F9C"/>
    <w:rsid w:val="00A14B4C"/>
    <w:rsid w:val="00A2502D"/>
    <w:rsid w:val="00A26E70"/>
    <w:rsid w:val="00A26F2C"/>
    <w:rsid w:val="00A3358F"/>
    <w:rsid w:val="00A35E8F"/>
    <w:rsid w:val="00A37796"/>
    <w:rsid w:val="00A52ED5"/>
    <w:rsid w:val="00A61ADA"/>
    <w:rsid w:val="00A65F8F"/>
    <w:rsid w:val="00A67FE2"/>
    <w:rsid w:val="00A773B0"/>
    <w:rsid w:val="00A85F05"/>
    <w:rsid w:val="00AA6574"/>
    <w:rsid w:val="00AB5565"/>
    <w:rsid w:val="00AC6A19"/>
    <w:rsid w:val="00AE45A0"/>
    <w:rsid w:val="00B06802"/>
    <w:rsid w:val="00B070A5"/>
    <w:rsid w:val="00B20DBD"/>
    <w:rsid w:val="00B4093C"/>
    <w:rsid w:val="00B42BFA"/>
    <w:rsid w:val="00B776AA"/>
    <w:rsid w:val="00B95ED5"/>
    <w:rsid w:val="00BA346A"/>
    <w:rsid w:val="00BB0B9C"/>
    <w:rsid w:val="00BB176D"/>
    <w:rsid w:val="00BC3D95"/>
    <w:rsid w:val="00BC5588"/>
    <w:rsid w:val="00BC5A6D"/>
    <w:rsid w:val="00BF7D0F"/>
    <w:rsid w:val="00C13673"/>
    <w:rsid w:val="00C21CDC"/>
    <w:rsid w:val="00C2429A"/>
    <w:rsid w:val="00C25BB3"/>
    <w:rsid w:val="00C273D6"/>
    <w:rsid w:val="00C40BD8"/>
    <w:rsid w:val="00C512EC"/>
    <w:rsid w:val="00C5306C"/>
    <w:rsid w:val="00C532F8"/>
    <w:rsid w:val="00C57C56"/>
    <w:rsid w:val="00C75199"/>
    <w:rsid w:val="00C931C5"/>
    <w:rsid w:val="00CA1172"/>
    <w:rsid w:val="00CA4011"/>
    <w:rsid w:val="00CA5710"/>
    <w:rsid w:val="00CD2817"/>
    <w:rsid w:val="00CE1B6C"/>
    <w:rsid w:val="00D13B57"/>
    <w:rsid w:val="00D14550"/>
    <w:rsid w:val="00D4289E"/>
    <w:rsid w:val="00D44377"/>
    <w:rsid w:val="00D53EB8"/>
    <w:rsid w:val="00D55312"/>
    <w:rsid w:val="00D62398"/>
    <w:rsid w:val="00D7031F"/>
    <w:rsid w:val="00D768F9"/>
    <w:rsid w:val="00D912A5"/>
    <w:rsid w:val="00DB519C"/>
    <w:rsid w:val="00DC13FD"/>
    <w:rsid w:val="00DD6259"/>
    <w:rsid w:val="00E06AED"/>
    <w:rsid w:val="00E12153"/>
    <w:rsid w:val="00E15251"/>
    <w:rsid w:val="00E32B5B"/>
    <w:rsid w:val="00E440DF"/>
    <w:rsid w:val="00E71863"/>
    <w:rsid w:val="00E742DA"/>
    <w:rsid w:val="00E74454"/>
    <w:rsid w:val="00E859BC"/>
    <w:rsid w:val="00E90C3E"/>
    <w:rsid w:val="00E917C0"/>
    <w:rsid w:val="00EA13D5"/>
    <w:rsid w:val="00EB23A7"/>
    <w:rsid w:val="00EB5A63"/>
    <w:rsid w:val="00EE16BE"/>
    <w:rsid w:val="00EE6A9B"/>
    <w:rsid w:val="00F00CD5"/>
    <w:rsid w:val="00F1219B"/>
    <w:rsid w:val="00F2254F"/>
    <w:rsid w:val="00F24CCE"/>
    <w:rsid w:val="00F2621A"/>
    <w:rsid w:val="00F33350"/>
    <w:rsid w:val="00F33EBF"/>
    <w:rsid w:val="00F45F50"/>
    <w:rsid w:val="00F6715E"/>
    <w:rsid w:val="00F77686"/>
    <w:rsid w:val="00F87E09"/>
    <w:rsid w:val="00F94492"/>
    <w:rsid w:val="00FA1337"/>
    <w:rsid w:val="00FA27D5"/>
    <w:rsid w:val="00FB1314"/>
    <w:rsid w:val="00FF11B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9F713"/>
  <w15:docId w15:val="{8580E949-31E1-48C2-A609-D4D2620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FA"/>
  </w:style>
  <w:style w:type="paragraph" w:styleId="Ttulo2">
    <w:name w:val="heading 2"/>
    <w:basedOn w:val="Normal"/>
    <w:next w:val="Normal"/>
    <w:link w:val="Ttulo2Char"/>
    <w:uiPriority w:val="9"/>
    <w:semiHidden/>
    <w:unhideWhenUsed/>
    <w:qFormat/>
    <w:rsid w:val="00DC13FD"/>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1201"/>
    <w:pPr>
      <w:ind w:left="720"/>
      <w:contextualSpacing/>
    </w:pPr>
  </w:style>
  <w:style w:type="character" w:styleId="Refdecomentrio">
    <w:name w:val="annotation reference"/>
    <w:basedOn w:val="Fontepargpadro"/>
    <w:uiPriority w:val="99"/>
    <w:semiHidden/>
    <w:unhideWhenUsed/>
    <w:rsid w:val="00BC3D95"/>
    <w:rPr>
      <w:sz w:val="16"/>
      <w:szCs w:val="16"/>
    </w:rPr>
  </w:style>
  <w:style w:type="paragraph" w:styleId="Textodecomentrio">
    <w:name w:val="annotation text"/>
    <w:basedOn w:val="Normal"/>
    <w:link w:val="TextodecomentrioChar"/>
    <w:uiPriority w:val="99"/>
    <w:semiHidden/>
    <w:unhideWhenUsed/>
    <w:rsid w:val="00BC3D9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3D95"/>
    <w:rPr>
      <w:sz w:val="20"/>
      <w:szCs w:val="20"/>
    </w:rPr>
  </w:style>
  <w:style w:type="paragraph" w:styleId="Assuntodocomentrio">
    <w:name w:val="annotation subject"/>
    <w:basedOn w:val="Textodecomentrio"/>
    <w:next w:val="Textodecomentrio"/>
    <w:link w:val="AssuntodocomentrioChar"/>
    <w:uiPriority w:val="99"/>
    <w:semiHidden/>
    <w:unhideWhenUsed/>
    <w:rsid w:val="00BC3D95"/>
    <w:rPr>
      <w:b/>
      <w:bCs/>
    </w:rPr>
  </w:style>
  <w:style w:type="character" w:customStyle="1" w:styleId="AssuntodocomentrioChar">
    <w:name w:val="Assunto do comentário Char"/>
    <w:basedOn w:val="TextodecomentrioChar"/>
    <w:link w:val="Assuntodocomentrio"/>
    <w:uiPriority w:val="99"/>
    <w:semiHidden/>
    <w:rsid w:val="00BC3D95"/>
    <w:rPr>
      <w:b/>
      <w:bCs/>
      <w:sz w:val="20"/>
      <w:szCs w:val="20"/>
    </w:rPr>
  </w:style>
  <w:style w:type="paragraph" w:styleId="Textodebalo">
    <w:name w:val="Balloon Text"/>
    <w:basedOn w:val="Normal"/>
    <w:link w:val="TextodebaloChar"/>
    <w:uiPriority w:val="99"/>
    <w:semiHidden/>
    <w:unhideWhenUsed/>
    <w:rsid w:val="00BC3D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3D95"/>
    <w:rPr>
      <w:rFonts w:ascii="Segoe UI" w:hAnsi="Segoe UI" w:cs="Segoe UI"/>
      <w:sz w:val="18"/>
      <w:szCs w:val="18"/>
    </w:rPr>
  </w:style>
  <w:style w:type="character" w:customStyle="1" w:styleId="Ttulo2Char">
    <w:name w:val="Título 2 Char"/>
    <w:basedOn w:val="Fontepargpadro"/>
    <w:link w:val="Ttulo2"/>
    <w:uiPriority w:val="9"/>
    <w:semiHidden/>
    <w:rsid w:val="00DC13FD"/>
    <w:rPr>
      <w:rFonts w:ascii="Cambria" w:eastAsia="Times New Roman" w:hAnsi="Cambria" w:cs="Times New Roman"/>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iana\Dropbox\Doutorado\Manuscripts\Manuscript1\Analises\GEE%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10576003581"/>
          <c:y val="6.3874452364075907E-2"/>
          <c:w val="0.76643740462674703"/>
          <c:h val="0.826381477309724"/>
        </c:manualLayout>
      </c:layout>
      <c:lineChart>
        <c:grouping val="standard"/>
        <c:varyColors val="0"/>
        <c:ser>
          <c:idx val="0"/>
          <c:order val="0"/>
          <c:tx>
            <c:v>BMT</c:v>
          </c:tx>
          <c:spPr>
            <a:ln w="19050" cap="rnd" cmpd="sng" algn="ctr">
              <a:solidFill>
                <a:schemeClr val="bg1">
                  <a:lumMod val="50000"/>
                </a:schemeClr>
              </a:solidFill>
              <a:prstDash val="sysDot"/>
              <a:round/>
            </a:ln>
            <a:effectLst/>
          </c:spPr>
          <c:marker>
            <c:symbol val="none"/>
          </c:marker>
          <c:errBars>
            <c:errDir val="y"/>
            <c:errBarType val="both"/>
            <c:errValType val="cust"/>
            <c:noEndCap val="0"/>
            <c:plus>
              <c:numRef>
                <c:f>(hama!$I$4,hama!$I$7,hama!$I$10)</c:f>
                <c:numCache>
                  <c:formatCode>General</c:formatCode>
                  <c:ptCount val="3"/>
                  <c:pt idx="0">
                    <c:v>0.81342585923092903</c:v>
                  </c:pt>
                  <c:pt idx="1">
                    <c:v>1.3069296524777401</c:v>
                  </c:pt>
                  <c:pt idx="2">
                    <c:v>1.36027906105795</c:v>
                  </c:pt>
                </c:numCache>
              </c:numRef>
            </c:plus>
            <c:minus>
              <c:numRef>
                <c:f>(hama!$I$4,hama!$I$7,hama!$I$10)</c:f>
                <c:numCache>
                  <c:formatCode>General</c:formatCode>
                  <c:ptCount val="3"/>
                  <c:pt idx="0">
                    <c:v>0.81342585923092903</c:v>
                  </c:pt>
                  <c:pt idx="1">
                    <c:v>1.3069296524777401</c:v>
                  </c:pt>
                  <c:pt idx="2">
                    <c:v>1.36027906105795</c:v>
                  </c:pt>
                </c:numCache>
              </c:numRef>
            </c:minus>
            <c:spPr>
              <a:solidFill>
                <a:schemeClr val="tx1"/>
              </a:solidFill>
              <a:ln w="9525" cap="flat" cmpd="sng" algn="ctr">
                <a:solidFill>
                  <a:schemeClr val="tx1">
                    <a:shade val="95000"/>
                    <a:satMod val="105000"/>
                  </a:schemeClr>
                </a:solidFill>
                <a:prstDash val="solid"/>
                <a:round/>
              </a:ln>
              <a:effectLst/>
            </c:spPr>
          </c:errBars>
          <c:val>
            <c:numRef>
              <c:f>(hama!$E$4,hama!$E$7,hama!$E$10)</c:f>
              <c:numCache>
                <c:formatCode>###0.00</c:formatCode>
                <c:ptCount val="3"/>
                <c:pt idx="0">
                  <c:v>29.912488092382031</c:v>
                </c:pt>
                <c:pt idx="1">
                  <c:v>24.27221371448514</c:v>
                </c:pt>
                <c:pt idx="2">
                  <c:v>21.099496546367931</c:v>
                </c:pt>
              </c:numCache>
            </c:numRef>
          </c:val>
          <c:smooth val="0"/>
          <c:extLst>
            <c:ext xmlns:c16="http://schemas.microsoft.com/office/drawing/2014/chart" uri="{C3380CC4-5D6E-409C-BE32-E72D297353CC}">
              <c16:uniqueId val="{00000000-3D61-4881-B1F2-921FCF1C2DFE}"/>
            </c:ext>
          </c:extLst>
        </c:ser>
        <c:ser>
          <c:idx val="1"/>
          <c:order val="1"/>
          <c:tx>
            <c:v>FLX</c:v>
          </c:tx>
          <c:spPr>
            <a:ln w="19050" cap="rnd" cmpd="sng" algn="ctr">
              <a:solidFill>
                <a:schemeClr val="bg1">
                  <a:lumMod val="50000"/>
                </a:schemeClr>
              </a:solidFill>
              <a:prstDash val="solid"/>
              <a:round/>
            </a:ln>
            <a:effectLst/>
          </c:spPr>
          <c:marker>
            <c:symbol val="none"/>
          </c:marker>
          <c:errBars>
            <c:errDir val="y"/>
            <c:errBarType val="both"/>
            <c:errValType val="cust"/>
            <c:noEndCap val="0"/>
            <c:plus>
              <c:numRef>
                <c:f>(hama!$I$5,hama!$I$8,hama!$I$11)</c:f>
                <c:numCache>
                  <c:formatCode>General</c:formatCode>
                  <c:ptCount val="3"/>
                  <c:pt idx="0">
                    <c:v>0.74374190865470402</c:v>
                  </c:pt>
                  <c:pt idx="1">
                    <c:v>1.4431619286986921</c:v>
                  </c:pt>
                  <c:pt idx="2">
                    <c:v>1.376469645834431</c:v>
                  </c:pt>
                </c:numCache>
              </c:numRef>
            </c:plus>
            <c:minus>
              <c:numRef>
                <c:f>(hama!$I$5,hama!$I$8,hama!$I$11)</c:f>
                <c:numCache>
                  <c:formatCode>General</c:formatCode>
                  <c:ptCount val="3"/>
                  <c:pt idx="0">
                    <c:v>0.74374190865470402</c:v>
                  </c:pt>
                  <c:pt idx="1">
                    <c:v>1.4431619286986921</c:v>
                  </c:pt>
                  <c:pt idx="2">
                    <c:v>1.376469645834431</c:v>
                  </c:pt>
                </c:numCache>
              </c:numRef>
            </c:minus>
            <c:spPr>
              <a:solidFill>
                <a:schemeClr val="tx1"/>
              </a:solidFill>
              <a:ln w="9525" cap="flat" cmpd="sng" algn="ctr">
                <a:solidFill>
                  <a:schemeClr val="tx1">
                    <a:shade val="95000"/>
                    <a:satMod val="105000"/>
                  </a:schemeClr>
                </a:solidFill>
                <a:prstDash val="solid"/>
                <a:round/>
              </a:ln>
              <a:effectLst/>
            </c:spPr>
          </c:errBars>
          <c:val>
            <c:numRef>
              <c:f>(hama!$E$5,hama!$E$8,hama!$E$11)</c:f>
              <c:numCache>
                <c:formatCode>###0.00</c:formatCode>
                <c:ptCount val="3"/>
                <c:pt idx="0">
                  <c:v>30.698345693592969</c:v>
                </c:pt>
                <c:pt idx="1">
                  <c:v>21.06390940907708</c:v>
                </c:pt>
                <c:pt idx="2">
                  <c:v>17.600331249386141</c:v>
                </c:pt>
              </c:numCache>
            </c:numRef>
          </c:val>
          <c:smooth val="0"/>
          <c:extLst>
            <c:ext xmlns:c16="http://schemas.microsoft.com/office/drawing/2014/chart" uri="{C3380CC4-5D6E-409C-BE32-E72D297353CC}">
              <c16:uniqueId val="{00000001-3D61-4881-B1F2-921FCF1C2DFE}"/>
            </c:ext>
          </c:extLst>
        </c:ser>
        <c:ser>
          <c:idx val="2"/>
          <c:order val="2"/>
          <c:tx>
            <c:v>QoL</c:v>
          </c:tx>
          <c:spPr>
            <a:ln w="19050" cap="rnd" cmpd="sng" algn="ctr">
              <a:solidFill>
                <a:schemeClr val="bg1">
                  <a:lumMod val="50000"/>
                </a:schemeClr>
              </a:solidFill>
              <a:prstDash val="dash"/>
              <a:round/>
            </a:ln>
            <a:effectLst/>
          </c:spPr>
          <c:marker>
            <c:symbol val="none"/>
          </c:marker>
          <c:errBars>
            <c:errDir val="y"/>
            <c:errBarType val="both"/>
            <c:errValType val="cust"/>
            <c:noEndCap val="0"/>
            <c:plus>
              <c:numRef>
                <c:f>(hama!$I$6,hama!$I$9,hama!$I$12)</c:f>
                <c:numCache>
                  <c:formatCode>General</c:formatCode>
                  <c:ptCount val="3"/>
                  <c:pt idx="0">
                    <c:v>0.81343446999529101</c:v>
                  </c:pt>
                  <c:pt idx="1">
                    <c:v>1.3349710659044161</c:v>
                  </c:pt>
                  <c:pt idx="2">
                    <c:v>1.5451461871924099</c:v>
                  </c:pt>
                </c:numCache>
              </c:numRef>
            </c:plus>
            <c:minus>
              <c:numRef>
                <c:f>(hama!$I$6,hama!$I$9,hama!$I$12)</c:f>
                <c:numCache>
                  <c:formatCode>General</c:formatCode>
                  <c:ptCount val="3"/>
                  <c:pt idx="0">
                    <c:v>0.81343446999529101</c:v>
                  </c:pt>
                  <c:pt idx="1">
                    <c:v>1.3349710659044161</c:v>
                  </c:pt>
                  <c:pt idx="2">
                    <c:v>1.5451461871924099</c:v>
                  </c:pt>
                </c:numCache>
              </c:numRef>
            </c:minus>
            <c:spPr>
              <a:solidFill>
                <a:schemeClr val="tx1"/>
              </a:solidFill>
              <a:ln w="9525" cap="flat" cmpd="sng" algn="ctr">
                <a:solidFill>
                  <a:schemeClr val="tx1">
                    <a:shade val="95000"/>
                    <a:satMod val="105000"/>
                  </a:schemeClr>
                </a:solidFill>
                <a:prstDash val="solid"/>
                <a:round/>
              </a:ln>
              <a:effectLst/>
            </c:spPr>
          </c:errBars>
          <c:val>
            <c:numRef>
              <c:f>(hama!$E$6,hama!$E$9,hama!$E$12)</c:f>
              <c:numCache>
                <c:formatCode>###0.00</c:formatCode>
                <c:ptCount val="3"/>
                <c:pt idx="0">
                  <c:v>29.69213712834561</c:v>
                </c:pt>
                <c:pt idx="1">
                  <c:v>20.376197665420559</c:v>
                </c:pt>
                <c:pt idx="2">
                  <c:v>22.460810270626279</c:v>
                </c:pt>
              </c:numCache>
            </c:numRef>
          </c:val>
          <c:smooth val="0"/>
          <c:extLst>
            <c:ext xmlns:c16="http://schemas.microsoft.com/office/drawing/2014/chart" uri="{C3380CC4-5D6E-409C-BE32-E72D297353CC}">
              <c16:uniqueId val="{00000002-3D61-4881-B1F2-921FCF1C2DFE}"/>
            </c:ext>
          </c:extLst>
        </c:ser>
        <c:dLbls>
          <c:showLegendKey val="0"/>
          <c:showVal val="0"/>
          <c:showCatName val="0"/>
          <c:showSerName val="0"/>
          <c:showPercent val="0"/>
          <c:showBubbleSize val="0"/>
        </c:dLbls>
        <c:smooth val="0"/>
        <c:axId val="420272488"/>
        <c:axId val="423492976"/>
      </c:lineChart>
      <c:catAx>
        <c:axId val="4202724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t-BR"/>
                  <a:t>Assessment</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pt-BR"/>
            </a:p>
          </c:txPr>
        </c:title>
        <c:numFmt formatCode="@"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423492976"/>
        <c:crosses val="autoZero"/>
        <c:auto val="0"/>
        <c:lblAlgn val="ctr"/>
        <c:lblOffset val="100"/>
        <c:noMultiLvlLbl val="0"/>
      </c:catAx>
      <c:valAx>
        <c:axId val="423492976"/>
        <c:scaling>
          <c:orientation val="minMax"/>
          <c:max val="4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pt-BR"/>
                  <a:t>HAMA</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pt-BR"/>
            </a:p>
          </c:tx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42027248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Pages>
  <Words>2909</Words>
  <Characters>15713</Characters>
  <Application>Microsoft Office Word</Application>
  <DocSecurity>0</DocSecurity>
  <Lines>130</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Abreu Costa</dc:creator>
  <cp:keywords/>
  <dc:description/>
  <cp:lastModifiedBy>Mari</cp:lastModifiedBy>
  <cp:revision>9</cp:revision>
  <dcterms:created xsi:type="dcterms:W3CDTF">2020-09-23T21:14:00Z</dcterms:created>
  <dcterms:modified xsi:type="dcterms:W3CDTF">2020-09-23T22:09:00Z</dcterms:modified>
</cp:coreProperties>
</file>