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632D" w14:textId="0F040E47" w:rsidR="008C5E75" w:rsidRPr="008C5E75" w:rsidRDefault="008C5E75" w:rsidP="008C5E75">
      <w:pPr>
        <w:spacing w:after="200" w:line="276" w:lineRule="auto"/>
        <w:rPr>
          <w:rFonts w:ascii="Calibri" w:eastAsia="Calibri" w:hAnsi="Calibri" w:cs="Times New Roman"/>
          <w:lang w:val="en-GB"/>
        </w:rPr>
      </w:pPr>
      <w:r w:rsidRPr="008C5E75">
        <w:rPr>
          <w:rFonts w:ascii="Calibri" w:eastAsia="Calibri" w:hAnsi="Calibri" w:cs="Times New Roman"/>
          <w:b/>
          <w:lang w:val="en-GB"/>
        </w:rPr>
        <w:t>Table 1</w:t>
      </w:r>
      <w:r w:rsidR="006875E6">
        <w:rPr>
          <w:rFonts w:ascii="Calibri" w:eastAsia="Calibri" w:hAnsi="Calibri" w:cs="Times New Roman"/>
          <w:b/>
          <w:lang w:val="en-GB"/>
        </w:rPr>
        <w:t>S</w:t>
      </w:r>
      <w:r w:rsidRPr="008C5E75">
        <w:rPr>
          <w:rFonts w:ascii="Calibri" w:eastAsia="Calibri" w:hAnsi="Calibri" w:cs="Times New Roman"/>
          <w:b/>
          <w:lang w:val="en-GB"/>
        </w:rPr>
        <w:t>.</w:t>
      </w:r>
      <w:r w:rsidRPr="008C5E75">
        <w:rPr>
          <w:rFonts w:ascii="Calibri" w:eastAsia="Calibri" w:hAnsi="Calibri" w:cs="Times New Roman"/>
          <w:lang w:val="en-GB"/>
        </w:rPr>
        <w:t xml:space="preserve"> Measures taken by the IEO Radiotherapy Division to fight the pandemic</w:t>
      </w:r>
      <w:r w:rsidR="007F2E88">
        <w:rPr>
          <w:rFonts w:ascii="Calibri" w:eastAsia="Calibri" w:hAnsi="Calibri" w:cs="Times New Roman"/>
          <w:lang w:val="en-GB"/>
        </w:rPr>
        <w:t xml:space="preserve"> during March-April 2020</w:t>
      </w:r>
    </w:p>
    <w:tbl>
      <w:tblPr>
        <w:tblStyle w:val="TableGrid"/>
        <w:tblW w:w="0" w:type="auto"/>
        <w:tblLook w:val="04A0" w:firstRow="1" w:lastRow="0" w:firstColumn="1" w:lastColumn="0" w:noHBand="0" w:noVBand="1"/>
      </w:tblPr>
      <w:tblGrid>
        <w:gridCol w:w="1595"/>
        <w:gridCol w:w="2809"/>
        <w:gridCol w:w="2814"/>
        <w:gridCol w:w="2636"/>
      </w:tblGrid>
      <w:tr w:rsidR="008C5E75" w:rsidRPr="006875E6" w14:paraId="24DC7B6E" w14:textId="77777777" w:rsidTr="0029679C">
        <w:tc>
          <w:tcPr>
            <w:tcW w:w="1595" w:type="dxa"/>
          </w:tcPr>
          <w:p w14:paraId="230575B7" w14:textId="77777777" w:rsidR="008C5E75" w:rsidRPr="006875E6" w:rsidRDefault="008C5E75" w:rsidP="0029679C">
            <w:pPr>
              <w:rPr>
                <w:rFonts w:ascii="Calibri" w:eastAsia="Calibri" w:hAnsi="Calibri" w:cs="Times New Roman"/>
                <w:b/>
                <w:lang w:val="en-US"/>
              </w:rPr>
            </w:pPr>
            <w:r w:rsidRPr="006875E6">
              <w:rPr>
                <w:rFonts w:ascii="Calibri" w:eastAsia="Calibri" w:hAnsi="Calibri" w:cs="Times New Roman"/>
                <w:b/>
                <w:lang w:val="en-US"/>
              </w:rPr>
              <w:t>Measures</w:t>
            </w:r>
          </w:p>
        </w:tc>
        <w:tc>
          <w:tcPr>
            <w:tcW w:w="2809" w:type="dxa"/>
          </w:tcPr>
          <w:p w14:paraId="2381A215" w14:textId="77777777" w:rsidR="008C5E75" w:rsidRPr="006875E6" w:rsidRDefault="008C5E75" w:rsidP="0029679C">
            <w:pPr>
              <w:rPr>
                <w:rFonts w:ascii="Calibri" w:eastAsia="Calibri" w:hAnsi="Calibri" w:cs="Times New Roman"/>
                <w:b/>
                <w:lang w:val="en-US"/>
              </w:rPr>
            </w:pPr>
            <w:r w:rsidRPr="006875E6">
              <w:rPr>
                <w:rFonts w:ascii="Calibri" w:eastAsia="Calibri" w:hAnsi="Calibri" w:cs="Times New Roman"/>
                <w:b/>
                <w:lang w:val="en-US"/>
              </w:rPr>
              <w:t>Patients</w:t>
            </w:r>
          </w:p>
        </w:tc>
        <w:tc>
          <w:tcPr>
            <w:tcW w:w="2814" w:type="dxa"/>
          </w:tcPr>
          <w:p w14:paraId="3F33C6BC" w14:textId="77777777" w:rsidR="008C5E75" w:rsidRPr="006875E6" w:rsidRDefault="008C5E75" w:rsidP="0029679C">
            <w:pPr>
              <w:rPr>
                <w:rFonts w:ascii="Calibri" w:eastAsia="Calibri" w:hAnsi="Calibri" w:cs="Times New Roman"/>
                <w:b/>
                <w:lang w:val="en-US"/>
              </w:rPr>
            </w:pPr>
            <w:r w:rsidRPr="006875E6">
              <w:rPr>
                <w:rFonts w:ascii="Calibri" w:eastAsia="Calibri" w:hAnsi="Calibri" w:cs="Times New Roman"/>
                <w:b/>
                <w:lang w:val="en-US"/>
              </w:rPr>
              <w:t>Personnel</w:t>
            </w:r>
          </w:p>
        </w:tc>
        <w:tc>
          <w:tcPr>
            <w:tcW w:w="2636" w:type="dxa"/>
          </w:tcPr>
          <w:p w14:paraId="405C0299" w14:textId="77777777" w:rsidR="008C5E75" w:rsidRPr="006875E6" w:rsidRDefault="008C5E75" w:rsidP="0029679C">
            <w:pPr>
              <w:rPr>
                <w:rFonts w:ascii="Calibri" w:eastAsia="Calibri" w:hAnsi="Calibri" w:cs="Times New Roman"/>
                <w:b/>
                <w:lang w:val="en-US"/>
              </w:rPr>
            </w:pPr>
            <w:r w:rsidRPr="006875E6">
              <w:rPr>
                <w:rFonts w:ascii="Calibri" w:eastAsia="Calibri" w:hAnsi="Calibri" w:cs="Times New Roman"/>
                <w:b/>
                <w:lang w:val="en-US"/>
              </w:rPr>
              <w:t>Comments</w:t>
            </w:r>
          </w:p>
        </w:tc>
      </w:tr>
      <w:tr w:rsidR="008C5E75" w:rsidRPr="00EF0232" w14:paraId="56FECC78" w14:textId="77777777" w:rsidTr="0029679C">
        <w:tc>
          <w:tcPr>
            <w:tcW w:w="1595" w:type="dxa"/>
          </w:tcPr>
          <w:p w14:paraId="3977E841" w14:textId="77777777" w:rsidR="008C5E75" w:rsidRPr="00713514" w:rsidRDefault="008C5E75" w:rsidP="0029679C">
            <w:pPr>
              <w:rPr>
                <w:rFonts w:ascii="Calibri" w:eastAsia="Calibri" w:hAnsi="Calibri" w:cs="Times New Roman"/>
                <w:b/>
                <w:lang w:val="en-GB"/>
              </w:rPr>
            </w:pPr>
            <w:r w:rsidRPr="00713514">
              <w:rPr>
                <w:rFonts w:ascii="Calibri" w:eastAsia="Calibri" w:hAnsi="Calibri" w:cs="Times New Roman"/>
                <w:b/>
                <w:lang w:val="en-GB"/>
              </w:rPr>
              <w:t>Personal protective equipment</w:t>
            </w:r>
          </w:p>
        </w:tc>
        <w:tc>
          <w:tcPr>
            <w:tcW w:w="2809" w:type="dxa"/>
          </w:tcPr>
          <w:p w14:paraId="4815CF6B"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●Facial masks</w:t>
            </w:r>
          </w:p>
          <w:p w14:paraId="07C3127E"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●Optional gloves</w:t>
            </w:r>
          </w:p>
          <w:p w14:paraId="61A91E59"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●Hand hygiene</w:t>
            </w:r>
          </w:p>
        </w:tc>
        <w:tc>
          <w:tcPr>
            <w:tcW w:w="2814" w:type="dxa"/>
          </w:tcPr>
          <w:p w14:paraId="2FFE2D7A"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●Surgical facial masks </w:t>
            </w:r>
          </w:p>
          <w:p w14:paraId="45235F70" w14:textId="77777777" w:rsidR="008C5E75" w:rsidRPr="00713514" w:rsidRDefault="008C5E75" w:rsidP="0029679C">
            <w:pPr>
              <w:rPr>
                <w:rFonts w:ascii="Calibri" w:eastAsia="Calibri" w:hAnsi="Calibri" w:cs="Times New Roman"/>
                <w:lang w:val="en-GB"/>
              </w:rPr>
            </w:pPr>
            <w:r w:rsidRPr="00713514">
              <w:rPr>
                <w:rFonts w:ascii="Calibri" w:eastAsia="Calibri" w:hAnsi="Calibri" w:cs="Times New Roman"/>
                <w:lang w:val="en-GB"/>
              </w:rPr>
              <w:t>●Hand hygiene</w:t>
            </w:r>
          </w:p>
          <w:p w14:paraId="7911156A"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●Gloves </w:t>
            </w:r>
          </w:p>
          <w:p w14:paraId="1F6F7986"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●N-95 mask, disposable long-sleeve gown, cap and goggle or eye protection if close contact with pts</w:t>
            </w:r>
          </w:p>
          <w:p w14:paraId="1295C075" w14:textId="77777777" w:rsidR="008C5E75" w:rsidRPr="008C5E75" w:rsidRDefault="008C5E75" w:rsidP="0029679C">
            <w:pPr>
              <w:rPr>
                <w:rFonts w:ascii="Calibri" w:eastAsia="Calibri" w:hAnsi="Calibri" w:cs="Times New Roman"/>
                <w:lang w:val="en-GB"/>
              </w:rPr>
            </w:pPr>
          </w:p>
        </w:tc>
        <w:tc>
          <w:tcPr>
            <w:tcW w:w="2636" w:type="dxa"/>
          </w:tcPr>
          <w:p w14:paraId="1604F384"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Gradually implemented starting from the end of February 2020</w:t>
            </w:r>
          </w:p>
        </w:tc>
      </w:tr>
      <w:tr w:rsidR="008C5E75" w:rsidRPr="00EF0232" w14:paraId="35AB1F22" w14:textId="77777777" w:rsidTr="0029679C">
        <w:tc>
          <w:tcPr>
            <w:tcW w:w="1595" w:type="dxa"/>
          </w:tcPr>
          <w:p w14:paraId="07F6F64F" w14:textId="77777777" w:rsidR="008C5E75" w:rsidRPr="00713514" w:rsidRDefault="008C5E75" w:rsidP="0029679C">
            <w:pPr>
              <w:rPr>
                <w:rFonts w:ascii="Calibri" w:eastAsia="Calibri" w:hAnsi="Calibri" w:cs="Times New Roman"/>
                <w:b/>
              </w:rPr>
            </w:pPr>
            <w:r w:rsidRPr="00713514">
              <w:rPr>
                <w:rFonts w:ascii="Calibri" w:eastAsia="Calibri" w:hAnsi="Calibri" w:cs="Times New Roman"/>
                <w:b/>
              </w:rPr>
              <w:t>Access to RT Division</w:t>
            </w:r>
          </w:p>
        </w:tc>
        <w:tc>
          <w:tcPr>
            <w:tcW w:w="2809" w:type="dxa"/>
          </w:tcPr>
          <w:p w14:paraId="2853D897"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●Pts only </w:t>
            </w:r>
          </w:p>
          <w:p w14:paraId="33A8F2EC"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●Pts allowed in shortly before their scheduled treatment time</w:t>
            </w:r>
          </w:p>
          <w:p w14:paraId="737C07F2"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●2-level triage at the RT Division entrance: body temperature + </w:t>
            </w:r>
            <w:proofErr w:type="gramStart"/>
            <w:r w:rsidRPr="008C5E75">
              <w:rPr>
                <w:rFonts w:ascii="Calibri" w:eastAsia="Calibri" w:hAnsi="Calibri" w:cs="Times New Roman"/>
                <w:lang w:val="en-GB"/>
              </w:rPr>
              <w:t>brief  investigations</w:t>
            </w:r>
            <w:proofErr w:type="gramEnd"/>
            <w:r w:rsidRPr="008C5E75">
              <w:rPr>
                <w:rFonts w:ascii="Calibri" w:eastAsia="Calibri" w:hAnsi="Calibri" w:cs="Times New Roman"/>
                <w:lang w:val="en-GB"/>
              </w:rPr>
              <w:t xml:space="preserve"> on any suspicious symptoms </w:t>
            </w:r>
          </w:p>
          <w:p w14:paraId="7849C24D"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●Case-by case management of any symptomatic pts (dedicated pathway)</w:t>
            </w:r>
          </w:p>
        </w:tc>
        <w:tc>
          <w:tcPr>
            <w:tcW w:w="2814" w:type="dxa"/>
          </w:tcPr>
          <w:p w14:paraId="40AFF9AF"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●2-level triage at the RT Division entrance (body temperature) </w:t>
            </w:r>
          </w:p>
        </w:tc>
        <w:tc>
          <w:tcPr>
            <w:tcW w:w="2636" w:type="dxa"/>
          </w:tcPr>
          <w:p w14:paraId="3A0A9633"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w:t>
            </w:r>
            <w:proofErr w:type="gramStart"/>
            <w:r w:rsidRPr="008C5E75">
              <w:rPr>
                <w:rFonts w:ascii="Calibri" w:eastAsia="Calibri" w:hAnsi="Calibri" w:cs="Times New Roman"/>
                <w:lang w:val="en-GB"/>
              </w:rPr>
              <w:t>Care-giver</w:t>
            </w:r>
            <w:proofErr w:type="gramEnd"/>
            <w:r w:rsidRPr="008C5E75">
              <w:rPr>
                <w:rFonts w:ascii="Calibri" w:eastAsia="Calibri" w:hAnsi="Calibri" w:cs="Times New Roman"/>
                <w:lang w:val="en-GB"/>
              </w:rPr>
              <w:t xml:space="preserve"> admitted upon special permission</w:t>
            </w:r>
          </w:p>
          <w:p w14:paraId="43310462"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 1-level triage at </w:t>
            </w:r>
            <w:proofErr w:type="gramStart"/>
            <w:r w:rsidRPr="008C5E75">
              <w:rPr>
                <w:rFonts w:ascii="Calibri" w:eastAsia="Calibri" w:hAnsi="Calibri" w:cs="Times New Roman"/>
                <w:lang w:val="en-GB"/>
              </w:rPr>
              <w:t>the  entrance</w:t>
            </w:r>
            <w:proofErr w:type="gramEnd"/>
            <w:r w:rsidRPr="008C5E75">
              <w:rPr>
                <w:rFonts w:ascii="Calibri" w:eastAsia="Calibri" w:hAnsi="Calibri" w:cs="Times New Roman"/>
                <w:lang w:val="en-GB"/>
              </w:rPr>
              <w:t xml:space="preserve"> of IEO for body temperature only  </w:t>
            </w:r>
          </w:p>
          <w:p w14:paraId="4A8205FB"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●Dedicated nurses available on call for nasopharyngeal swabs. Radiological team for lung CT.</w:t>
            </w:r>
          </w:p>
          <w:p w14:paraId="792C5AFA"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If tested positive, pts </w:t>
            </w:r>
            <w:proofErr w:type="gramStart"/>
            <w:r w:rsidRPr="008C5E75">
              <w:rPr>
                <w:rFonts w:ascii="Calibri" w:eastAsia="Calibri" w:hAnsi="Calibri" w:cs="Times New Roman"/>
                <w:lang w:val="en-GB"/>
              </w:rPr>
              <w:t>were</w:t>
            </w:r>
            <w:proofErr w:type="gramEnd"/>
            <w:r w:rsidRPr="008C5E75">
              <w:rPr>
                <w:rFonts w:ascii="Calibri" w:eastAsia="Calibri" w:hAnsi="Calibri" w:cs="Times New Roman"/>
                <w:lang w:val="en-GB"/>
              </w:rPr>
              <w:t xml:space="preserve"> transferred to Covid-19 Hospital</w:t>
            </w:r>
          </w:p>
        </w:tc>
      </w:tr>
      <w:tr w:rsidR="008C5E75" w:rsidRPr="00EF0232" w14:paraId="14503774" w14:textId="77777777" w:rsidTr="0029679C">
        <w:tc>
          <w:tcPr>
            <w:tcW w:w="1595" w:type="dxa"/>
          </w:tcPr>
          <w:p w14:paraId="00D62E00" w14:textId="77777777" w:rsidR="008C5E75" w:rsidRPr="00713514" w:rsidRDefault="008C5E75" w:rsidP="0029679C">
            <w:pPr>
              <w:rPr>
                <w:rFonts w:ascii="Calibri" w:eastAsia="Calibri" w:hAnsi="Calibri" w:cs="Times New Roman"/>
                <w:b/>
              </w:rPr>
            </w:pPr>
            <w:r w:rsidRPr="00713514">
              <w:rPr>
                <w:rFonts w:ascii="Calibri" w:eastAsia="Calibri" w:hAnsi="Calibri" w:cs="Times New Roman"/>
                <w:b/>
              </w:rPr>
              <w:t>Reorganization</w:t>
            </w:r>
          </w:p>
        </w:tc>
        <w:tc>
          <w:tcPr>
            <w:tcW w:w="2809" w:type="dxa"/>
          </w:tcPr>
          <w:p w14:paraId="33AF76E4"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●Waiting rooms adapt to sit pts one meter apart</w:t>
            </w:r>
          </w:p>
          <w:p w14:paraId="6D70C7D7"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●Pts scheduled for CT simulation checked </w:t>
            </w:r>
            <w:proofErr w:type="gramStart"/>
            <w:r w:rsidRPr="008C5E75">
              <w:rPr>
                <w:rFonts w:ascii="Calibri" w:eastAsia="Calibri" w:hAnsi="Calibri" w:cs="Times New Roman"/>
                <w:lang w:val="en-GB"/>
              </w:rPr>
              <w:t>on  by</w:t>
            </w:r>
            <w:proofErr w:type="gramEnd"/>
            <w:r w:rsidRPr="008C5E75">
              <w:rPr>
                <w:rFonts w:ascii="Calibri" w:eastAsia="Calibri" w:hAnsi="Calibri" w:cs="Times New Roman"/>
                <w:lang w:val="en-GB"/>
              </w:rPr>
              <w:t xml:space="preserve"> phone the day before</w:t>
            </w:r>
          </w:p>
          <w:p w14:paraId="1AAF8598"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 Pts provided </w:t>
            </w:r>
            <w:proofErr w:type="gramStart"/>
            <w:r w:rsidRPr="008C5E75">
              <w:rPr>
                <w:rFonts w:ascii="Calibri" w:eastAsia="Calibri" w:hAnsi="Calibri" w:cs="Times New Roman"/>
                <w:lang w:val="en-GB"/>
              </w:rPr>
              <w:t>with  leaflet</w:t>
            </w:r>
            <w:proofErr w:type="gramEnd"/>
            <w:r w:rsidRPr="008C5E75">
              <w:rPr>
                <w:rFonts w:ascii="Calibri" w:eastAsia="Calibri" w:hAnsi="Calibri" w:cs="Times New Roman"/>
                <w:lang w:val="en-GB"/>
              </w:rPr>
              <w:t xml:space="preserve">  with instructions in case of symptoms </w:t>
            </w:r>
          </w:p>
          <w:p w14:paraId="5AA4EB76"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●Waiting -and treatment -room sanitization after any suspected Covid-19 carrier</w:t>
            </w:r>
          </w:p>
          <w:p w14:paraId="03EA0681" w14:textId="77777777" w:rsidR="008C5E75" w:rsidRPr="008C5E75" w:rsidRDefault="008C5E75" w:rsidP="0029679C">
            <w:pPr>
              <w:rPr>
                <w:rFonts w:ascii="Calibri" w:eastAsia="Calibri" w:hAnsi="Calibri" w:cs="Times New Roman"/>
                <w:lang w:val="en-GB"/>
              </w:rPr>
            </w:pPr>
          </w:p>
          <w:p w14:paraId="44084746" w14:textId="77777777" w:rsidR="008C5E75" w:rsidRPr="008C5E75" w:rsidRDefault="008C5E75" w:rsidP="0029679C">
            <w:pPr>
              <w:rPr>
                <w:rFonts w:ascii="Calibri" w:eastAsia="Calibri" w:hAnsi="Calibri" w:cs="Times New Roman"/>
                <w:lang w:val="en-GB"/>
              </w:rPr>
            </w:pPr>
          </w:p>
        </w:tc>
        <w:tc>
          <w:tcPr>
            <w:tcW w:w="2814" w:type="dxa"/>
          </w:tcPr>
          <w:p w14:paraId="0CA31C0E" w14:textId="46CCCF3E"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●Creation </w:t>
            </w:r>
            <w:proofErr w:type="gramStart"/>
            <w:r w:rsidRPr="008C5E75">
              <w:rPr>
                <w:rFonts w:ascii="Calibri" w:eastAsia="Calibri" w:hAnsi="Calibri" w:cs="Times New Roman"/>
                <w:lang w:val="en-GB"/>
              </w:rPr>
              <w:t>of  COVID</w:t>
            </w:r>
            <w:proofErr w:type="gramEnd"/>
            <w:r w:rsidRPr="008C5E75">
              <w:rPr>
                <w:rFonts w:ascii="Calibri" w:eastAsia="Calibri" w:hAnsi="Calibri" w:cs="Times New Roman"/>
                <w:lang w:val="en-GB"/>
              </w:rPr>
              <w:t xml:space="preserve">-19 RT team (Task Force) </w:t>
            </w:r>
            <w:r w:rsidR="007F2E88">
              <w:rPr>
                <w:rFonts w:ascii="Calibri" w:eastAsia="Calibri" w:hAnsi="Calibri" w:cs="Times New Roman"/>
                <w:lang w:val="en-GB"/>
              </w:rPr>
              <w:t>including</w:t>
            </w:r>
            <w:r w:rsidRPr="008C5E75">
              <w:rPr>
                <w:rFonts w:ascii="Calibri" w:eastAsia="Calibri" w:hAnsi="Calibri" w:cs="Times New Roman"/>
                <w:lang w:val="en-GB"/>
              </w:rPr>
              <w:t xml:space="preserve">  </w:t>
            </w:r>
            <w:r w:rsidR="007F2E88" w:rsidRPr="008A39AF">
              <w:rPr>
                <w:lang w:val="en-US"/>
              </w:rPr>
              <w:t>the Director of RT Division, 3 senior ROs, the Head nurse and Head radiation technologis</w:t>
            </w:r>
            <w:r w:rsidR="00984564">
              <w:rPr>
                <w:lang w:val="en-US"/>
              </w:rPr>
              <w:t>t</w:t>
            </w:r>
            <w:r w:rsidR="007F2E88">
              <w:rPr>
                <w:lang w:val="en-US"/>
              </w:rPr>
              <w:t>.</w:t>
            </w:r>
          </w:p>
          <w:p w14:paraId="6877ED78"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●Phone line dedicated to any symptomatic pts staffed 12-hour a day</w:t>
            </w:r>
          </w:p>
          <w:p w14:paraId="5BDE1120"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●Working shifts for non- permanent medical staff </w:t>
            </w:r>
          </w:p>
          <w:p w14:paraId="7143CE1E" w14:textId="77777777" w:rsidR="008C5E75" w:rsidRPr="008C5E75" w:rsidRDefault="008C5E75" w:rsidP="0029679C">
            <w:pPr>
              <w:rPr>
                <w:rFonts w:ascii="Calibri" w:eastAsia="Calibri" w:hAnsi="Calibri" w:cs="Times New Roman"/>
                <w:lang w:val="en-GB"/>
              </w:rPr>
            </w:pPr>
          </w:p>
          <w:p w14:paraId="51473867" w14:textId="77777777" w:rsidR="008C5E75" w:rsidRPr="008C5E75" w:rsidRDefault="008C5E75" w:rsidP="0029679C">
            <w:pPr>
              <w:rPr>
                <w:rFonts w:ascii="Calibri" w:eastAsia="Calibri" w:hAnsi="Calibri" w:cs="Times New Roman"/>
                <w:lang w:val="en-GB"/>
              </w:rPr>
            </w:pPr>
          </w:p>
        </w:tc>
        <w:tc>
          <w:tcPr>
            <w:tcW w:w="2636" w:type="dxa"/>
          </w:tcPr>
          <w:p w14:paraId="344BA9A6"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●Trained RT nurses to   check pts’ health status before their admission to RT (any suspicious symptoms </w:t>
            </w:r>
            <w:proofErr w:type="gramStart"/>
            <w:r w:rsidRPr="008C5E75">
              <w:rPr>
                <w:rFonts w:ascii="Calibri" w:eastAsia="Calibri" w:hAnsi="Calibri" w:cs="Times New Roman"/>
                <w:lang w:val="en-GB"/>
              </w:rPr>
              <w:t>or  contact</w:t>
            </w:r>
            <w:proofErr w:type="gramEnd"/>
            <w:r w:rsidRPr="008C5E75">
              <w:rPr>
                <w:rFonts w:ascii="Calibri" w:eastAsia="Calibri" w:hAnsi="Calibri" w:cs="Times New Roman"/>
                <w:lang w:val="en-GB"/>
              </w:rPr>
              <w:t xml:space="preserve"> with Covid-19 carrier)</w:t>
            </w:r>
          </w:p>
          <w:p w14:paraId="55B8242A"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 COVID-19 RT Task Force in charge of contingency plan </w:t>
            </w:r>
          </w:p>
        </w:tc>
      </w:tr>
      <w:tr w:rsidR="008C5E75" w:rsidRPr="00EF0232" w14:paraId="7E207B6C" w14:textId="77777777" w:rsidTr="0029679C">
        <w:trPr>
          <w:trHeight w:val="1900"/>
        </w:trPr>
        <w:tc>
          <w:tcPr>
            <w:tcW w:w="1595" w:type="dxa"/>
          </w:tcPr>
          <w:p w14:paraId="646C0899" w14:textId="77777777" w:rsidR="008C5E75" w:rsidRPr="00713514" w:rsidRDefault="008C5E75" w:rsidP="0029679C">
            <w:pPr>
              <w:rPr>
                <w:rFonts w:ascii="Calibri" w:eastAsia="Calibri" w:hAnsi="Calibri" w:cs="Times New Roman"/>
                <w:b/>
              </w:rPr>
            </w:pPr>
            <w:r w:rsidRPr="00713514">
              <w:rPr>
                <w:rFonts w:ascii="Calibri" w:eastAsia="Calibri" w:hAnsi="Calibri" w:cs="Times New Roman"/>
                <w:b/>
              </w:rPr>
              <w:t>Clinical visits and meetings</w:t>
            </w:r>
          </w:p>
        </w:tc>
        <w:tc>
          <w:tcPr>
            <w:tcW w:w="2809" w:type="dxa"/>
          </w:tcPr>
          <w:p w14:paraId="1F92BCE9" w14:textId="5727F244"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●Follow-up visits made by phone. If needed, pts </w:t>
            </w:r>
            <w:proofErr w:type="gramStart"/>
            <w:r w:rsidRPr="008C5E75">
              <w:rPr>
                <w:rFonts w:ascii="Calibri" w:eastAsia="Calibri" w:hAnsi="Calibri" w:cs="Times New Roman"/>
                <w:lang w:val="en-GB"/>
              </w:rPr>
              <w:t>were</w:t>
            </w:r>
            <w:proofErr w:type="gramEnd"/>
            <w:r w:rsidRPr="008C5E75">
              <w:rPr>
                <w:rFonts w:ascii="Calibri" w:eastAsia="Calibri" w:hAnsi="Calibri" w:cs="Times New Roman"/>
                <w:lang w:val="en-GB"/>
              </w:rPr>
              <w:t xml:space="preserve"> relocated</w:t>
            </w:r>
            <w:r w:rsidR="007F2E88">
              <w:rPr>
                <w:rFonts w:ascii="Calibri" w:eastAsia="Calibri" w:hAnsi="Calibri" w:cs="Times New Roman"/>
                <w:lang w:val="en-GB"/>
              </w:rPr>
              <w:t xml:space="preserve"> (backlog: 25 pts,15%).</w:t>
            </w:r>
          </w:p>
          <w:p w14:paraId="5B65FCA0" w14:textId="75191803" w:rsidR="008C5E75" w:rsidRPr="008C5E75" w:rsidRDefault="008C5E75" w:rsidP="007F2E88">
            <w:pPr>
              <w:rPr>
                <w:rFonts w:ascii="Calibri" w:eastAsia="Calibri" w:hAnsi="Calibri" w:cs="Times New Roman"/>
                <w:lang w:val="en-GB"/>
              </w:rPr>
            </w:pPr>
            <w:r w:rsidRPr="008C5E75">
              <w:rPr>
                <w:rFonts w:ascii="Calibri" w:eastAsia="Calibri" w:hAnsi="Calibri" w:cs="Times New Roman"/>
                <w:lang w:val="en-GB"/>
              </w:rPr>
              <w:t>●Pts advised to have RT close to home</w:t>
            </w:r>
            <w:r w:rsidR="007F2E88">
              <w:rPr>
                <w:rFonts w:ascii="Calibri" w:eastAsia="Calibri" w:hAnsi="Calibri" w:cs="Times New Roman"/>
                <w:lang w:val="en-GB"/>
              </w:rPr>
              <w:t xml:space="preserve"> </w:t>
            </w:r>
          </w:p>
        </w:tc>
        <w:tc>
          <w:tcPr>
            <w:tcW w:w="2814" w:type="dxa"/>
          </w:tcPr>
          <w:p w14:paraId="729978FD" w14:textId="3A375F75"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●Follow-up clinics cancelled or postponed</w:t>
            </w:r>
            <w:r w:rsidR="00984564">
              <w:rPr>
                <w:rFonts w:ascii="Calibri" w:eastAsia="Calibri" w:hAnsi="Calibri" w:cs="Times New Roman"/>
                <w:lang w:val="en-GB"/>
              </w:rPr>
              <w:t xml:space="preserve"> </w:t>
            </w:r>
            <w:r w:rsidR="007F2E88">
              <w:rPr>
                <w:rFonts w:ascii="Calibri" w:eastAsia="Calibri" w:hAnsi="Calibri" w:cs="Times New Roman"/>
                <w:lang w:val="en-GB"/>
              </w:rPr>
              <w:t>(</w:t>
            </w:r>
            <w:r w:rsidR="007F2E88" w:rsidRPr="008A39AF">
              <w:rPr>
                <w:lang w:val="en-US"/>
              </w:rPr>
              <w:t>170 phone calls</w:t>
            </w:r>
            <w:r w:rsidR="007F2E88">
              <w:rPr>
                <w:lang w:val="en-US"/>
              </w:rPr>
              <w:t xml:space="preserve"> were made)</w:t>
            </w:r>
          </w:p>
          <w:p w14:paraId="04C36D36" w14:textId="498D7B0D"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●Telephone- based consultation to replace person- to -person interaction</w:t>
            </w:r>
            <w:r w:rsidR="007F2E88">
              <w:rPr>
                <w:rFonts w:ascii="Calibri" w:eastAsia="Calibri" w:hAnsi="Calibri" w:cs="Times New Roman"/>
                <w:lang w:val="en-GB"/>
              </w:rPr>
              <w:t xml:space="preserve"> (160 phone-based consultations)</w:t>
            </w:r>
          </w:p>
          <w:p w14:paraId="5841684A"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●Multidisciplinary boards moved to digital platform</w:t>
            </w:r>
          </w:p>
        </w:tc>
        <w:tc>
          <w:tcPr>
            <w:tcW w:w="2636" w:type="dxa"/>
          </w:tcPr>
          <w:p w14:paraId="604AB726"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xml:space="preserve">●Maintain a bond with </w:t>
            </w:r>
            <w:proofErr w:type="gramStart"/>
            <w:r w:rsidRPr="008C5E75">
              <w:rPr>
                <w:rFonts w:ascii="Calibri" w:eastAsia="Calibri" w:hAnsi="Calibri" w:cs="Times New Roman"/>
                <w:lang w:val="en-GB"/>
              </w:rPr>
              <w:t>pts  to</w:t>
            </w:r>
            <w:proofErr w:type="gramEnd"/>
            <w:r w:rsidRPr="008C5E75">
              <w:rPr>
                <w:rFonts w:ascii="Calibri" w:eastAsia="Calibri" w:hAnsi="Calibri" w:cs="Times New Roman"/>
                <w:lang w:val="en-GB"/>
              </w:rPr>
              <w:t xml:space="preserve"> avoid feeling of abandonment</w:t>
            </w:r>
          </w:p>
          <w:p w14:paraId="2D610599" w14:textId="77777777" w:rsidR="008C5E75" w:rsidRPr="008C5E75" w:rsidRDefault="008C5E75" w:rsidP="0029679C">
            <w:pPr>
              <w:rPr>
                <w:rFonts w:ascii="Calibri" w:eastAsia="Calibri" w:hAnsi="Calibri" w:cs="Times New Roman"/>
                <w:lang w:val="en-GB"/>
              </w:rPr>
            </w:pPr>
            <w:r w:rsidRPr="008C5E75">
              <w:rPr>
                <w:rFonts w:ascii="Calibri" w:eastAsia="Calibri" w:hAnsi="Calibri" w:cs="Times New Roman"/>
                <w:lang w:val="en-GB"/>
              </w:rPr>
              <w:t>● To fit the position of Hub for cancer care</w:t>
            </w:r>
          </w:p>
        </w:tc>
      </w:tr>
    </w:tbl>
    <w:p w14:paraId="3F2BCAF5" w14:textId="77777777" w:rsidR="008C5E75" w:rsidRPr="008C5E75" w:rsidRDefault="008C5E75" w:rsidP="008C5E75">
      <w:pPr>
        <w:widowControl w:val="0"/>
        <w:autoSpaceDE w:val="0"/>
        <w:autoSpaceDN w:val="0"/>
        <w:adjustRightInd w:val="0"/>
        <w:spacing w:after="0" w:line="240" w:lineRule="auto"/>
        <w:jc w:val="both"/>
        <w:rPr>
          <w:rFonts w:ascii="Calibri" w:eastAsia="Calibri" w:hAnsi="Calibri" w:cs="Times New Roman"/>
          <w:i/>
          <w:sz w:val="20"/>
          <w:lang w:val="en-GB"/>
        </w:rPr>
      </w:pPr>
    </w:p>
    <w:p w14:paraId="0E15E210" w14:textId="77777777" w:rsidR="008C5E75" w:rsidRPr="008C5E75" w:rsidRDefault="008C5E75" w:rsidP="008C5E75">
      <w:pPr>
        <w:rPr>
          <w:lang w:val="en-GB"/>
        </w:rPr>
      </w:pPr>
      <w:r w:rsidRPr="008C5E75">
        <w:rPr>
          <w:rFonts w:ascii="Calibri" w:eastAsia="Calibri" w:hAnsi="Calibri" w:cs="Times New Roman"/>
          <w:i/>
          <w:sz w:val="20"/>
          <w:lang w:val="en-GB"/>
        </w:rPr>
        <w:t>List of abbreviations:</w:t>
      </w:r>
      <w:r w:rsidRPr="008C5E75">
        <w:rPr>
          <w:rFonts w:ascii="Calibri" w:eastAsia="Calibri" w:hAnsi="Calibri" w:cs="Times New Roman"/>
          <w:sz w:val="20"/>
          <w:lang w:val="en-GB"/>
        </w:rPr>
        <w:t xml:space="preserve"> </w:t>
      </w:r>
      <w:r w:rsidRPr="008C5E75">
        <w:rPr>
          <w:rFonts w:ascii="Calibri" w:eastAsia="Calibri" w:hAnsi="Calibri" w:cs="Times New Roman"/>
          <w:b/>
          <w:sz w:val="20"/>
          <w:lang w:val="en-GB"/>
        </w:rPr>
        <w:t>COVID-19:</w:t>
      </w:r>
      <w:r w:rsidRPr="008C5E75">
        <w:rPr>
          <w:rFonts w:ascii="Calibri" w:eastAsia="Calibri" w:hAnsi="Calibri" w:cs="Times New Roman"/>
          <w:sz w:val="20"/>
          <w:lang w:val="en-GB"/>
        </w:rPr>
        <w:t xml:space="preserve"> corona virus disease 19; </w:t>
      </w:r>
      <w:r w:rsidRPr="008C5E75">
        <w:rPr>
          <w:rFonts w:ascii="Calibri" w:eastAsia="Calibri" w:hAnsi="Calibri" w:cs="Times New Roman"/>
          <w:b/>
          <w:sz w:val="20"/>
          <w:lang w:val="en-GB"/>
        </w:rPr>
        <w:t>CT:</w:t>
      </w:r>
      <w:r w:rsidRPr="008C5E75">
        <w:rPr>
          <w:rFonts w:ascii="Calibri" w:eastAsia="Calibri" w:hAnsi="Calibri" w:cs="Times New Roman"/>
          <w:sz w:val="20"/>
          <w:lang w:val="en-GB"/>
        </w:rPr>
        <w:t xml:space="preserve"> computed tomography;</w:t>
      </w:r>
      <w:r w:rsidRPr="008C5E75">
        <w:rPr>
          <w:rFonts w:ascii="Calibri" w:eastAsia="Calibri" w:hAnsi="Calibri" w:cs="Times New Roman"/>
          <w:b/>
          <w:sz w:val="20"/>
          <w:lang w:val="en-GB"/>
        </w:rPr>
        <w:t xml:space="preserve"> GP:</w:t>
      </w:r>
      <w:r w:rsidRPr="008C5E75">
        <w:rPr>
          <w:rFonts w:ascii="Calibri" w:eastAsia="Calibri" w:hAnsi="Calibri" w:cs="Times New Roman"/>
          <w:sz w:val="20"/>
          <w:lang w:val="en-GB"/>
        </w:rPr>
        <w:t xml:space="preserve"> general practitioner;</w:t>
      </w:r>
      <w:r w:rsidRPr="008C5E75">
        <w:rPr>
          <w:rFonts w:ascii="Calibri" w:eastAsia="Calibri" w:hAnsi="Calibri" w:cs="Times New Roman"/>
          <w:b/>
          <w:sz w:val="20"/>
          <w:lang w:val="en-GB"/>
        </w:rPr>
        <w:t xml:space="preserve"> IEO: </w:t>
      </w:r>
      <w:r w:rsidRPr="008C5E75">
        <w:rPr>
          <w:rFonts w:ascii="Calibri" w:eastAsia="Calibri" w:hAnsi="Calibri" w:cs="Times New Roman"/>
          <w:sz w:val="20"/>
          <w:lang w:val="en-GB"/>
        </w:rPr>
        <w:t xml:space="preserve">European Institute of Oncology IRCSS; </w:t>
      </w:r>
      <w:r w:rsidRPr="008C5E75">
        <w:rPr>
          <w:rFonts w:ascii="Calibri" w:eastAsia="Calibri" w:hAnsi="Calibri" w:cs="Times New Roman"/>
          <w:b/>
          <w:sz w:val="20"/>
          <w:lang w:val="en-GB"/>
        </w:rPr>
        <w:t>pts:</w:t>
      </w:r>
      <w:r w:rsidRPr="008C5E75">
        <w:rPr>
          <w:rFonts w:ascii="Calibri" w:eastAsia="Calibri" w:hAnsi="Calibri" w:cs="Times New Roman"/>
          <w:sz w:val="20"/>
          <w:lang w:val="en-GB"/>
        </w:rPr>
        <w:t xml:space="preserve"> patients; </w:t>
      </w:r>
      <w:r w:rsidRPr="008C5E75">
        <w:rPr>
          <w:rFonts w:ascii="Calibri" w:eastAsia="Calibri" w:hAnsi="Calibri" w:cs="Times New Roman"/>
          <w:b/>
          <w:sz w:val="20"/>
          <w:lang w:val="en-GB"/>
        </w:rPr>
        <w:t>RT:</w:t>
      </w:r>
      <w:r w:rsidRPr="008C5E75">
        <w:rPr>
          <w:rFonts w:ascii="Calibri" w:eastAsia="Calibri" w:hAnsi="Calibri" w:cs="Times New Roman"/>
          <w:sz w:val="20"/>
          <w:lang w:val="en-GB"/>
        </w:rPr>
        <w:t xml:space="preserve"> Radiotherapy.</w:t>
      </w:r>
    </w:p>
    <w:p w14:paraId="2F3AE643" w14:textId="77777777" w:rsidR="008C5E75" w:rsidRDefault="008C5E75" w:rsidP="008C5E75">
      <w:pPr>
        <w:spacing w:after="200" w:line="276" w:lineRule="auto"/>
        <w:rPr>
          <w:rFonts w:ascii="Calibri" w:eastAsia="Calibri" w:hAnsi="Calibri" w:cs="Times New Roman"/>
          <w:sz w:val="20"/>
          <w:lang w:val="en-GB"/>
        </w:rPr>
        <w:sectPr w:rsidR="008C5E75">
          <w:pgSz w:w="11906" w:h="16838"/>
          <w:pgMar w:top="1417" w:right="1134" w:bottom="1134" w:left="1134" w:header="708" w:footer="708" w:gutter="0"/>
          <w:cols w:space="708"/>
          <w:docGrid w:linePitch="360"/>
        </w:sectPr>
      </w:pPr>
    </w:p>
    <w:p w14:paraId="0696A7BC" w14:textId="29A482B3" w:rsidR="008C5E75" w:rsidRPr="008C5E75" w:rsidRDefault="008C5E75" w:rsidP="008C5E75">
      <w:pPr>
        <w:spacing w:after="200" w:line="276" w:lineRule="auto"/>
        <w:rPr>
          <w:rFonts w:ascii="Calibri" w:eastAsia="Calibri" w:hAnsi="Calibri" w:cs="Times New Roman"/>
          <w:sz w:val="24"/>
          <w:lang w:val="en-GB"/>
        </w:rPr>
      </w:pPr>
      <w:r w:rsidRPr="008C5E75">
        <w:rPr>
          <w:rFonts w:ascii="Calibri" w:eastAsia="Calibri" w:hAnsi="Calibri" w:cs="Times New Roman"/>
          <w:b/>
          <w:sz w:val="24"/>
          <w:lang w:val="en-GB"/>
        </w:rPr>
        <w:lastRenderedPageBreak/>
        <w:t>Table 2</w:t>
      </w:r>
      <w:r w:rsidR="006875E6">
        <w:rPr>
          <w:rFonts w:ascii="Calibri" w:eastAsia="Calibri" w:hAnsi="Calibri" w:cs="Times New Roman"/>
          <w:b/>
          <w:sz w:val="24"/>
          <w:lang w:val="en-GB"/>
        </w:rPr>
        <w:t>S</w:t>
      </w:r>
      <w:r w:rsidRPr="008C5E75">
        <w:rPr>
          <w:rFonts w:ascii="Calibri" w:eastAsia="Calibri" w:hAnsi="Calibri" w:cs="Times New Roman"/>
          <w:b/>
          <w:sz w:val="24"/>
          <w:lang w:val="en-GB"/>
        </w:rPr>
        <w:t>.</w:t>
      </w:r>
      <w:r w:rsidRPr="008C5E75">
        <w:rPr>
          <w:rFonts w:ascii="Calibri" w:eastAsia="Calibri" w:hAnsi="Calibri" w:cs="Times New Roman"/>
          <w:sz w:val="24"/>
          <w:lang w:val="en-GB"/>
        </w:rPr>
        <w:t xml:space="preserve"> Summary of national and international Guidelines for breast cancer radiotherapy during the COVID-19 pandemic compared to the IEO clinical practice during the pandemic outbreak.</w:t>
      </w:r>
    </w:p>
    <w:p w14:paraId="5CAD993B" w14:textId="77777777" w:rsidR="008C5E75" w:rsidRPr="008C5E75" w:rsidRDefault="008C5E75" w:rsidP="008C5E75">
      <w:pPr>
        <w:spacing w:after="200" w:line="276" w:lineRule="auto"/>
        <w:rPr>
          <w:rFonts w:ascii="Calibri" w:eastAsia="Calibri" w:hAnsi="Calibri" w:cs="Times New Roman"/>
          <w:sz w:val="24"/>
          <w:lang w:val="en-GB"/>
        </w:rPr>
      </w:pPr>
    </w:p>
    <w:tbl>
      <w:tblPr>
        <w:tblStyle w:val="Grigliatabella1"/>
        <w:tblW w:w="12866" w:type="dxa"/>
        <w:tblLayout w:type="fixed"/>
        <w:tblLook w:val="04A0" w:firstRow="1" w:lastRow="0" w:firstColumn="1" w:lastColumn="0" w:noHBand="0" w:noVBand="1"/>
      </w:tblPr>
      <w:tblGrid>
        <w:gridCol w:w="1951"/>
        <w:gridCol w:w="4111"/>
        <w:gridCol w:w="3827"/>
        <w:gridCol w:w="2977"/>
      </w:tblGrid>
      <w:tr w:rsidR="008C5E75" w:rsidRPr="000E6992" w14:paraId="499B4741" w14:textId="77777777" w:rsidTr="00A93804">
        <w:trPr>
          <w:trHeight w:val="315"/>
        </w:trPr>
        <w:tc>
          <w:tcPr>
            <w:tcW w:w="1951" w:type="dxa"/>
            <w:vAlign w:val="center"/>
          </w:tcPr>
          <w:p w14:paraId="0ADC66A5" w14:textId="77777777" w:rsidR="008C5E75" w:rsidRPr="000E6992" w:rsidRDefault="008C5E75" w:rsidP="0029679C">
            <w:pPr>
              <w:jc w:val="center"/>
              <w:rPr>
                <w:rFonts w:ascii="Calibri" w:eastAsia="Calibri" w:hAnsi="Calibri" w:cs="Times New Roman"/>
                <w:b/>
                <w:bCs/>
              </w:rPr>
            </w:pPr>
            <w:r w:rsidRPr="000E6992">
              <w:rPr>
                <w:rFonts w:ascii="Calibri" w:eastAsia="Calibri" w:hAnsi="Calibri" w:cs="Times New Roman"/>
                <w:b/>
                <w:bCs/>
              </w:rPr>
              <w:t>Topic</w:t>
            </w:r>
          </w:p>
        </w:tc>
        <w:tc>
          <w:tcPr>
            <w:tcW w:w="4111" w:type="dxa"/>
            <w:tcBorders>
              <w:top w:val="single" w:sz="4" w:space="0" w:color="auto"/>
              <w:bottom w:val="single" w:sz="4" w:space="0" w:color="auto"/>
              <w:right w:val="nil"/>
            </w:tcBorders>
            <w:vAlign w:val="center"/>
          </w:tcPr>
          <w:p w14:paraId="445A853C" w14:textId="06134402" w:rsidR="008C5E75" w:rsidRPr="000E6992" w:rsidRDefault="008C5E75" w:rsidP="0029679C">
            <w:pPr>
              <w:spacing w:after="200" w:line="276" w:lineRule="auto"/>
              <w:jc w:val="center"/>
              <w:rPr>
                <w:rFonts w:ascii="Calibri" w:eastAsia="Calibri" w:hAnsi="Calibri" w:cs="Times New Roman"/>
                <w:b/>
              </w:rPr>
            </w:pPr>
            <w:r w:rsidRPr="000E6992">
              <w:rPr>
                <w:rFonts w:ascii="Calibri" w:eastAsia="Calibri" w:hAnsi="Calibri" w:cs="Times New Roman"/>
                <w:b/>
                <w:bCs/>
              </w:rPr>
              <w:t>National COVID-19 Guidelines</w:t>
            </w:r>
            <w:r w:rsidRPr="000E6992">
              <w:rPr>
                <w:rFonts w:ascii="Calibri" w:eastAsia="Calibri" w:hAnsi="Calibri" w:cs="Times New Roman"/>
              </w:rPr>
              <w:t xml:space="preserve"> [2,9]</w:t>
            </w:r>
          </w:p>
        </w:tc>
        <w:tc>
          <w:tcPr>
            <w:tcW w:w="3827" w:type="dxa"/>
            <w:tcBorders>
              <w:top w:val="single" w:sz="4" w:space="0" w:color="auto"/>
              <w:left w:val="nil"/>
              <w:bottom w:val="single" w:sz="4" w:space="0" w:color="auto"/>
              <w:right w:val="single" w:sz="4" w:space="0" w:color="auto"/>
            </w:tcBorders>
            <w:vAlign w:val="center"/>
          </w:tcPr>
          <w:p w14:paraId="5FB6189A" w14:textId="77777777" w:rsidR="008C5E75" w:rsidRPr="000E6992" w:rsidRDefault="008C5E75" w:rsidP="0029679C">
            <w:pPr>
              <w:spacing w:after="200" w:line="276" w:lineRule="auto"/>
              <w:jc w:val="center"/>
              <w:rPr>
                <w:rFonts w:ascii="Calibri" w:eastAsia="Calibri" w:hAnsi="Calibri" w:cs="Times New Roman"/>
                <w:b/>
              </w:rPr>
            </w:pPr>
            <w:r w:rsidRPr="000E6992">
              <w:rPr>
                <w:rFonts w:ascii="Calibri" w:eastAsia="Calibri" w:hAnsi="Calibri" w:cs="Times New Roman"/>
                <w:b/>
              </w:rPr>
              <w:t xml:space="preserve">International COVID-19 Guidelines </w:t>
            </w:r>
            <w:r w:rsidRPr="000E6992">
              <w:rPr>
                <w:rFonts w:ascii="Calibri" w:eastAsia="Calibri" w:hAnsi="Calibri" w:cs="Times New Roman"/>
              </w:rPr>
              <w:t>[3,4]</w:t>
            </w:r>
          </w:p>
        </w:tc>
        <w:tc>
          <w:tcPr>
            <w:tcW w:w="2977" w:type="dxa"/>
            <w:tcBorders>
              <w:top w:val="single" w:sz="4" w:space="0" w:color="auto"/>
              <w:left w:val="single" w:sz="4" w:space="0" w:color="auto"/>
              <w:bottom w:val="single" w:sz="4" w:space="0" w:color="auto"/>
            </w:tcBorders>
            <w:vAlign w:val="center"/>
          </w:tcPr>
          <w:p w14:paraId="67DAA28F" w14:textId="77777777" w:rsidR="008C5E75" w:rsidRPr="000E6992" w:rsidRDefault="008C5E75" w:rsidP="0029679C">
            <w:pPr>
              <w:spacing w:after="200" w:line="276" w:lineRule="auto"/>
              <w:jc w:val="center"/>
              <w:rPr>
                <w:rFonts w:ascii="Calibri" w:eastAsia="Calibri" w:hAnsi="Calibri" w:cs="Times New Roman"/>
                <w:b/>
              </w:rPr>
            </w:pPr>
            <w:r w:rsidRPr="000E6992">
              <w:rPr>
                <w:rFonts w:ascii="Calibri" w:eastAsia="Calibri" w:hAnsi="Calibri" w:cs="Times New Roman"/>
                <w:b/>
              </w:rPr>
              <w:t>IEO RT workflow</w:t>
            </w:r>
          </w:p>
        </w:tc>
      </w:tr>
      <w:tr w:rsidR="008C5E75" w:rsidRPr="00EF0232" w14:paraId="17D1423C" w14:textId="77777777" w:rsidTr="00A93804">
        <w:trPr>
          <w:trHeight w:val="1554"/>
        </w:trPr>
        <w:tc>
          <w:tcPr>
            <w:tcW w:w="1951" w:type="dxa"/>
            <w:tcBorders>
              <w:right w:val="nil"/>
            </w:tcBorders>
            <w:vAlign w:val="center"/>
          </w:tcPr>
          <w:p w14:paraId="65095364" w14:textId="77777777" w:rsidR="008C5E75" w:rsidRPr="000E6992" w:rsidRDefault="008C5E75" w:rsidP="0029679C">
            <w:pPr>
              <w:jc w:val="center"/>
              <w:rPr>
                <w:rFonts w:ascii="Calibri" w:eastAsia="Calibri" w:hAnsi="Calibri" w:cs="Times New Roman"/>
                <w:b/>
                <w:iCs/>
              </w:rPr>
            </w:pPr>
            <w:r w:rsidRPr="000E6992">
              <w:rPr>
                <w:rFonts w:ascii="Calibri" w:eastAsia="Calibri" w:hAnsi="Calibri" w:cs="Times New Roman"/>
                <w:b/>
                <w:iCs/>
              </w:rPr>
              <w:t>Nodal RT</w:t>
            </w:r>
          </w:p>
        </w:tc>
        <w:tc>
          <w:tcPr>
            <w:tcW w:w="4111" w:type="dxa"/>
            <w:tcBorders>
              <w:top w:val="single" w:sz="4" w:space="0" w:color="auto"/>
              <w:right w:val="nil"/>
            </w:tcBorders>
            <w:vAlign w:val="center"/>
            <w:hideMark/>
          </w:tcPr>
          <w:p w14:paraId="31D107CF" w14:textId="77777777" w:rsidR="008C5E75" w:rsidRPr="008C5E75" w:rsidRDefault="008C5E75" w:rsidP="0029679C">
            <w:pPr>
              <w:spacing w:after="200" w:line="276" w:lineRule="auto"/>
              <w:jc w:val="both"/>
              <w:rPr>
                <w:rFonts w:ascii="Calibri" w:eastAsia="Calibri" w:hAnsi="Calibri" w:cs="Times New Roman"/>
                <w:iCs/>
                <w:lang w:val="en-GB"/>
              </w:rPr>
            </w:pPr>
            <w:r w:rsidRPr="008C5E75">
              <w:rPr>
                <w:rFonts w:ascii="Calibri" w:eastAsia="Calibri" w:hAnsi="Calibri" w:cs="Times New Roman"/>
                <w:iCs/>
                <w:lang w:val="en-GB"/>
              </w:rPr>
              <w:t xml:space="preserve">Nodal RT can be omitted in post-menopausal women requiring WBRT following SLNB and BCS for T1, ER+, HER2-, and Grade 1-2 with 1-2 </w:t>
            </w:r>
            <w:proofErr w:type="spellStart"/>
            <w:r w:rsidRPr="008C5E75">
              <w:rPr>
                <w:rFonts w:ascii="Calibri" w:eastAsia="Calibri" w:hAnsi="Calibri" w:cs="Times New Roman"/>
                <w:iCs/>
                <w:lang w:val="en-GB"/>
              </w:rPr>
              <w:t>macrometastases</w:t>
            </w:r>
            <w:proofErr w:type="spellEnd"/>
            <w:r w:rsidRPr="008C5E75">
              <w:rPr>
                <w:rFonts w:ascii="Calibri" w:eastAsia="Calibri" w:hAnsi="Calibri" w:cs="Times New Roman"/>
                <w:iCs/>
                <w:lang w:val="en-GB"/>
              </w:rPr>
              <w:t xml:space="preserve"> (high priority).</w:t>
            </w:r>
          </w:p>
        </w:tc>
        <w:tc>
          <w:tcPr>
            <w:tcW w:w="3827" w:type="dxa"/>
            <w:tcBorders>
              <w:top w:val="single" w:sz="4" w:space="0" w:color="auto"/>
              <w:left w:val="nil"/>
            </w:tcBorders>
            <w:vAlign w:val="center"/>
            <w:hideMark/>
          </w:tcPr>
          <w:p w14:paraId="3B2559EE" w14:textId="6BDF7A15" w:rsidR="008C5E75" w:rsidRPr="008C5E75" w:rsidRDefault="008C5E75" w:rsidP="00B4077B">
            <w:pPr>
              <w:spacing w:after="200" w:line="276" w:lineRule="auto"/>
              <w:jc w:val="both"/>
              <w:rPr>
                <w:rFonts w:ascii="Calibri" w:eastAsia="Calibri" w:hAnsi="Calibri" w:cs="Times New Roman"/>
                <w:lang w:val="en-GB"/>
              </w:rPr>
            </w:pPr>
            <w:r w:rsidRPr="008C5E75">
              <w:rPr>
                <w:rFonts w:ascii="Calibri" w:eastAsia="Calibri" w:hAnsi="Calibri" w:cs="Times New Roman"/>
                <w:i/>
                <w:iCs/>
                <w:lang w:val="en-GB"/>
              </w:rPr>
              <w:t>UK</w:t>
            </w:r>
            <w:r w:rsidRPr="008C5E75">
              <w:rPr>
                <w:rFonts w:ascii="Calibri" w:eastAsia="Calibri" w:hAnsi="Calibri" w:cs="Times New Roman"/>
                <w:iCs/>
                <w:lang w:val="en-GB"/>
              </w:rPr>
              <w:t xml:space="preserve">: Nodal RT can be omitted in post-menopausal women requiring WBRT following SLNB and BCS for T1, ER+, HER2-, Grade 1-2, with 1-2 </w:t>
            </w:r>
            <w:proofErr w:type="spellStart"/>
            <w:proofErr w:type="gramStart"/>
            <w:r w:rsidRPr="008C5E75">
              <w:rPr>
                <w:rFonts w:ascii="Calibri" w:eastAsia="Calibri" w:hAnsi="Calibri" w:cs="Times New Roman"/>
                <w:iCs/>
                <w:lang w:val="en-GB"/>
              </w:rPr>
              <w:t>macrometastases</w:t>
            </w:r>
            <w:proofErr w:type="spellEnd"/>
            <w:r w:rsidRPr="008C5E75">
              <w:rPr>
                <w:rFonts w:ascii="Calibri" w:eastAsia="Calibri" w:hAnsi="Calibri" w:cs="Times New Roman"/>
                <w:iCs/>
                <w:lang w:val="en-GB"/>
              </w:rPr>
              <w:t xml:space="preserve"> .</w:t>
            </w:r>
            <w:proofErr w:type="gramEnd"/>
          </w:p>
        </w:tc>
        <w:tc>
          <w:tcPr>
            <w:tcW w:w="2977" w:type="dxa"/>
            <w:tcBorders>
              <w:top w:val="single" w:sz="4" w:space="0" w:color="auto"/>
            </w:tcBorders>
            <w:noWrap/>
            <w:vAlign w:val="center"/>
            <w:hideMark/>
          </w:tcPr>
          <w:p w14:paraId="22F7CF1D" w14:textId="775B6E63" w:rsidR="008C5E75" w:rsidRPr="008C5E75" w:rsidRDefault="008C5E75" w:rsidP="000945A6">
            <w:pPr>
              <w:spacing w:after="200" w:line="276" w:lineRule="auto"/>
              <w:jc w:val="both"/>
              <w:rPr>
                <w:rFonts w:ascii="Calibri" w:eastAsia="Calibri" w:hAnsi="Calibri" w:cs="Times New Roman"/>
                <w:lang w:val="en-GB"/>
              </w:rPr>
            </w:pPr>
            <w:r w:rsidRPr="008C5E75">
              <w:rPr>
                <w:rFonts w:ascii="Calibri" w:eastAsia="Calibri" w:hAnsi="Calibri" w:cs="Times New Roman"/>
                <w:i/>
                <w:iCs/>
                <w:lang w:val="en-GB"/>
              </w:rPr>
              <w:t xml:space="preserve">As per internal policy, Luminal A </w:t>
            </w:r>
            <w:proofErr w:type="spellStart"/>
            <w:r w:rsidRPr="008C5E75">
              <w:rPr>
                <w:rFonts w:ascii="Calibri" w:eastAsia="Calibri" w:hAnsi="Calibri" w:cs="Times New Roman"/>
                <w:i/>
                <w:iCs/>
                <w:lang w:val="en-GB"/>
              </w:rPr>
              <w:t>tumors</w:t>
            </w:r>
            <w:proofErr w:type="spellEnd"/>
            <w:r w:rsidRPr="008C5E75">
              <w:rPr>
                <w:rFonts w:ascii="Calibri" w:eastAsia="Calibri" w:hAnsi="Calibri" w:cs="Times New Roman"/>
                <w:i/>
                <w:iCs/>
                <w:lang w:val="en-GB"/>
              </w:rPr>
              <w:t xml:space="preserve"> do not receive nodal RT if extra nodal extension ≤ 2 mm and no LVI </w:t>
            </w:r>
            <w:r w:rsidRPr="008C5E75">
              <w:rPr>
                <w:rFonts w:ascii="Calibri" w:eastAsia="Calibri" w:hAnsi="Calibri" w:cs="Times New Roman"/>
                <w:iCs/>
                <w:lang w:val="en-GB"/>
              </w:rPr>
              <w:t>[</w:t>
            </w:r>
            <w:r w:rsidR="00F14001">
              <w:rPr>
                <w:rFonts w:ascii="Calibri" w:eastAsia="Calibri" w:hAnsi="Calibri" w:cs="Times New Roman"/>
                <w:iCs/>
                <w:lang w:val="en-GB"/>
              </w:rPr>
              <w:t>2</w:t>
            </w:r>
            <w:r w:rsidR="000945A6">
              <w:rPr>
                <w:rFonts w:ascii="Calibri" w:eastAsia="Calibri" w:hAnsi="Calibri" w:cs="Times New Roman"/>
                <w:iCs/>
                <w:lang w:val="en-GB"/>
              </w:rPr>
              <w:t>6</w:t>
            </w:r>
            <w:r w:rsidRPr="008C5E75">
              <w:rPr>
                <w:rFonts w:ascii="Calibri" w:eastAsia="Calibri" w:hAnsi="Calibri" w:cs="Times New Roman"/>
                <w:iCs/>
                <w:lang w:val="en-GB"/>
              </w:rPr>
              <w:t xml:space="preserve">]. </w:t>
            </w:r>
          </w:p>
        </w:tc>
      </w:tr>
      <w:tr w:rsidR="008C5E75" w:rsidRPr="00EF0232" w14:paraId="3A13B8DD" w14:textId="77777777" w:rsidTr="0029679C">
        <w:trPr>
          <w:trHeight w:val="553"/>
        </w:trPr>
        <w:tc>
          <w:tcPr>
            <w:tcW w:w="1951" w:type="dxa"/>
            <w:vMerge w:val="restart"/>
            <w:tcBorders>
              <w:right w:val="nil"/>
            </w:tcBorders>
          </w:tcPr>
          <w:p w14:paraId="51E6C233" w14:textId="77777777" w:rsidR="008C5E75" w:rsidRPr="008C5E75" w:rsidRDefault="008C5E75" w:rsidP="0029679C">
            <w:pPr>
              <w:jc w:val="both"/>
              <w:rPr>
                <w:rFonts w:ascii="Calibri" w:eastAsia="Calibri" w:hAnsi="Calibri" w:cs="Times New Roman"/>
                <w:b/>
                <w:iCs/>
                <w:lang w:val="en-GB"/>
              </w:rPr>
            </w:pPr>
            <w:r w:rsidRPr="008C5E75">
              <w:rPr>
                <w:rFonts w:ascii="Calibri" w:eastAsia="Calibri" w:hAnsi="Calibri" w:cs="Times New Roman"/>
                <w:b/>
                <w:iCs/>
                <w:lang w:val="en-GB"/>
              </w:rPr>
              <w:t xml:space="preserve">            </w:t>
            </w:r>
          </w:p>
          <w:p w14:paraId="1CB50688" w14:textId="77777777" w:rsidR="008C5E75" w:rsidRPr="008C5E75" w:rsidRDefault="008C5E75" w:rsidP="0029679C">
            <w:pPr>
              <w:jc w:val="both"/>
              <w:rPr>
                <w:rFonts w:ascii="Calibri" w:eastAsia="Calibri" w:hAnsi="Calibri" w:cs="Times New Roman"/>
                <w:b/>
                <w:iCs/>
                <w:lang w:val="en-GB"/>
              </w:rPr>
            </w:pPr>
            <w:r w:rsidRPr="008C5E75">
              <w:rPr>
                <w:rFonts w:ascii="Calibri" w:eastAsia="Calibri" w:hAnsi="Calibri" w:cs="Times New Roman"/>
                <w:b/>
                <w:iCs/>
                <w:lang w:val="en-GB"/>
              </w:rPr>
              <w:t xml:space="preserve">     </w:t>
            </w:r>
          </w:p>
          <w:p w14:paraId="67C84760" w14:textId="77777777" w:rsidR="008C5E75" w:rsidRPr="008C5E75" w:rsidRDefault="008C5E75" w:rsidP="0029679C">
            <w:pPr>
              <w:jc w:val="both"/>
              <w:rPr>
                <w:rFonts w:ascii="Calibri" w:eastAsia="Calibri" w:hAnsi="Calibri" w:cs="Times New Roman"/>
                <w:b/>
                <w:iCs/>
                <w:lang w:val="en-GB"/>
              </w:rPr>
            </w:pPr>
          </w:p>
          <w:p w14:paraId="09672204" w14:textId="77777777" w:rsidR="008C5E75" w:rsidRPr="008C5E75" w:rsidRDefault="008C5E75" w:rsidP="0029679C">
            <w:pPr>
              <w:jc w:val="both"/>
              <w:rPr>
                <w:rFonts w:ascii="Calibri" w:eastAsia="Calibri" w:hAnsi="Calibri" w:cs="Times New Roman"/>
                <w:b/>
                <w:iCs/>
                <w:lang w:val="en-GB"/>
              </w:rPr>
            </w:pPr>
          </w:p>
          <w:p w14:paraId="5490BBC2" w14:textId="77777777" w:rsidR="008C5E75" w:rsidRPr="008C5E75" w:rsidRDefault="008C5E75" w:rsidP="0029679C">
            <w:pPr>
              <w:jc w:val="both"/>
              <w:rPr>
                <w:rFonts w:ascii="Calibri" w:eastAsia="Calibri" w:hAnsi="Calibri" w:cs="Times New Roman"/>
                <w:b/>
                <w:iCs/>
                <w:lang w:val="en-GB"/>
              </w:rPr>
            </w:pPr>
          </w:p>
          <w:p w14:paraId="4F7FE62E" w14:textId="77777777" w:rsidR="008C5E75" w:rsidRPr="008C5E75" w:rsidRDefault="008C5E75" w:rsidP="0029679C">
            <w:pPr>
              <w:jc w:val="both"/>
              <w:rPr>
                <w:rFonts w:ascii="Calibri" w:eastAsia="Calibri" w:hAnsi="Calibri" w:cs="Times New Roman"/>
                <w:b/>
                <w:iCs/>
                <w:lang w:val="en-GB"/>
              </w:rPr>
            </w:pPr>
          </w:p>
          <w:p w14:paraId="78AE5158" w14:textId="77777777" w:rsidR="008C5E75" w:rsidRPr="008C5E75" w:rsidRDefault="008C5E75" w:rsidP="0029679C">
            <w:pPr>
              <w:jc w:val="both"/>
              <w:rPr>
                <w:rFonts w:ascii="Calibri" w:eastAsia="Calibri" w:hAnsi="Calibri" w:cs="Times New Roman"/>
                <w:b/>
                <w:iCs/>
                <w:lang w:val="en-GB"/>
              </w:rPr>
            </w:pPr>
          </w:p>
          <w:p w14:paraId="5273869E" w14:textId="77777777" w:rsidR="008C5E75" w:rsidRPr="008C5E75" w:rsidRDefault="008C5E75" w:rsidP="0029679C">
            <w:pPr>
              <w:jc w:val="both"/>
              <w:rPr>
                <w:rFonts w:ascii="Calibri" w:eastAsia="Calibri" w:hAnsi="Calibri" w:cs="Times New Roman"/>
                <w:b/>
                <w:iCs/>
                <w:lang w:val="en-GB"/>
              </w:rPr>
            </w:pPr>
          </w:p>
          <w:p w14:paraId="350039BC" w14:textId="77777777" w:rsidR="008C5E75" w:rsidRPr="000E6992" w:rsidRDefault="008C5E75" w:rsidP="0029679C">
            <w:pPr>
              <w:jc w:val="both"/>
              <w:rPr>
                <w:rFonts w:ascii="Calibri" w:eastAsia="Calibri" w:hAnsi="Calibri" w:cs="Times New Roman"/>
              </w:rPr>
            </w:pPr>
            <w:r w:rsidRPr="008C5E75">
              <w:rPr>
                <w:rFonts w:ascii="Calibri" w:eastAsia="Calibri" w:hAnsi="Calibri" w:cs="Times New Roman"/>
                <w:b/>
                <w:iCs/>
                <w:lang w:val="en-GB"/>
              </w:rPr>
              <w:t xml:space="preserve">            </w:t>
            </w:r>
            <w:r w:rsidRPr="000E6992">
              <w:rPr>
                <w:rFonts w:ascii="Calibri" w:eastAsia="Calibri" w:hAnsi="Calibri" w:cs="Times New Roman"/>
                <w:b/>
                <w:iCs/>
              </w:rPr>
              <w:t>PORT</w:t>
            </w:r>
          </w:p>
        </w:tc>
        <w:tc>
          <w:tcPr>
            <w:tcW w:w="4111" w:type="dxa"/>
            <w:tcBorders>
              <w:right w:val="nil"/>
            </w:tcBorders>
            <w:vAlign w:val="center"/>
          </w:tcPr>
          <w:p w14:paraId="64B3AF12" w14:textId="77777777" w:rsidR="008C5E75" w:rsidRPr="008C5E75" w:rsidRDefault="008C5E75" w:rsidP="0029679C">
            <w:pPr>
              <w:jc w:val="both"/>
              <w:rPr>
                <w:rFonts w:ascii="Calibri" w:eastAsia="Calibri" w:hAnsi="Calibri" w:cs="Times New Roman"/>
                <w:lang w:val="en-GB"/>
              </w:rPr>
            </w:pPr>
            <w:r w:rsidRPr="008C5E75">
              <w:rPr>
                <w:rFonts w:ascii="Calibri" w:eastAsia="Calibri" w:hAnsi="Calibri" w:cs="Times New Roman"/>
                <w:lang w:val="en-GB"/>
              </w:rPr>
              <w:t>Continue and complete the ongoing RT (high priority).</w:t>
            </w:r>
          </w:p>
        </w:tc>
        <w:tc>
          <w:tcPr>
            <w:tcW w:w="3827" w:type="dxa"/>
            <w:tcBorders>
              <w:left w:val="nil"/>
            </w:tcBorders>
            <w:vAlign w:val="center"/>
          </w:tcPr>
          <w:p w14:paraId="5C503435" w14:textId="77777777" w:rsidR="008C5E75" w:rsidRPr="008C5E75" w:rsidRDefault="008C5E75" w:rsidP="0029679C">
            <w:pPr>
              <w:jc w:val="both"/>
              <w:rPr>
                <w:rFonts w:ascii="Calibri" w:eastAsia="Calibri" w:hAnsi="Calibri" w:cs="Times New Roman"/>
                <w:lang w:val="en-GB"/>
              </w:rPr>
            </w:pPr>
          </w:p>
        </w:tc>
        <w:tc>
          <w:tcPr>
            <w:tcW w:w="2977" w:type="dxa"/>
            <w:noWrap/>
            <w:vAlign w:val="center"/>
          </w:tcPr>
          <w:p w14:paraId="0BEFB9F6" w14:textId="77777777" w:rsidR="008C5E75" w:rsidRPr="008C5E75" w:rsidRDefault="008C5E75" w:rsidP="0029679C">
            <w:pPr>
              <w:jc w:val="both"/>
              <w:rPr>
                <w:rFonts w:ascii="Calibri" w:eastAsia="Calibri" w:hAnsi="Calibri" w:cs="Times New Roman"/>
                <w:i/>
                <w:lang w:val="en-GB"/>
              </w:rPr>
            </w:pPr>
            <w:r w:rsidRPr="008C5E75">
              <w:rPr>
                <w:rFonts w:ascii="Calibri" w:eastAsia="Calibri" w:hAnsi="Calibri" w:cs="Times New Roman"/>
                <w:i/>
                <w:lang w:val="en-GB"/>
              </w:rPr>
              <w:t>None of the asymptomatic pts discontinued BC RT</w:t>
            </w:r>
          </w:p>
          <w:p w14:paraId="06BDCAA4" w14:textId="77777777" w:rsidR="008C5E75" w:rsidRPr="008C5E75" w:rsidRDefault="008C5E75" w:rsidP="0029679C">
            <w:pPr>
              <w:jc w:val="both"/>
              <w:rPr>
                <w:rFonts w:ascii="Calibri" w:eastAsia="Calibri" w:hAnsi="Calibri" w:cs="Times New Roman"/>
                <w:i/>
                <w:lang w:val="en-GB"/>
              </w:rPr>
            </w:pPr>
            <w:r w:rsidRPr="008C5E75">
              <w:rPr>
                <w:rFonts w:ascii="Calibri" w:eastAsia="Calibri" w:hAnsi="Calibri" w:cs="Times New Roman"/>
                <w:i/>
                <w:lang w:val="en-GB"/>
              </w:rPr>
              <w:t>Case-by-case management of symptomatic pts</w:t>
            </w:r>
          </w:p>
        </w:tc>
      </w:tr>
      <w:tr w:rsidR="008C5E75" w:rsidRPr="000E6992" w14:paraId="3382E43A" w14:textId="77777777" w:rsidTr="0029679C">
        <w:trPr>
          <w:trHeight w:val="553"/>
        </w:trPr>
        <w:tc>
          <w:tcPr>
            <w:tcW w:w="1951" w:type="dxa"/>
            <w:vMerge/>
            <w:tcBorders>
              <w:right w:val="nil"/>
            </w:tcBorders>
          </w:tcPr>
          <w:p w14:paraId="21A7D479" w14:textId="77777777" w:rsidR="008C5E75" w:rsidRPr="008C5E75" w:rsidRDefault="008C5E75" w:rsidP="0029679C">
            <w:pPr>
              <w:jc w:val="both"/>
              <w:rPr>
                <w:rFonts w:ascii="Calibri" w:eastAsia="Calibri" w:hAnsi="Calibri" w:cs="Times New Roman"/>
                <w:b/>
                <w:iCs/>
                <w:lang w:val="en-GB"/>
              </w:rPr>
            </w:pPr>
          </w:p>
        </w:tc>
        <w:tc>
          <w:tcPr>
            <w:tcW w:w="4111" w:type="dxa"/>
            <w:tcBorders>
              <w:right w:val="nil"/>
            </w:tcBorders>
            <w:vAlign w:val="center"/>
          </w:tcPr>
          <w:p w14:paraId="3E8EE5CC" w14:textId="77777777" w:rsidR="008C5E75" w:rsidRPr="008C5E75" w:rsidRDefault="008C5E75" w:rsidP="0029679C">
            <w:pPr>
              <w:jc w:val="both"/>
              <w:rPr>
                <w:rFonts w:ascii="Calibri" w:eastAsia="Calibri" w:hAnsi="Calibri" w:cs="Times New Roman"/>
                <w:lang w:val="en-GB"/>
              </w:rPr>
            </w:pPr>
            <w:r w:rsidRPr="008C5E75">
              <w:rPr>
                <w:rFonts w:ascii="Calibri" w:eastAsia="Calibri" w:hAnsi="Calibri" w:cs="Times New Roman"/>
                <w:iCs/>
                <w:lang w:val="en-GB"/>
              </w:rPr>
              <w:t>Postoperative RT in high-risk pts (inflammatory cancer, nodal positive, Triple negative, HER2+, residual disease after neoadjuvant CHT, age&lt; 40 (high priority).</w:t>
            </w:r>
          </w:p>
        </w:tc>
        <w:tc>
          <w:tcPr>
            <w:tcW w:w="3827" w:type="dxa"/>
            <w:tcBorders>
              <w:left w:val="nil"/>
            </w:tcBorders>
            <w:vAlign w:val="center"/>
          </w:tcPr>
          <w:p w14:paraId="0B1293A9" w14:textId="77777777" w:rsidR="008C5E75" w:rsidRPr="008C5E75" w:rsidRDefault="008C5E75" w:rsidP="0029679C">
            <w:pPr>
              <w:jc w:val="both"/>
              <w:rPr>
                <w:rFonts w:ascii="Calibri" w:eastAsia="Calibri" w:hAnsi="Calibri" w:cs="Times New Roman"/>
                <w:lang w:val="en-GB"/>
              </w:rPr>
            </w:pPr>
          </w:p>
        </w:tc>
        <w:tc>
          <w:tcPr>
            <w:tcW w:w="2977" w:type="dxa"/>
            <w:noWrap/>
            <w:vAlign w:val="center"/>
          </w:tcPr>
          <w:p w14:paraId="62B777FC" w14:textId="77777777" w:rsidR="008C5E75" w:rsidRPr="000E6992" w:rsidRDefault="008C5E75" w:rsidP="0029679C">
            <w:pPr>
              <w:jc w:val="both"/>
              <w:rPr>
                <w:rFonts w:ascii="Calibri" w:eastAsia="Calibri" w:hAnsi="Calibri" w:cs="Times New Roman"/>
                <w:i/>
              </w:rPr>
            </w:pPr>
            <w:r w:rsidRPr="000E6992">
              <w:rPr>
                <w:rFonts w:ascii="Calibri" w:eastAsia="Calibri" w:hAnsi="Calibri" w:cs="Times New Roman"/>
                <w:i/>
              </w:rPr>
              <w:t>No change in clinical routine</w:t>
            </w:r>
          </w:p>
        </w:tc>
      </w:tr>
      <w:tr w:rsidR="008C5E75" w:rsidRPr="00EF0232" w14:paraId="549F3460" w14:textId="77777777" w:rsidTr="0029679C">
        <w:trPr>
          <w:trHeight w:val="1200"/>
        </w:trPr>
        <w:tc>
          <w:tcPr>
            <w:tcW w:w="1951" w:type="dxa"/>
            <w:vMerge/>
            <w:tcBorders>
              <w:right w:val="nil"/>
            </w:tcBorders>
            <w:vAlign w:val="center"/>
          </w:tcPr>
          <w:p w14:paraId="3F7A4B34" w14:textId="77777777" w:rsidR="008C5E75" w:rsidRPr="000E6992" w:rsidRDefault="008C5E75" w:rsidP="0029679C">
            <w:pPr>
              <w:jc w:val="center"/>
              <w:rPr>
                <w:rFonts w:ascii="Calibri" w:eastAsia="Calibri" w:hAnsi="Calibri" w:cs="Times New Roman"/>
                <w:b/>
                <w:iCs/>
              </w:rPr>
            </w:pPr>
          </w:p>
        </w:tc>
        <w:tc>
          <w:tcPr>
            <w:tcW w:w="4111" w:type="dxa"/>
            <w:tcBorders>
              <w:right w:val="nil"/>
            </w:tcBorders>
            <w:vAlign w:val="center"/>
          </w:tcPr>
          <w:p w14:paraId="51A3E454" w14:textId="77777777" w:rsidR="008C5E75" w:rsidRPr="008C5E75" w:rsidRDefault="008C5E75" w:rsidP="0029679C">
            <w:pPr>
              <w:spacing w:after="200" w:line="276" w:lineRule="auto"/>
              <w:jc w:val="both"/>
              <w:rPr>
                <w:rFonts w:ascii="Calibri" w:eastAsia="Calibri" w:hAnsi="Calibri" w:cs="Times New Roman"/>
                <w:iCs/>
                <w:lang w:val="en-GB"/>
              </w:rPr>
            </w:pPr>
            <w:r w:rsidRPr="008C5E75">
              <w:rPr>
                <w:rFonts w:ascii="Calibri" w:eastAsia="Calibri" w:hAnsi="Calibri" w:cs="Times New Roman"/>
                <w:iCs/>
                <w:lang w:val="en-GB"/>
              </w:rPr>
              <w:t xml:space="preserve">Postoperative RT within maximum 5 months of surgery and 2 months of the end of CHT in low- and intermediate-risk pts (i.e. age&lt; 65, luminal </w:t>
            </w:r>
            <w:proofErr w:type="spellStart"/>
            <w:r w:rsidRPr="008C5E75">
              <w:rPr>
                <w:rFonts w:ascii="Calibri" w:eastAsia="Calibri" w:hAnsi="Calibri" w:cs="Times New Roman"/>
                <w:iCs/>
                <w:lang w:val="en-GB"/>
              </w:rPr>
              <w:t>tumors</w:t>
            </w:r>
            <w:proofErr w:type="spellEnd"/>
            <w:r w:rsidRPr="008C5E75">
              <w:rPr>
                <w:rFonts w:ascii="Calibri" w:eastAsia="Calibri" w:hAnsi="Calibri" w:cs="Times New Roman"/>
                <w:iCs/>
                <w:lang w:val="en-GB"/>
              </w:rPr>
              <w:t>, stage I/II) (medium priority).</w:t>
            </w:r>
          </w:p>
        </w:tc>
        <w:tc>
          <w:tcPr>
            <w:tcW w:w="3827" w:type="dxa"/>
            <w:tcBorders>
              <w:left w:val="nil"/>
            </w:tcBorders>
            <w:noWrap/>
            <w:vAlign w:val="center"/>
            <w:hideMark/>
          </w:tcPr>
          <w:p w14:paraId="177B4D93" w14:textId="09A6C86D" w:rsidR="008C5E75" w:rsidRPr="008C5E75" w:rsidRDefault="008C5E75" w:rsidP="0029679C">
            <w:pPr>
              <w:spacing w:after="200" w:line="276" w:lineRule="auto"/>
              <w:jc w:val="both"/>
              <w:rPr>
                <w:rFonts w:ascii="Calibri" w:eastAsia="Calibri" w:hAnsi="Calibri" w:cs="Times New Roman"/>
                <w:lang w:val="en-GB"/>
              </w:rPr>
            </w:pPr>
            <w:r w:rsidRPr="008C5E75">
              <w:rPr>
                <w:rFonts w:ascii="Calibri" w:eastAsia="Calibri" w:hAnsi="Calibri" w:cs="Times New Roman"/>
                <w:i/>
                <w:iCs/>
                <w:lang w:val="en-GB"/>
              </w:rPr>
              <w:t>USA:</w:t>
            </w:r>
            <w:r w:rsidRPr="008C5E75">
              <w:rPr>
                <w:rFonts w:ascii="Calibri" w:eastAsia="Calibri" w:hAnsi="Calibri" w:cs="Times New Roman"/>
                <w:lang w:val="en-GB"/>
              </w:rPr>
              <w:t xml:space="preserve"> RT safely delayed up to 12 </w:t>
            </w:r>
            <w:proofErr w:type="spellStart"/>
            <w:r w:rsidRPr="008C5E75">
              <w:rPr>
                <w:rFonts w:ascii="Calibri" w:eastAsia="Calibri" w:hAnsi="Calibri" w:cs="Times New Roman"/>
                <w:lang w:val="en-GB"/>
              </w:rPr>
              <w:t>wks</w:t>
            </w:r>
            <w:proofErr w:type="spellEnd"/>
            <w:r w:rsidRPr="008C5E75">
              <w:rPr>
                <w:rFonts w:ascii="Calibri" w:eastAsia="Calibri" w:hAnsi="Calibri" w:cs="Times New Roman"/>
                <w:lang w:val="en-GB"/>
              </w:rPr>
              <w:t xml:space="preserve"> following BCS for DCIS.</w:t>
            </w:r>
          </w:p>
          <w:p w14:paraId="705BB8D2" w14:textId="5E63A5D5" w:rsidR="008C5E75" w:rsidRPr="008C5E75" w:rsidRDefault="008C5E75" w:rsidP="0029679C">
            <w:pPr>
              <w:spacing w:after="200" w:line="276" w:lineRule="auto"/>
              <w:jc w:val="both"/>
              <w:rPr>
                <w:rFonts w:ascii="Calibri" w:eastAsia="Calibri" w:hAnsi="Calibri" w:cs="Times New Roman"/>
                <w:lang w:val="en-GB"/>
              </w:rPr>
            </w:pPr>
            <w:r w:rsidRPr="008C5E75">
              <w:rPr>
                <w:rFonts w:ascii="Calibri" w:eastAsia="Calibri" w:hAnsi="Calibri" w:cs="Times New Roman"/>
                <w:lang w:val="en-GB"/>
              </w:rPr>
              <w:t xml:space="preserve">Early-stage BC, N0, ER+ can safely begin RT 8-12 </w:t>
            </w:r>
            <w:proofErr w:type="spellStart"/>
            <w:r w:rsidRPr="008C5E75">
              <w:rPr>
                <w:rFonts w:ascii="Calibri" w:eastAsia="Calibri" w:hAnsi="Calibri" w:cs="Times New Roman"/>
                <w:lang w:val="en-GB"/>
              </w:rPr>
              <w:t>wks</w:t>
            </w:r>
            <w:proofErr w:type="spellEnd"/>
            <w:r w:rsidRPr="008C5E75">
              <w:rPr>
                <w:rFonts w:ascii="Calibri" w:eastAsia="Calibri" w:hAnsi="Calibri" w:cs="Times New Roman"/>
                <w:lang w:val="en-GB"/>
              </w:rPr>
              <w:t xml:space="preserve"> after BCS, and up to 20 </w:t>
            </w:r>
            <w:proofErr w:type="spellStart"/>
            <w:proofErr w:type="gramStart"/>
            <w:r w:rsidRPr="008C5E75">
              <w:rPr>
                <w:rFonts w:ascii="Calibri" w:eastAsia="Calibri" w:hAnsi="Calibri" w:cs="Times New Roman"/>
                <w:lang w:val="en-GB"/>
              </w:rPr>
              <w:t>wks</w:t>
            </w:r>
            <w:proofErr w:type="spellEnd"/>
            <w:r w:rsidRPr="008C5E75">
              <w:rPr>
                <w:rFonts w:ascii="Calibri" w:eastAsia="Calibri" w:hAnsi="Calibri" w:cs="Times New Roman"/>
                <w:lang w:val="en-GB"/>
              </w:rPr>
              <w:t xml:space="preserve">  in</w:t>
            </w:r>
            <w:proofErr w:type="gramEnd"/>
            <w:r w:rsidRPr="008C5E75">
              <w:rPr>
                <w:rFonts w:ascii="Calibri" w:eastAsia="Calibri" w:hAnsi="Calibri" w:cs="Times New Roman"/>
                <w:lang w:val="en-GB"/>
              </w:rPr>
              <w:t xml:space="preserve">  appropriate subset .</w:t>
            </w:r>
          </w:p>
          <w:p w14:paraId="09CE47E1" w14:textId="77777777" w:rsidR="008C5E75" w:rsidRPr="008C5E75" w:rsidRDefault="008C5E75" w:rsidP="0029679C">
            <w:pPr>
              <w:jc w:val="both"/>
              <w:rPr>
                <w:rFonts w:ascii="Calibri" w:eastAsia="Calibri" w:hAnsi="Calibri" w:cs="Times New Roman"/>
                <w:iCs/>
                <w:lang w:val="en-GB"/>
              </w:rPr>
            </w:pPr>
          </w:p>
        </w:tc>
        <w:tc>
          <w:tcPr>
            <w:tcW w:w="2977" w:type="dxa"/>
            <w:noWrap/>
            <w:vAlign w:val="center"/>
            <w:hideMark/>
          </w:tcPr>
          <w:p w14:paraId="49A83251" w14:textId="77777777" w:rsidR="008C5E75" w:rsidRPr="008C5E75" w:rsidRDefault="008C5E75" w:rsidP="0029679C">
            <w:pPr>
              <w:spacing w:after="200" w:line="276" w:lineRule="auto"/>
              <w:jc w:val="both"/>
              <w:rPr>
                <w:rFonts w:ascii="Calibri" w:eastAsia="Calibri" w:hAnsi="Calibri" w:cs="Times New Roman"/>
                <w:i/>
                <w:lang w:val="en-GB"/>
              </w:rPr>
            </w:pPr>
            <w:r w:rsidRPr="008C5E75">
              <w:rPr>
                <w:rFonts w:ascii="Calibri" w:eastAsia="Calibri" w:hAnsi="Calibri" w:cs="Times New Roman"/>
                <w:i/>
                <w:lang w:val="en-GB"/>
              </w:rPr>
              <w:t>RT delay was handled with caution. The recommended timing was always respected.</w:t>
            </w:r>
          </w:p>
        </w:tc>
      </w:tr>
      <w:tr w:rsidR="008C5E75" w:rsidRPr="00EF0232" w14:paraId="41F43A28" w14:textId="77777777" w:rsidTr="0029679C">
        <w:trPr>
          <w:trHeight w:val="592"/>
        </w:trPr>
        <w:tc>
          <w:tcPr>
            <w:tcW w:w="1951" w:type="dxa"/>
            <w:vMerge w:val="restart"/>
            <w:tcBorders>
              <w:right w:val="nil"/>
            </w:tcBorders>
            <w:vAlign w:val="center"/>
          </w:tcPr>
          <w:p w14:paraId="7AA936BD" w14:textId="77777777" w:rsidR="008C5E75" w:rsidRPr="008C5E75" w:rsidRDefault="008C5E75" w:rsidP="0029679C">
            <w:pPr>
              <w:jc w:val="center"/>
              <w:rPr>
                <w:rFonts w:ascii="Calibri" w:eastAsia="Calibri" w:hAnsi="Calibri" w:cs="Times New Roman"/>
                <w:b/>
                <w:iCs/>
                <w:lang w:val="en-GB"/>
              </w:rPr>
            </w:pPr>
          </w:p>
          <w:p w14:paraId="48A5F821" w14:textId="77777777" w:rsidR="008C5E75" w:rsidRPr="008C5E75" w:rsidRDefault="008C5E75" w:rsidP="0029679C">
            <w:pPr>
              <w:jc w:val="center"/>
              <w:rPr>
                <w:rFonts w:ascii="Calibri" w:eastAsia="Calibri" w:hAnsi="Calibri" w:cs="Times New Roman"/>
                <w:b/>
                <w:iCs/>
                <w:lang w:val="en-GB"/>
              </w:rPr>
            </w:pPr>
          </w:p>
          <w:p w14:paraId="222CF36A" w14:textId="77777777" w:rsidR="008C5E75" w:rsidRPr="000E6992" w:rsidRDefault="008C5E75" w:rsidP="0029679C">
            <w:pPr>
              <w:jc w:val="center"/>
              <w:rPr>
                <w:rFonts w:ascii="Calibri" w:eastAsia="Calibri" w:hAnsi="Calibri" w:cs="Times New Roman"/>
                <w:b/>
                <w:iCs/>
              </w:rPr>
            </w:pPr>
            <w:r w:rsidRPr="000E6992">
              <w:rPr>
                <w:rFonts w:ascii="Calibri" w:eastAsia="Calibri" w:hAnsi="Calibri" w:cs="Times New Roman"/>
                <w:b/>
                <w:iCs/>
              </w:rPr>
              <w:t>Hypofractionation</w:t>
            </w:r>
          </w:p>
          <w:p w14:paraId="3182F2CA" w14:textId="77777777" w:rsidR="008C5E75" w:rsidRPr="000E6992" w:rsidRDefault="008C5E75" w:rsidP="0029679C">
            <w:pPr>
              <w:jc w:val="center"/>
              <w:rPr>
                <w:rFonts w:ascii="Calibri" w:eastAsia="Calibri" w:hAnsi="Calibri" w:cs="Times New Roman"/>
                <w:b/>
                <w:iCs/>
              </w:rPr>
            </w:pPr>
          </w:p>
          <w:p w14:paraId="07A8FB97" w14:textId="77777777" w:rsidR="008C5E75" w:rsidRPr="000E6992" w:rsidRDefault="008C5E75" w:rsidP="0029679C">
            <w:pPr>
              <w:jc w:val="center"/>
              <w:rPr>
                <w:rFonts w:ascii="Calibri" w:eastAsia="Calibri" w:hAnsi="Calibri" w:cs="Times New Roman"/>
                <w:b/>
                <w:iCs/>
              </w:rPr>
            </w:pPr>
          </w:p>
          <w:p w14:paraId="78C878EA" w14:textId="77777777" w:rsidR="008C5E75" w:rsidRPr="000E6992" w:rsidRDefault="008C5E75" w:rsidP="0029679C">
            <w:pPr>
              <w:jc w:val="center"/>
              <w:rPr>
                <w:rFonts w:ascii="Calibri" w:eastAsia="Calibri" w:hAnsi="Calibri" w:cs="Times New Roman"/>
                <w:b/>
                <w:iCs/>
              </w:rPr>
            </w:pPr>
          </w:p>
          <w:p w14:paraId="3DD39787" w14:textId="77777777" w:rsidR="008C5E75" w:rsidRPr="000E6992" w:rsidRDefault="008C5E75" w:rsidP="0029679C">
            <w:pPr>
              <w:jc w:val="center"/>
              <w:rPr>
                <w:rFonts w:ascii="Calibri" w:eastAsia="Calibri" w:hAnsi="Calibri" w:cs="Times New Roman"/>
                <w:b/>
                <w:iCs/>
              </w:rPr>
            </w:pPr>
          </w:p>
          <w:p w14:paraId="7968ECE2" w14:textId="77777777" w:rsidR="008C5E75" w:rsidRPr="000E6992" w:rsidRDefault="008C5E75" w:rsidP="0029679C">
            <w:pPr>
              <w:jc w:val="center"/>
              <w:rPr>
                <w:rFonts w:ascii="Calibri" w:eastAsia="Calibri" w:hAnsi="Calibri" w:cs="Times New Roman"/>
                <w:b/>
                <w:iCs/>
              </w:rPr>
            </w:pPr>
          </w:p>
          <w:p w14:paraId="495487F2" w14:textId="77777777" w:rsidR="008C5E75" w:rsidRPr="000E6992" w:rsidRDefault="008C5E75" w:rsidP="0029679C">
            <w:pPr>
              <w:jc w:val="center"/>
              <w:rPr>
                <w:rFonts w:ascii="Calibri" w:eastAsia="Calibri" w:hAnsi="Calibri" w:cs="Times New Roman"/>
                <w:b/>
                <w:iCs/>
              </w:rPr>
            </w:pPr>
          </w:p>
          <w:p w14:paraId="4AF033D8" w14:textId="77777777" w:rsidR="008C5E75" w:rsidRPr="000E6992" w:rsidRDefault="008C5E75" w:rsidP="0029679C">
            <w:pPr>
              <w:jc w:val="center"/>
              <w:rPr>
                <w:rFonts w:ascii="Calibri" w:eastAsia="Calibri" w:hAnsi="Calibri" w:cs="Times New Roman"/>
                <w:b/>
                <w:iCs/>
              </w:rPr>
            </w:pPr>
          </w:p>
          <w:p w14:paraId="7C01B2A4" w14:textId="77777777" w:rsidR="008C5E75" w:rsidRPr="000E6992" w:rsidRDefault="008C5E75" w:rsidP="0029679C">
            <w:pPr>
              <w:jc w:val="center"/>
              <w:rPr>
                <w:rFonts w:ascii="Calibri" w:eastAsia="Calibri" w:hAnsi="Calibri" w:cs="Times New Roman"/>
                <w:b/>
                <w:iCs/>
              </w:rPr>
            </w:pPr>
            <w:r w:rsidRPr="000E6992">
              <w:rPr>
                <w:rFonts w:ascii="Calibri" w:eastAsia="Calibri" w:hAnsi="Calibri" w:cs="Times New Roman"/>
                <w:b/>
                <w:iCs/>
              </w:rPr>
              <w:t>Hypofractionation</w:t>
            </w:r>
          </w:p>
        </w:tc>
        <w:tc>
          <w:tcPr>
            <w:tcW w:w="4111" w:type="dxa"/>
            <w:tcBorders>
              <w:right w:val="nil"/>
            </w:tcBorders>
            <w:vAlign w:val="center"/>
            <w:hideMark/>
          </w:tcPr>
          <w:p w14:paraId="682F413A" w14:textId="77777777" w:rsidR="008C5E75" w:rsidRPr="008C5E75" w:rsidRDefault="008C5E75" w:rsidP="0029679C">
            <w:pPr>
              <w:spacing w:after="200" w:line="276" w:lineRule="auto"/>
              <w:jc w:val="both"/>
              <w:rPr>
                <w:rFonts w:ascii="Calibri" w:eastAsia="Calibri" w:hAnsi="Calibri" w:cs="Calibri"/>
                <w:iCs/>
                <w:lang w:val="en-GB"/>
              </w:rPr>
            </w:pPr>
            <w:r w:rsidRPr="008C5E75">
              <w:rPr>
                <w:rFonts w:ascii="Calibri" w:eastAsia="Calibri" w:hAnsi="Calibri" w:cs="Calibri"/>
                <w:iCs/>
                <w:lang w:val="en-GB"/>
              </w:rPr>
              <w:lastRenderedPageBreak/>
              <w:t>Hypofractionation, if adequate, to reduce the attendance (medium priority).</w:t>
            </w:r>
          </w:p>
        </w:tc>
        <w:tc>
          <w:tcPr>
            <w:tcW w:w="3827" w:type="dxa"/>
            <w:tcBorders>
              <w:left w:val="nil"/>
            </w:tcBorders>
            <w:vAlign w:val="center"/>
            <w:hideMark/>
          </w:tcPr>
          <w:p w14:paraId="77E62D73" w14:textId="2FDDCAF9" w:rsidR="008C5E75" w:rsidRPr="008C5E75" w:rsidRDefault="008C5E75" w:rsidP="0029679C">
            <w:pPr>
              <w:spacing w:after="200" w:line="276" w:lineRule="auto"/>
              <w:rPr>
                <w:rFonts w:ascii="Calibri" w:eastAsia="Calibri" w:hAnsi="Calibri" w:cs="Calibri"/>
                <w:iCs/>
                <w:lang w:val="en-GB"/>
              </w:rPr>
            </w:pPr>
            <w:r w:rsidRPr="008C5E75">
              <w:rPr>
                <w:rFonts w:ascii="Calibri" w:eastAsia="Calibri" w:hAnsi="Calibri" w:cs="Calibri"/>
                <w:i/>
                <w:iCs/>
                <w:lang w:val="en-GB"/>
              </w:rPr>
              <w:t>UK</w:t>
            </w:r>
            <w:r w:rsidRPr="008C5E75">
              <w:rPr>
                <w:rFonts w:ascii="Calibri" w:eastAsia="Calibri" w:hAnsi="Calibri" w:cs="Calibri"/>
                <w:iCs/>
                <w:lang w:val="en-GB"/>
              </w:rPr>
              <w:t xml:space="preserve">: Moderate hypofractionation should be used for all breast/chest wall and nodal RT, e.g. 40 </w:t>
            </w:r>
            <w:proofErr w:type="spellStart"/>
            <w:r w:rsidRPr="008C5E75">
              <w:rPr>
                <w:rFonts w:ascii="Calibri" w:eastAsia="Calibri" w:hAnsi="Calibri" w:cs="Calibri"/>
                <w:iCs/>
                <w:lang w:val="en-GB"/>
              </w:rPr>
              <w:t>Gy</w:t>
            </w:r>
            <w:proofErr w:type="spellEnd"/>
            <w:r w:rsidRPr="008C5E75">
              <w:rPr>
                <w:rFonts w:ascii="Calibri" w:eastAsia="Calibri" w:hAnsi="Calibri" w:cs="Calibri"/>
                <w:iCs/>
                <w:lang w:val="en-GB"/>
              </w:rPr>
              <w:t xml:space="preserve"> in 15 </w:t>
            </w:r>
            <w:proofErr w:type="spellStart"/>
            <w:r w:rsidRPr="008C5E75">
              <w:rPr>
                <w:rFonts w:ascii="Calibri" w:eastAsia="Calibri" w:hAnsi="Calibri" w:cs="Calibri"/>
                <w:iCs/>
                <w:lang w:val="en-GB"/>
              </w:rPr>
              <w:t>fr</w:t>
            </w:r>
            <w:proofErr w:type="spellEnd"/>
            <w:r w:rsidRPr="008C5E75">
              <w:rPr>
                <w:rFonts w:ascii="Calibri" w:eastAsia="Calibri" w:hAnsi="Calibri" w:cs="Calibri"/>
                <w:iCs/>
                <w:lang w:val="en-GB"/>
              </w:rPr>
              <w:t xml:space="preserve">/3 </w:t>
            </w:r>
            <w:proofErr w:type="spellStart"/>
            <w:proofErr w:type="gramStart"/>
            <w:r w:rsidRPr="008C5E75">
              <w:rPr>
                <w:rFonts w:ascii="Calibri" w:eastAsia="Calibri" w:hAnsi="Calibri" w:cs="Calibri"/>
                <w:iCs/>
                <w:lang w:val="en-GB"/>
              </w:rPr>
              <w:t>wks</w:t>
            </w:r>
            <w:proofErr w:type="spellEnd"/>
            <w:r w:rsidRPr="008C5E75">
              <w:rPr>
                <w:rFonts w:ascii="Calibri" w:eastAsia="Calibri" w:hAnsi="Calibri" w:cs="Calibri"/>
                <w:iCs/>
                <w:lang w:val="en-GB"/>
              </w:rPr>
              <w:t xml:space="preserve"> .</w:t>
            </w:r>
            <w:proofErr w:type="gramEnd"/>
          </w:p>
          <w:p w14:paraId="546A9DBF" w14:textId="0BC4297C" w:rsidR="008C5E75" w:rsidRPr="008C5E75" w:rsidRDefault="008C5E75" w:rsidP="00984564">
            <w:pPr>
              <w:spacing w:after="200" w:line="276" w:lineRule="auto"/>
              <w:jc w:val="both"/>
              <w:rPr>
                <w:rFonts w:ascii="Calibri" w:eastAsia="Calibri" w:hAnsi="Calibri" w:cs="Calibri"/>
                <w:lang w:val="en-GB"/>
              </w:rPr>
            </w:pPr>
            <w:r w:rsidRPr="008C5E75">
              <w:rPr>
                <w:rFonts w:ascii="Calibri" w:eastAsia="Calibri" w:hAnsi="Calibri" w:cs="Calibri"/>
                <w:i/>
                <w:lang w:val="en-GB"/>
              </w:rPr>
              <w:t>USA</w:t>
            </w:r>
            <w:r w:rsidRPr="008C5E75">
              <w:rPr>
                <w:rFonts w:ascii="Calibri" w:eastAsia="Calibri" w:hAnsi="Calibri" w:cs="Calibri"/>
                <w:lang w:val="en-GB"/>
              </w:rPr>
              <w:t xml:space="preserve">: for WBRT without nodal RT, </w:t>
            </w:r>
            <w:r w:rsidRPr="008C5E75">
              <w:rPr>
                <w:rFonts w:ascii="Calibri" w:eastAsia="Calibri" w:hAnsi="Calibri" w:cs="Calibri"/>
                <w:lang w:val="en-GB"/>
              </w:rPr>
              <w:lastRenderedPageBreak/>
              <w:t xml:space="preserve">hypofractionation is the </w:t>
            </w:r>
            <w:proofErr w:type="gramStart"/>
            <w:r w:rsidRPr="008C5E75">
              <w:rPr>
                <w:rFonts w:ascii="Calibri" w:eastAsia="Calibri" w:hAnsi="Calibri" w:cs="Calibri"/>
                <w:lang w:val="en-GB"/>
              </w:rPr>
              <w:t>national  preferred</w:t>
            </w:r>
            <w:proofErr w:type="gramEnd"/>
            <w:r w:rsidRPr="008C5E75">
              <w:rPr>
                <w:rFonts w:ascii="Calibri" w:eastAsia="Calibri" w:hAnsi="Calibri" w:cs="Calibri"/>
                <w:lang w:val="en-GB"/>
              </w:rPr>
              <w:t xml:space="preserve"> standard of care </w:t>
            </w:r>
            <w:r w:rsidR="00984564">
              <w:rPr>
                <w:rFonts w:ascii="Calibri" w:eastAsia="Calibri" w:hAnsi="Calibri" w:cs="Calibri"/>
                <w:lang w:val="en-GB"/>
              </w:rPr>
              <w:t>.</w:t>
            </w:r>
          </w:p>
        </w:tc>
        <w:tc>
          <w:tcPr>
            <w:tcW w:w="2977" w:type="dxa"/>
            <w:noWrap/>
            <w:vAlign w:val="center"/>
            <w:hideMark/>
          </w:tcPr>
          <w:p w14:paraId="193283BA" w14:textId="6AC09031" w:rsidR="008C5E75" w:rsidRPr="008C5E75" w:rsidRDefault="008C5E75" w:rsidP="000945A6">
            <w:pPr>
              <w:spacing w:after="200" w:line="276" w:lineRule="auto"/>
              <w:jc w:val="both"/>
              <w:rPr>
                <w:rFonts w:ascii="Calibri" w:eastAsia="Calibri" w:hAnsi="Calibri" w:cs="Times New Roman"/>
                <w:lang w:val="en-GB"/>
              </w:rPr>
            </w:pPr>
            <w:r w:rsidRPr="008C5E75">
              <w:rPr>
                <w:rFonts w:ascii="Calibri" w:eastAsia="Calibri" w:hAnsi="Calibri" w:cs="Times New Roman"/>
                <w:i/>
                <w:iCs/>
                <w:lang w:val="en-GB"/>
              </w:rPr>
              <w:lastRenderedPageBreak/>
              <w:t xml:space="preserve">Moderate hypofractionation is our clinical routine: </w:t>
            </w:r>
            <w:r w:rsidRPr="008C5E75">
              <w:rPr>
                <w:rFonts w:ascii="Calibri" w:eastAsia="Calibri" w:hAnsi="Calibri" w:cs="Times New Roman"/>
                <w:i/>
                <w:lang w:val="en-GB"/>
              </w:rPr>
              <w:t xml:space="preserve">3-wk scheme used for both PMRT and WBRT (± SIB) </w:t>
            </w:r>
            <w:r w:rsidRPr="008C5E75">
              <w:rPr>
                <w:rFonts w:ascii="Calibri" w:eastAsia="Calibri" w:hAnsi="Calibri" w:cs="Times New Roman"/>
                <w:lang w:val="en-GB"/>
              </w:rPr>
              <w:t>[</w:t>
            </w:r>
            <w:r w:rsidR="00F14001">
              <w:rPr>
                <w:rFonts w:ascii="Calibri" w:eastAsia="Calibri" w:hAnsi="Calibri" w:cs="Times New Roman"/>
                <w:lang w:val="en-GB"/>
              </w:rPr>
              <w:t>2</w:t>
            </w:r>
            <w:r w:rsidR="000945A6">
              <w:rPr>
                <w:rFonts w:ascii="Calibri" w:eastAsia="Calibri" w:hAnsi="Calibri" w:cs="Times New Roman"/>
                <w:lang w:val="en-GB"/>
              </w:rPr>
              <w:t>7</w:t>
            </w:r>
            <w:r w:rsidR="00F14001">
              <w:rPr>
                <w:rFonts w:ascii="Calibri" w:eastAsia="Calibri" w:hAnsi="Calibri" w:cs="Times New Roman"/>
                <w:lang w:val="en-GB"/>
              </w:rPr>
              <w:t>,2</w:t>
            </w:r>
            <w:r w:rsidR="000945A6">
              <w:rPr>
                <w:rFonts w:ascii="Calibri" w:eastAsia="Calibri" w:hAnsi="Calibri" w:cs="Times New Roman"/>
                <w:lang w:val="en-GB"/>
              </w:rPr>
              <w:t>8</w:t>
            </w:r>
            <w:r w:rsidRPr="008C5E75">
              <w:rPr>
                <w:rFonts w:ascii="Calibri" w:eastAsia="Calibri" w:hAnsi="Calibri" w:cs="Times New Roman"/>
                <w:lang w:val="en-GB"/>
              </w:rPr>
              <w:t>].</w:t>
            </w:r>
          </w:p>
        </w:tc>
      </w:tr>
      <w:tr w:rsidR="008C5E75" w:rsidRPr="00EF0232" w14:paraId="2951E300" w14:textId="77777777" w:rsidTr="0029679C">
        <w:trPr>
          <w:trHeight w:val="592"/>
        </w:trPr>
        <w:tc>
          <w:tcPr>
            <w:tcW w:w="1951" w:type="dxa"/>
            <w:vMerge/>
            <w:tcBorders>
              <w:bottom w:val="single" w:sz="4" w:space="0" w:color="auto"/>
              <w:right w:val="nil"/>
            </w:tcBorders>
            <w:vAlign w:val="center"/>
          </w:tcPr>
          <w:p w14:paraId="5167E43A" w14:textId="77777777" w:rsidR="008C5E75" w:rsidRPr="008C5E75" w:rsidRDefault="008C5E75" w:rsidP="0029679C">
            <w:pPr>
              <w:jc w:val="center"/>
              <w:rPr>
                <w:rFonts w:ascii="Calibri" w:eastAsia="Calibri" w:hAnsi="Calibri" w:cs="Times New Roman"/>
                <w:b/>
                <w:iCs/>
                <w:lang w:val="en-GB"/>
              </w:rPr>
            </w:pPr>
          </w:p>
        </w:tc>
        <w:tc>
          <w:tcPr>
            <w:tcW w:w="4111" w:type="dxa"/>
            <w:tcBorders>
              <w:right w:val="nil"/>
            </w:tcBorders>
            <w:vAlign w:val="center"/>
          </w:tcPr>
          <w:p w14:paraId="19AB5ACA" w14:textId="77777777" w:rsidR="008C5E75" w:rsidRPr="008C5E75" w:rsidRDefault="008C5E75" w:rsidP="0029679C">
            <w:pPr>
              <w:jc w:val="both"/>
              <w:rPr>
                <w:rFonts w:ascii="Calibri" w:eastAsia="Calibri" w:hAnsi="Calibri" w:cs="Calibri"/>
                <w:iCs/>
                <w:lang w:val="en-GB"/>
              </w:rPr>
            </w:pPr>
          </w:p>
        </w:tc>
        <w:tc>
          <w:tcPr>
            <w:tcW w:w="3827" w:type="dxa"/>
            <w:tcBorders>
              <w:left w:val="nil"/>
            </w:tcBorders>
            <w:vAlign w:val="center"/>
          </w:tcPr>
          <w:p w14:paraId="5DC6C96E" w14:textId="5D9852DC" w:rsidR="008C5E75" w:rsidRPr="008C5E75" w:rsidRDefault="008C5E75" w:rsidP="00F14001">
            <w:pPr>
              <w:spacing w:after="200" w:line="276" w:lineRule="auto"/>
              <w:jc w:val="both"/>
              <w:rPr>
                <w:rFonts w:ascii="Calibri" w:eastAsia="Calibri" w:hAnsi="Calibri" w:cs="Calibri"/>
                <w:iCs/>
                <w:szCs w:val="20"/>
                <w:lang w:val="en-GB"/>
              </w:rPr>
            </w:pPr>
            <w:r w:rsidRPr="008C5E75">
              <w:rPr>
                <w:rFonts w:ascii="Calibri" w:eastAsia="Calibri" w:hAnsi="Calibri" w:cs="Calibri"/>
                <w:i/>
                <w:iCs/>
                <w:szCs w:val="20"/>
                <w:lang w:val="en-GB"/>
              </w:rPr>
              <w:t>UK</w:t>
            </w:r>
            <w:r w:rsidRPr="008C5E75">
              <w:rPr>
                <w:rFonts w:ascii="Calibri" w:eastAsia="Calibri" w:hAnsi="Calibri" w:cs="Calibri"/>
                <w:iCs/>
                <w:szCs w:val="20"/>
                <w:lang w:val="en-GB"/>
              </w:rPr>
              <w:t xml:space="preserve">: Deliver RT in 5 </w:t>
            </w:r>
            <w:proofErr w:type="spellStart"/>
            <w:r w:rsidRPr="008C5E75">
              <w:rPr>
                <w:rFonts w:ascii="Calibri" w:eastAsia="Calibri" w:hAnsi="Calibri" w:cs="Calibri"/>
                <w:iCs/>
                <w:szCs w:val="20"/>
                <w:lang w:val="en-GB"/>
              </w:rPr>
              <w:t>fr</w:t>
            </w:r>
            <w:proofErr w:type="spellEnd"/>
            <w:r w:rsidRPr="008C5E75">
              <w:rPr>
                <w:rFonts w:ascii="Calibri" w:eastAsia="Calibri" w:hAnsi="Calibri" w:cs="Calibri"/>
                <w:iCs/>
                <w:szCs w:val="20"/>
                <w:lang w:val="en-GB"/>
              </w:rPr>
              <w:t xml:space="preserve"> only for pts</w:t>
            </w:r>
            <w:r w:rsidRPr="008C5E75">
              <w:rPr>
                <w:rFonts w:ascii="Calibri" w:eastAsia="Calibri" w:hAnsi="Calibri" w:cs="Calibri"/>
                <w:iCs/>
                <w:szCs w:val="20"/>
                <w:lang w:val="en-GB"/>
              </w:rPr>
              <w:br/>
              <w:t xml:space="preserve">requiring RT with N0 </w:t>
            </w:r>
            <w:proofErr w:type="spellStart"/>
            <w:r w:rsidRPr="008C5E75">
              <w:rPr>
                <w:rFonts w:ascii="Calibri" w:eastAsia="Calibri" w:hAnsi="Calibri" w:cs="Calibri"/>
                <w:iCs/>
                <w:szCs w:val="20"/>
                <w:lang w:val="en-GB"/>
              </w:rPr>
              <w:t>tumors</w:t>
            </w:r>
            <w:proofErr w:type="spellEnd"/>
            <w:r w:rsidRPr="008C5E75">
              <w:rPr>
                <w:rFonts w:ascii="Calibri" w:eastAsia="Calibri" w:hAnsi="Calibri" w:cs="Calibri"/>
                <w:iCs/>
                <w:szCs w:val="20"/>
                <w:lang w:val="en-GB"/>
              </w:rPr>
              <w:t xml:space="preserve"> without need of boost. Options include 28-30 Gy in once weekly </w:t>
            </w:r>
            <w:proofErr w:type="spellStart"/>
            <w:r w:rsidRPr="008C5E75">
              <w:rPr>
                <w:rFonts w:ascii="Calibri" w:eastAsia="Calibri" w:hAnsi="Calibri" w:cs="Calibri"/>
                <w:iCs/>
                <w:szCs w:val="20"/>
                <w:lang w:val="en-GB"/>
              </w:rPr>
              <w:t>fr</w:t>
            </w:r>
            <w:proofErr w:type="spellEnd"/>
            <w:r w:rsidRPr="008C5E75">
              <w:rPr>
                <w:rFonts w:ascii="Calibri" w:eastAsia="Calibri" w:hAnsi="Calibri" w:cs="Calibri"/>
                <w:iCs/>
                <w:szCs w:val="20"/>
                <w:lang w:val="en-GB"/>
              </w:rPr>
              <w:t xml:space="preserve">/5 </w:t>
            </w:r>
            <w:proofErr w:type="spellStart"/>
            <w:r w:rsidRPr="008C5E75">
              <w:rPr>
                <w:rFonts w:ascii="Calibri" w:eastAsia="Calibri" w:hAnsi="Calibri" w:cs="Calibri"/>
                <w:iCs/>
                <w:szCs w:val="20"/>
                <w:lang w:val="en-GB"/>
              </w:rPr>
              <w:t>wks</w:t>
            </w:r>
            <w:proofErr w:type="spellEnd"/>
            <w:r w:rsidRPr="008C5E75">
              <w:rPr>
                <w:rFonts w:ascii="Calibri" w:eastAsia="Calibri" w:hAnsi="Calibri" w:cs="Calibri"/>
                <w:iCs/>
                <w:szCs w:val="20"/>
                <w:lang w:val="en-GB"/>
              </w:rPr>
              <w:t xml:space="preserve"> or 26 Gy in 5 daily </w:t>
            </w:r>
            <w:proofErr w:type="spellStart"/>
            <w:r w:rsidRPr="008C5E75">
              <w:rPr>
                <w:rFonts w:ascii="Calibri" w:eastAsia="Calibri" w:hAnsi="Calibri" w:cs="Calibri"/>
                <w:iCs/>
                <w:szCs w:val="20"/>
                <w:lang w:val="en-GB"/>
              </w:rPr>
              <w:t>fr</w:t>
            </w:r>
            <w:proofErr w:type="spellEnd"/>
            <w:r w:rsidRPr="008C5E75">
              <w:rPr>
                <w:rFonts w:ascii="Calibri" w:eastAsia="Calibri" w:hAnsi="Calibri" w:cs="Calibri"/>
                <w:iCs/>
                <w:szCs w:val="20"/>
                <w:lang w:val="en-GB"/>
              </w:rPr>
              <w:t xml:space="preserve">/1 </w:t>
            </w:r>
            <w:proofErr w:type="spellStart"/>
            <w:r w:rsidRPr="008C5E75">
              <w:rPr>
                <w:rFonts w:ascii="Calibri" w:eastAsia="Calibri" w:hAnsi="Calibri" w:cs="Calibri"/>
                <w:iCs/>
                <w:szCs w:val="20"/>
                <w:lang w:val="en-GB"/>
              </w:rPr>
              <w:t>wk</w:t>
            </w:r>
            <w:proofErr w:type="spellEnd"/>
            <w:r w:rsidRPr="008C5E75">
              <w:rPr>
                <w:rFonts w:ascii="Calibri" w:eastAsia="Calibri" w:hAnsi="Calibri" w:cs="Calibri"/>
                <w:iCs/>
                <w:szCs w:val="20"/>
                <w:lang w:val="en-GB"/>
              </w:rPr>
              <w:t xml:space="preserve">, as per the </w:t>
            </w:r>
            <w:proofErr w:type="gramStart"/>
            <w:r w:rsidRPr="008C5E75">
              <w:rPr>
                <w:rFonts w:ascii="Calibri" w:eastAsia="Calibri" w:hAnsi="Calibri" w:cs="Calibri"/>
                <w:iCs/>
                <w:szCs w:val="20"/>
                <w:lang w:val="en-GB"/>
              </w:rPr>
              <w:t>FAST  and</w:t>
            </w:r>
            <w:proofErr w:type="gramEnd"/>
            <w:r w:rsidRPr="008C5E75">
              <w:rPr>
                <w:rFonts w:ascii="Calibri" w:eastAsia="Calibri" w:hAnsi="Calibri" w:cs="Calibri"/>
                <w:iCs/>
                <w:szCs w:val="20"/>
                <w:lang w:val="en-GB"/>
              </w:rPr>
              <w:t xml:space="preserve"> FAST Forward trials respectively.</w:t>
            </w:r>
          </w:p>
        </w:tc>
        <w:tc>
          <w:tcPr>
            <w:tcW w:w="2977" w:type="dxa"/>
            <w:noWrap/>
            <w:vAlign w:val="center"/>
          </w:tcPr>
          <w:p w14:paraId="2E2A56D5" w14:textId="77777777" w:rsidR="008C5E75" w:rsidRPr="008C5E75" w:rsidRDefault="008C5E75" w:rsidP="0029679C">
            <w:pPr>
              <w:jc w:val="both"/>
              <w:rPr>
                <w:rFonts w:ascii="Calibri" w:eastAsia="Calibri" w:hAnsi="Calibri" w:cs="Times New Roman"/>
                <w:i/>
                <w:iCs/>
                <w:szCs w:val="20"/>
                <w:lang w:val="en-GB"/>
              </w:rPr>
            </w:pPr>
            <w:r w:rsidRPr="008C5E75">
              <w:rPr>
                <w:rFonts w:ascii="Calibri" w:eastAsia="Calibri" w:hAnsi="Calibri" w:cs="Times New Roman"/>
                <w:i/>
                <w:iCs/>
                <w:szCs w:val="20"/>
                <w:lang w:val="en-GB"/>
              </w:rPr>
              <w:t xml:space="preserve">According to FAST trial, 28.5 Gy in once weekly </w:t>
            </w:r>
            <w:proofErr w:type="spellStart"/>
            <w:r w:rsidRPr="008C5E75">
              <w:rPr>
                <w:rFonts w:ascii="Calibri" w:eastAsia="Calibri" w:hAnsi="Calibri" w:cs="Times New Roman"/>
                <w:i/>
                <w:iCs/>
                <w:szCs w:val="20"/>
                <w:lang w:val="en-GB"/>
              </w:rPr>
              <w:t>fr</w:t>
            </w:r>
            <w:proofErr w:type="spellEnd"/>
            <w:r w:rsidRPr="008C5E75">
              <w:rPr>
                <w:rFonts w:ascii="Calibri" w:eastAsia="Calibri" w:hAnsi="Calibri" w:cs="Times New Roman"/>
                <w:i/>
                <w:iCs/>
                <w:szCs w:val="20"/>
                <w:lang w:val="en-GB"/>
              </w:rPr>
              <w:t>/5wks is part of clinical routine in selected pts (over 65, with comorbidities, commuting difficulties, etc.).</w:t>
            </w:r>
          </w:p>
        </w:tc>
      </w:tr>
      <w:tr w:rsidR="008C5E75" w:rsidRPr="00EF0232" w14:paraId="7A9D8DD3" w14:textId="77777777" w:rsidTr="0029679C">
        <w:trPr>
          <w:trHeight w:val="1408"/>
        </w:trPr>
        <w:tc>
          <w:tcPr>
            <w:tcW w:w="1951" w:type="dxa"/>
            <w:vMerge w:val="restart"/>
            <w:tcBorders>
              <w:right w:val="nil"/>
            </w:tcBorders>
            <w:vAlign w:val="center"/>
          </w:tcPr>
          <w:p w14:paraId="457E44A0" w14:textId="77777777" w:rsidR="008C5E75" w:rsidRPr="000E6992" w:rsidRDefault="008C5E75" w:rsidP="0029679C">
            <w:pPr>
              <w:jc w:val="center"/>
              <w:rPr>
                <w:rFonts w:ascii="Calibri" w:eastAsia="Calibri" w:hAnsi="Calibri" w:cs="Times New Roman"/>
                <w:b/>
                <w:iCs/>
              </w:rPr>
            </w:pPr>
            <w:r w:rsidRPr="000E6992">
              <w:rPr>
                <w:rFonts w:ascii="Calibri" w:eastAsia="Calibri" w:hAnsi="Calibri" w:cs="Times New Roman"/>
                <w:b/>
                <w:iCs/>
              </w:rPr>
              <w:t>RT omission</w:t>
            </w:r>
          </w:p>
        </w:tc>
        <w:tc>
          <w:tcPr>
            <w:tcW w:w="4111" w:type="dxa"/>
            <w:tcBorders>
              <w:right w:val="nil"/>
            </w:tcBorders>
            <w:vAlign w:val="center"/>
            <w:hideMark/>
          </w:tcPr>
          <w:p w14:paraId="181B8EDC" w14:textId="77777777" w:rsidR="008C5E75" w:rsidRPr="008C5E75" w:rsidRDefault="008C5E75" w:rsidP="0029679C">
            <w:pPr>
              <w:spacing w:after="200" w:line="276" w:lineRule="auto"/>
              <w:jc w:val="both"/>
              <w:rPr>
                <w:rFonts w:ascii="Calibri" w:eastAsia="Calibri" w:hAnsi="Calibri" w:cs="Calibri"/>
                <w:iCs/>
                <w:szCs w:val="20"/>
                <w:lang w:val="en-GB"/>
              </w:rPr>
            </w:pPr>
            <w:r w:rsidRPr="008C5E75">
              <w:rPr>
                <w:rFonts w:ascii="Calibri" w:eastAsia="Calibri" w:hAnsi="Calibri" w:cs="Calibri"/>
                <w:iCs/>
                <w:szCs w:val="20"/>
                <w:lang w:val="en-GB"/>
              </w:rPr>
              <w:t xml:space="preserve">For low–risk pts over 70 (i.e. stage I, Grade 1-2 , no </w:t>
            </w:r>
            <w:proofErr w:type="spellStart"/>
            <w:r w:rsidRPr="008C5E75">
              <w:rPr>
                <w:rFonts w:ascii="Calibri" w:eastAsia="Calibri" w:hAnsi="Calibri" w:cs="Calibri"/>
                <w:iCs/>
                <w:szCs w:val="20"/>
                <w:lang w:val="en-GB"/>
              </w:rPr>
              <w:t>tumor</w:t>
            </w:r>
            <w:proofErr w:type="spellEnd"/>
            <w:r w:rsidRPr="008C5E75">
              <w:rPr>
                <w:rFonts w:ascii="Calibri" w:eastAsia="Calibri" w:hAnsi="Calibri" w:cs="Calibri"/>
                <w:iCs/>
                <w:szCs w:val="20"/>
                <w:lang w:val="en-GB"/>
              </w:rPr>
              <w:t xml:space="preserve"> on ink, ER+ and HER2-), consider omission of RT if receiving   endocrine therapy, after benefit/risk assessment and informed consent (low priority).</w:t>
            </w:r>
          </w:p>
        </w:tc>
        <w:tc>
          <w:tcPr>
            <w:tcW w:w="3827" w:type="dxa"/>
            <w:tcBorders>
              <w:left w:val="nil"/>
            </w:tcBorders>
            <w:vAlign w:val="center"/>
            <w:hideMark/>
          </w:tcPr>
          <w:p w14:paraId="74445480" w14:textId="37AFA3B4" w:rsidR="008C5E75" w:rsidRPr="008C5E75" w:rsidRDefault="008C5E75" w:rsidP="0029679C">
            <w:pPr>
              <w:spacing w:after="200" w:line="276" w:lineRule="auto"/>
              <w:jc w:val="both"/>
              <w:rPr>
                <w:rFonts w:ascii="Calibri" w:eastAsia="Calibri" w:hAnsi="Calibri" w:cs="Calibri"/>
                <w:iCs/>
                <w:szCs w:val="20"/>
                <w:lang w:val="en-GB"/>
              </w:rPr>
            </w:pPr>
            <w:r w:rsidRPr="008C5E75">
              <w:rPr>
                <w:rFonts w:ascii="Calibri" w:eastAsia="Calibri" w:hAnsi="Calibri" w:cs="Calibri"/>
                <w:i/>
                <w:iCs/>
                <w:szCs w:val="20"/>
                <w:lang w:val="en-GB"/>
              </w:rPr>
              <w:t>UK</w:t>
            </w:r>
            <w:r w:rsidRPr="008C5E75">
              <w:rPr>
                <w:rFonts w:ascii="Calibri" w:eastAsia="Calibri" w:hAnsi="Calibri" w:cs="Calibri"/>
                <w:iCs/>
                <w:szCs w:val="20"/>
                <w:lang w:val="en-GB"/>
              </w:rPr>
              <w:t>: RT omission for pts aged ≥65 (or younger with co-morbidities) with invasive BC ≤ 3 cm, N</w:t>
            </w:r>
            <w:proofErr w:type="gramStart"/>
            <w:r w:rsidRPr="008C5E75">
              <w:rPr>
                <w:rFonts w:ascii="Calibri" w:eastAsia="Calibri" w:hAnsi="Calibri" w:cs="Calibri"/>
                <w:iCs/>
                <w:szCs w:val="20"/>
                <w:lang w:val="en-GB"/>
              </w:rPr>
              <w:t>0,  clear</w:t>
            </w:r>
            <w:proofErr w:type="gramEnd"/>
            <w:r w:rsidRPr="008C5E75">
              <w:rPr>
                <w:rFonts w:ascii="Calibri" w:eastAsia="Calibri" w:hAnsi="Calibri" w:cs="Calibri"/>
                <w:iCs/>
                <w:szCs w:val="20"/>
                <w:lang w:val="en-GB"/>
              </w:rPr>
              <w:t xml:space="preserve"> margins, Grade 1-2, ER+, HER2-, eligible for endocrine therapy </w:t>
            </w:r>
            <w:r w:rsidRPr="008C5E75">
              <w:rPr>
                <w:rFonts w:ascii="Calibri" w:eastAsia="Calibri" w:hAnsi="Calibri" w:cs="Calibri"/>
                <w:i/>
                <w:szCs w:val="20"/>
                <w:lang w:val="en-GB"/>
              </w:rPr>
              <w:t>.</w:t>
            </w:r>
          </w:p>
          <w:p w14:paraId="7C6AB6BF" w14:textId="77777777" w:rsidR="008C5E75" w:rsidRPr="008C5E75" w:rsidRDefault="008C5E75" w:rsidP="0029679C">
            <w:pPr>
              <w:spacing w:after="200" w:line="276" w:lineRule="auto"/>
              <w:jc w:val="both"/>
              <w:rPr>
                <w:rFonts w:ascii="Calibri" w:eastAsia="Calibri" w:hAnsi="Calibri" w:cs="Calibri"/>
                <w:szCs w:val="20"/>
                <w:lang w:val="en-GB"/>
              </w:rPr>
            </w:pPr>
            <w:r w:rsidRPr="008C5E75">
              <w:rPr>
                <w:rFonts w:ascii="Calibri" w:eastAsia="Calibri" w:hAnsi="Calibri" w:cs="Calibri"/>
                <w:i/>
                <w:szCs w:val="20"/>
                <w:lang w:val="en-GB"/>
              </w:rPr>
              <w:t>USA</w:t>
            </w:r>
            <w:r w:rsidRPr="008C5E75">
              <w:rPr>
                <w:rFonts w:ascii="Calibri" w:eastAsia="Calibri" w:hAnsi="Calibri" w:cs="Calibri"/>
                <w:szCs w:val="20"/>
                <w:lang w:val="en-GB"/>
              </w:rPr>
              <w:t>:  RT omission preferred for pts ≥ 70 with invasive BC ≤ 3 cm, clear margins, N0, ER+, eligible for endocrine therapy.</w:t>
            </w:r>
          </w:p>
        </w:tc>
        <w:tc>
          <w:tcPr>
            <w:tcW w:w="2977" w:type="dxa"/>
            <w:noWrap/>
            <w:vAlign w:val="center"/>
            <w:hideMark/>
          </w:tcPr>
          <w:p w14:paraId="24F1AE28" w14:textId="77777777" w:rsidR="008C5E75" w:rsidRPr="008C5E75" w:rsidRDefault="008C5E75" w:rsidP="0029679C">
            <w:pPr>
              <w:spacing w:after="200" w:line="276" w:lineRule="auto"/>
              <w:jc w:val="both"/>
              <w:rPr>
                <w:rFonts w:ascii="Calibri" w:eastAsia="Calibri" w:hAnsi="Calibri" w:cs="Times New Roman"/>
                <w:i/>
                <w:szCs w:val="20"/>
                <w:lang w:val="en-GB"/>
              </w:rPr>
            </w:pPr>
            <w:r w:rsidRPr="008C5E75">
              <w:rPr>
                <w:rFonts w:ascii="Calibri" w:eastAsia="Calibri" w:hAnsi="Calibri" w:cs="Times New Roman"/>
                <w:i/>
                <w:szCs w:val="20"/>
                <w:lang w:val="en-GB"/>
              </w:rPr>
              <w:t xml:space="preserve">For this group, RT omission of is one of the options routinely discussed during RT visit, outside the pandemics </w:t>
            </w:r>
          </w:p>
          <w:p w14:paraId="66B2F63E" w14:textId="77777777" w:rsidR="008C5E75" w:rsidRPr="008C5E75" w:rsidRDefault="008C5E75" w:rsidP="0029679C">
            <w:pPr>
              <w:spacing w:after="200" w:line="276" w:lineRule="auto"/>
              <w:jc w:val="both"/>
              <w:rPr>
                <w:rFonts w:ascii="Calibri" w:eastAsia="Calibri" w:hAnsi="Calibri" w:cs="Times New Roman"/>
                <w:i/>
                <w:szCs w:val="20"/>
                <w:lang w:val="en-GB"/>
              </w:rPr>
            </w:pPr>
            <w:r w:rsidRPr="008C5E75">
              <w:rPr>
                <w:rFonts w:ascii="Calibri" w:eastAsia="Calibri" w:hAnsi="Calibri" w:cs="Times New Roman"/>
                <w:i/>
                <w:szCs w:val="20"/>
                <w:lang w:val="en-GB"/>
              </w:rPr>
              <w:t xml:space="preserve">During the pandemic peak, only one </w:t>
            </w:r>
            <w:proofErr w:type="spellStart"/>
            <w:proofErr w:type="gramStart"/>
            <w:r w:rsidRPr="008C5E75">
              <w:rPr>
                <w:rFonts w:ascii="Calibri" w:eastAsia="Calibri" w:hAnsi="Calibri" w:cs="Times New Roman"/>
                <w:i/>
                <w:szCs w:val="20"/>
                <w:lang w:val="en-GB"/>
              </w:rPr>
              <w:t>pt</w:t>
            </w:r>
            <w:proofErr w:type="spellEnd"/>
            <w:r w:rsidRPr="008C5E75">
              <w:rPr>
                <w:rFonts w:ascii="Calibri" w:eastAsia="Calibri" w:hAnsi="Calibri" w:cs="Times New Roman"/>
                <w:i/>
                <w:szCs w:val="20"/>
                <w:lang w:val="en-GB"/>
              </w:rPr>
              <w:t xml:space="preserve">  candidate</w:t>
            </w:r>
            <w:proofErr w:type="gramEnd"/>
            <w:r w:rsidRPr="008C5E75">
              <w:rPr>
                <w:rFonts w:ascii="Calibri" w:eastAsia="Calibri" w:hAnsi="Calibri" w:cs="Times New Roman"/>
                <w:i/>
                <w:szCs w:val="20"/>
                <w:lang w:val="en-GB"/>
              </w:rPr>
              <w:t xml:space="preserve"> for partial breast irradiation chose to forgo RT</w:t>
            </w:r>
          </w:p>
        </w:tc>
      </w:tr>
      <w:tr w:rsidR="008C5E75" w:rsidRPr="00EF0232" w14:paraId="0D8A3DFE" w14:textId="77777777" w:rsidTr="0029679C">
        <w:trPr>
          <w:trHeight w:val="900"/>
        </w:trPr>
        <w:tc>
          <w:tcPr>
            <w:tcW w:w="1951" w:type="dxa"/>
            <w:vMerge/>
            <w:tcBorders>
              <w:right w:val="nil"/>
            </w:tcBorders>
          </w:tcPr>
          <w:p w14:paraId="0956C7AC" w14:textId="77777777" w:rsidR="008C5E75" w:rsidRPr="008C5E75" w:rsidRDefault="008C5E75" w:rsidP="0029679C">
            <w:pPr>
              <w:jc w:val="both"/>
              <w:rPr>
                <w:rFonts w:ascii="Calibri" w:eastAsia="Calibri" w:hAnsi="Calibri" w:cs="Times New Roman"/>
                <w:iCs/>
                <w:lang w:val="en-GB"/>
              </w:rPr>
            </w:pPr>
          </w:p>
        </w:tc>
        <w:tc>
          <w:tcPr>
            <w:tcW w:w="4111" w:type="dxa"/>
            <w:tcBorders>
              <w:right w:val="nil"/>
            </w:tcBorders>
            <w:vAlign w:val="center"/>
            <w:hideMark/>
          </w:tcPr>
          <w:p w14:paraId="6136DA3D" w14:textId="77777777" w:rsidR="008C5E75" w:rsidRPr="008C5E75" w:rsidRDefault="008C5E75" w:rsidP="0029679C">
            <w:pPr>
              <w:spacing w:after="200" w:line="276" w:lineRule="auto"/>
              <w:jc w:val="both"/>
              <w:rPr>
                <w:rFonts w:ascii="Calibri" w:eastAsia="Calibri" w:hAnsi="Calibri" w:cs="Calibri"/>
                <w:iCs/>
                <w:szCs w:val="20"/>
                <w:lang w:val="en-GB"/>
              </w:rPr>
            </w:pPr>
            <w:r w:rsidRPr="008C5E75">
              <w:rPr>
                <w:rFonts w:ascii="Calibri" w:eastAsia="Calibri" w:hAnsi="Calibri" w:cs="Calibri"/>
                <w:iCs/>
                <w:szCs w:val="20"/>
                <w:lang w:val="en-GB"/>
              </w:rPr>
              <w:t>Consider omission of RT for unicentric DCIS, especially if low-grade, after radiologic correlation (low priority).</w:t>
            </w:r>
          </w:p>
        </w:tc>
        <w:tc>
          <w:tcPr>
            <w:tcW w:w="3827" w:type="dxa"/>
            <w:tcBorders>
              <w:left w:val="nil"/>
            </w:tcBorders>
            <w:vAlign w:val="center"/>
            <w:hideMark/>
          </w:tcPr>
          <w:p w14:paraId="105F3E50" w14:textId="68280BCD" w:rsidR="008C5E75" w:rsidRPr="000E6992" w:rsidRDefault="008C5E75" w:rsidP="00B4077B">
            <w:pPr>
              <w:spacing w:after="200" w:line="276" w:lineRule="auto"/>
              <w:jc w:val="both"/>
              <w:rPr>
                <w:rFonts w:ascii="Calibri" w:eastAsia="Calibri" w:hAnsi="Calibri" w:cs="Calibri"/>
                <w:szCs w:val="20"/>
              </w:rPr>
            </w:pPr>
            <w:r w:rsidRPr="008C5E75">
              <w:rPr>
                <w:rFonts w:ascii="Calibri" w:eastAsia="Calibri" w:hAnsi="Calibri" w:cs="Calibri"/>
                <w:i/>
                <w:szCs w:val="20"/>
                <w:lang w:val="en-GB"/>
              </w:rPr>
              <w:t>USA</w:t>
            </w:r>
            <w:r w:rsidRPr="008C5E75">
              <w:rPr>
                <w:rFonts w:ascii="Calibri" w:eastAsia="Calibri" w:hAnsi="Calibri" w:cs="Calibri"/>
                <w:szCs w:val="20"/>
                <w:lang w:val="en-GB"/>
              </w:rPr>
              <w:t xml:space="preserve">: Advisable to forego RT for screen-detected DCIS, ≤2.5cm, Grade 1-2, with ≥ 2mm resection margins. </w:t>
            </w:r>
            <w:r w:rsidRPr="000E6992">
              <w:rPr>
                <w:rFonts w:ascii="Calibri" w:eastAsia="Calibri" w:hAnsi="Calibri" w:cs="Calibri"/>
                <w:szCs w:val="20"/>
              </w:rPr>
              <w:t>Caution for pts under 40 .</w:t>
            </w:r>
          </w:p>
        </w:tc>
        <w:tc>
          <w:tcPr>
            <w:tcW w:w="2977" w:type="dxa"/>
            <w:noWrap/>
            <w:vAlign w:val="center"/>
            <w:hideMark/>
          </w:tcPr>
          <w:p w14:paraId="30E648F9" w14:textId="3D34109E" w:rsidR="008C5E75" w:rsidRPr="008C5E75" w:rsidRDefault="008C5E75" w:rsidP="000945A6">
            <w:pPr>
              <w:spacing w:after="200" w:line="276" w:lineRule="auto"/>
              <w:jc w:val="both"/>
              <w:rPr>
                <w:rFonts w:ascii="Calibri" w:eastAsia="Calibri" w:hAnsi="Calibri" w:cs="Times New Roman"/>
                <w:i/>
                <w:szCs w:val="20"/>
                <w:lang w:val="en-GB"/>
              </w:rPr>
            </w:pPr>
            <w:r w:rsidRPr="008C5E75">
              <w:rPr>
                <w:rFonts w:ascii="Calibri" w:eastAsia="Calibri" w:hAnsi="Calibri" w:cs="Times New Roman"/>
                <w:i/>
                <w:szCs w:val="20"/>
                <w:lang w:val="en-GB"/>
              </w:rPr>
              <w:t xml:space="preserve">As per internal policy, RT is omitted in Grade 1 and discussed as option in selected Grade 2 </w:t>
            </w:r>
            <w:r w:rsidRPr="008C5E75">
              <w:rPr>
                <w:rFonts w:ascii="Calibri" w:eastAsia="Calibri" w:hAnsi="Calibri" w:cs="Times New Roman"/>
                <w:szCs w:val="20"/>
                <w:lang w:val="en-GB"/>
              </w:rPr>
              <w:t>[</w:t>
            </w:r>
            <w:r w:rsidR="00F14001">
              <w:rPr>
                <w:rFonts w:ascii="Calibri" w:eastAsia="Calibri" w:hAnsi="Calibri" w:cs="Times New Roman"/>
                <w:szCs w:val="20"/>
                <w:lang w:val="en-GB"/>
              </w:rPr>
              <w:t>2</w:t>
            </w:r>
            <w:r w:rsidR="000945A6">
              <w:rPr>
                <w:rFonts w:ascii="Calibri" w:eastAsia="Calibri" w:hAnsi="Calibri" w:cs="Times New Roman"/>
                <w:szCs w:val="20"/>
                <w:lang w:val="en-GB"/>
              </w:rPr>
              <w:t>9</w:t>
            </w:r>
            <w:r w:rsidRPr="008C5E75">
              <w:rPr>
                <w:rFonts w:ascii="Calibri" w:eastAsia="Calibri" w:hAnsi="Calibri" w:cs="Times New Roman"/>
                <w:szCs w:val="20"/>
                <w:lang w:val="en-GB"/>
              </w:rPr>
              <w:t>]</w:t>
            </w:r>
            <w:r w:rsidRPr="008C5E75">
              <w:rPr>
                <w:rFonts w:ascii="Calibri" w:eastAsia="Calibri" w:hAnsi="Calibri" w:cs="Times New Roman"/>
                <w:i/>
                <w:szCs w:val="20"/>
                <w:lang w:val="en-GB"/>
              </w:rPr>
              <w:t>.</w:t>
            </w:r>
          </w:p>
        </w:tc>
      </w:tr>
      <w:tr w:rsidR="008C5E75" w:rsidRPr="00EF0232" w14:paraId="67B767CF" w14:textId="77777777" w:rsidTr="00984564">
        <w:trPr>
          <w:trHeight w:val="699"/>
        </w:trPr>
        <w:tc>
          <w:tcPr>
            <w:tcW w:w="1951" w:type="dxa"/>
            <w:tcBorders>
              <w:right w:val="nil"/>
            </w:tcBorders>
            <w:vAlign w:val="center"/>
          </w:tcPr>
          <w:p w14:paraId="0B790255" w14:textId="77777777" w:rsidR="008C5E75" w:rsidRPr="000E6992" w:rsidRDefault="008C5E75" w:rsidP="0029679C">
            <w:pPr>
              <w:jc w:val="center"/>
              <w:rPr>
                <w:rFonts w:ascii="Calibri" w:eastAsia="Calibri" w:hAnsi="Calibri" w:cs="Times New Roman"/>
                <w:b/>
                <w:iCs/>
              </w:rPr>
            </w:pPr>
            <w:r w:rsidRPr="000E6992">
              <w:rPr>
                <w:rFonts w:ascii="Calibri" w:eastAsia="Calibri" w:hAnsi="Calibri" w:cs="Times New Roman"/>
                <w:b/>
                <w:iCs/>
              </w:rPr>
              <w:t>BOOST</w:t>
            </w:r>
          </w:p>
        </w:tc>
        <w:tc>
          <w:tcPr>
            <w:tcW w:w="4111" w:type="dxa"/>
            <w:tcBorders>
              <w:right w:val="nil"/>
            </w:tcBorders>
          </w:tcPr>
          <w:p w14:paraId="3C5B2E2D" w14:textId="77777777" w:rsidR="008C5E75" w:rsidRPr="000E6992" w:rsidRDefault="008C5E75" w:rsidP="0029679C">
            <w:pPr>
              <w:spacing w:after="200" w:line="276" w:lineRule="auto"/>
              <w:jc w:val="both"/>
              <w:rPr>
                <w:rFonts w:ascii="Calibri" w:eastAsia="Calibri" w:hAnsi="Calibri" w:cs="Calibri"/>
                <w:iCs/>
                <w:szCs w:val="20"/>
              </w:rPr>
            </w:pPr>
          </w:p>
        </w:tc>
        <w:tc>
          <w:tcPr>
            <w:tcW w:w="3827" w:type="dxa"/>
            <w:tcBorders>
              <w:left w:val="nil"/>
            </w:tcBorders>
            <w:noWrap/>
            <w:vAlign w:val="center"/>
          </w:tcPr>
          <w:p w14:paraId="11075023" w14:textId="116E4A2A" w:rsidR="008C5E75" w:rsidRPr="008C5E75" w:rsidRDefault="008C5E75" w:rsidP="0029679C">
            <w:pPr>
              <w:spacing w:after="200" w:line="276" w:lineRule="auto"/>
              <w:jc w:val="both"/>
              <w:rPr>
                <w:rFonts w:ascii="Calibri" w:eastAsia="Calibri" w:hAnsi="Calibri" w:cs="Calibri"/>
                <w:iCs/>
                <w:szCs w:val="20"/>
                <w:lang w:val="en-GB"/>
              </w:rPr>
            </w:pPr>
            <w:r w:rsidRPr="008C5E75">
              <w:rPr>
                <w:rFonts w:ascii="Calibri" w:eastAsia="Calibri" w:hAnsi="Calibri" w:cs="Calibri"/>
                <w:i/>
                <w:iCs/>
                <w:szCs w:val="20"/>
                <w:lang w:val="en-GB"/>
              </w:rPr>
              <w:t>UK</w:t>
            </w:r>
            <w:r w:rsidRPr="008C5E75">
              <w:rPr>
                <w:rFonts w:ascii="Calibri" w:eastAsia="Calibri" w:hAnsi="Calibri" w:cs="Calibri"/>
                <w:iCs/>
                <w:szCs w:val="20"/>
                <w:lang w:val="en-GB"/>
              </w:rPr>
              <w:t xml:space="preserve">: Boost RT should be omitted to reduce fractions/complexity for most pts, unless aged ≤ 40, or &gt;40 with high-risk </w:t>
            </w:r>
            <w:proofErr w:type="gramStart"/>
            <w:r w:rsidRPr="008C5E75">
              <w:rPr>
                <w:rFonts w:ascii="Calibri" w:eastAsia="Calibri" w:hAnsi="Calibri" w:cs="Calibri"/>
                <w:iCs/>
                <w:szCs w:val="20"/>
                <w:lang w:val="en-GB"/>
              </w:rPr>
              <w:t>factors .</w:t>
            </w:r>
            <w:proofErr w:type="gramEnd"/>
          </w:p>
          <w:p w14:paraId="609A15BF" w14:textId="77777777" w:rsidR="008C5E75" w:rsidRPr="008C5E75" w:rsidRDefault="008C5E75" w:rsidP="0029679C">
            <w:pPr>
              <w:spacing w:after="200" w:line="276" w:lineRule="auto"/>
              <w:jc w:val="both"/>
              <w:rPr>
                <w:rFonts w:ascii="Calibri" w:eastAsia="Calibri" w:hAnsi="Calibri" w:cs="Calibri"/>
                <w:iCs/>
                <w:szCs w:val="20"/>
                <w:lang w:val="en-GB"/>
              </w:rPr>
            </w:pPr>
            <w:r w:rsidRPr="008C5E75">
              <w:rPr>
                <w:rFonts w:ascii="Calibri" w:eastAsia="Calibri" w:hAnsi="Calibri" w:cs="Calibri"/>
                <w:i/>
                <w:iCs/>
                <w:szCs w:val="20"/>
                <w:lang w:val="en-GB"/>
              </w:rPr>
              <w:t>USA</w:t>
            </w:r>
            <w:r w:rsidRPr="008C5E75">
              <w:rPr>
                <w:rFonts w:ascii="Calibri" w:eastAsia="Calibri" w:hAnsi="Calibri" w:cs="Calibri"/>
                <w:iCs/>
                <w:szCs w:val="20"/>
                <w:lang w:val="en-GB"/>
              </w:rPr>
              <w:t>:</w:t>
            </w:r>
            <w:r w:rsidRPr="008C5E75">
              <w:rPr>
                <w:rFonts w:ascii="Calibri" w:eastAsia="Calibri" w:hAnsi="Calibri" w:cs="Calibri"/>
                <w:szCs w:val="20"/>
                <w:lang w:val="en-GB"/>
              </w:rPr>
              <w:t xml:space="preserve"> Boost for DCIS can be omitted (caution for under 40); for invasive BC consider boost only in presence of high-</w:t>
            </w:r>
            <w:r w:rsidRPr="008C5E75">
              <w:rPr>
                <w:rFonts w:ascii="Calibri" w:eastAsia="Calibri" w:hAnsi="Calibri" w:cs="Calibri"/>
                <w:szCs w:val="20"/>
                <w:lang w:val="en-GB"/>
              </w:rPr>
              <w:lastRenderedPageBreak/>
              <w:t>risk factors: age ≤60, Grade 3, or inadequate margins.</w:t>
            </w:r>
          </w:p>
        </w:tc>
        <w:tc>
          <w:tcPr>
            <w:tcW w:w="2977" w:type="dxa"/>
            <w:noWrap/>
            <w:vAlign w:val="center"/>
            <w:hideMark/>
          </w:tcPr>
          <w:p w14:paraId="124121B9" w14:textId="77777777" w:rsidR="008C5E75" w:rsidRPr="008C5E75" w:rsidRDefault="008C5E75" w:rsidP="0029679C">
            <w:pPr>
              <w:spacing w:after="200" w:line="276" w:lineRule="auto"/>
              <w:jc w:val="both"/>
              <w:rPr>
                <w:rFonts w:ascii="Calibri" w:eastAsia="Calibri" w:hAnsi="Calibri" w:cs="Times New Roman"/>
                <w:szCs w:val="20"/>
                <w:lang w:val="en-GB"/>
              </w:rPr>
            </w:pPr>
            <w:r w:rsidRPr="008C5E75">
              <w:rPr>
                <w:rFonts w:ascii="Calibri" w:eastAsia="Calibri" w:hAnsi="Calibri" w:cs="Times New Roman"/>
                <w:i/>
                <w:iCs/>
                <w:szCs w:val="20"/>
                <w:lang w:val="en-GB"/>
              </w:rPr>
              <w:lastRenderedPageBreak/>
              <w:t>Although SIB does not prolong treatment duration, it was less frequently delivered in selected pts (</w:t>
            </w:r>
            <w:proofErr w:type="spellStart"/>
            <w:r w:rsidRPr="008C5E75">
              <w:rPr>
                <w:rFonts w:ascii="Calibri" w:eastAsia="Calibri" w:hAnsi="Calibri" w:cs="Times New Roman"/>
                <w:i/>
                <w:iCs/>
                <w:szCs w:val="20"/>
                <w:lang w:val="en-GB"/>
              </w:rPr>
              <w:t>i.e</w:t>
            </w:r>
            <w:proofErr w:type="spellEnd"/>
            <w:r w:rsidRPr="008C5E75">
              <w:rPr>
                <w:rFonts w:ascii="Calibri" w:eastAsia="Calibri" w:hAnsi="Calibri" w:cs="Times New Roman"/>
                <w:i/>
                <w:iCs/>
                <w:szCs w:val="20"/>
                <w:lang w:val="en-GB"/>
              </w:rPr>
              <w:t>, age&gt; 60) over the pandemic peak.</w:t>
            </w:r>
          </w:p>
        </w:tc>
      </w:tr>
      <w:tr w:rsidR="008C5E75" w:rsidRPr="00EF0232" w14:paraId="1EF85EC0" w14:textId="77777777" w:rsidTr="0029679C">
        <w:trPr>
          <w:trHeight w:val="1800"/>
        </w:trPr>
        <w:tc>
          <w:tcPr>
            <w:tcW w:w="1951" w:type="dxa"/>
            <w:tcBorders>
              <w:right w:val="nil"/>
            </w:tcBorders>
          </w:tcPr>
          <w:p w14:paraId="0216537C" w14:textId="77777777" w:rsidR="008C5E75" w:rsidRPr="008C5E75" w:rsidRDefault="008C5E75" w:rsidP="0029679C">
            <w:pPr>
              <w:rPr>
                <w:rFonts w:ascii="Calibri" w:eastAsia="Calibri" w:hAnsi="Calibri" w:cs="Times New Roman"/>
                <w:b/>
                <w:bCs/>
                <w:iCs/>
                <w:lang w:val="en-GB"/>
              </w:rPr>
            </w:pPr>
          </w:p>
          <w:p w14:paraId="2D8D6303" w14:textId="77777777" w:rsidR="008C5E75" w:rsidRPr="008C5E75" w:rsidRDefault="008C5E75" w:rsidP="0029679C">
            <w:pPr>
              <w:rPr>
                <w:rFonts w:ascii="Calibri" w:eastAsia="Calibri" w:hAnsi="Calibri" w:cs="Times New Roman"/>
                <w:b/>
                <w:bCs/>
                <w:iCs/>
                <w:lang w:val="en-GB"/>
              </w:rPr>
            </w:pPr>
          </w:p>
          <w:p w14:paraId="241C2EF4" w14:textId="77777777" w:rsidR="008C5E75" w:rsidRPr="008C5E75" w:rsidRDefault="008C5E75" w:rsidP="0029679C">
            <w:pPr>
              <w:rPr>
                <w:rFonts w:ascii="Calibri" w:eastAsia="Calibri" w:hAnsi="Calibri" w:cs="Times New Roman"/>
                <w:b/>
                <w:bCs/>
                <w:iCs/>
                <w:lang w:val="en-GB"/>
              </w:rPr>
            </w:pPr>
          </w:p>
          <w:p w14:paraId="68420E58" w14:textId="77777777" w:rsidR="008C5E75" w:rsidRPr="008C5E75" w:rsidRDefault="008C5E75" w:rsidP="0029679C">
            <w:pPr>
              <w:jc w:val="center"/>
              <w:rPr>
                <w:rFonts w:ascii="Calibri" w:eastAsia="Calibri" w:hAnsi="Calibri" w:cs="Times New Roman"/>
                <w:b/>
                <w:bCs/>
                <w:iCs/>
                <w:lang w:val="en-GB"/>
              </w:rPr>
            </w:pPr>
          </w:p>
          <w:p w14:paraId="492D3FA7" w14:textId="77777777" w:rsidR="008C5E75" w:rsidRPr="000E6992" w:rsidRDefault="008C5E75" w:rsidP="0029679C">
            <w:pPr>
              <w:jc w:val="center"/>
              <w:rPr>
                <w:rFonts w:ascii="Calibri" w:eastAsia="Calibri" w:hAnsi="Calibri" w:cs="Times New Roman"/>
                <w:b/>
                <w:bCs/>
                <w:iCs/>
              </w:rPr>
            </w:pPr>
            <w:r w:rsidRPr="000E6992">
              <w:rPr>
                <w:rFonts w:ascii="Calibri" w:eastAsia="Calibri" w:hAnsi="Calibri" w:cs="Times New Roman"/>
                <w:b/>
                <w:bCs/>
                <w:iCs/>
              </w:rPr>
              <w:t>APBI</w:t>
            </w:r>
          </w:p>
        </w:tc>
        <w:tc>
          <w:tcPr>
            <w:tcW w:w="4111" w:type="dxa"/>
            <w:tcBorders>
              <w:right w:val="nil"/>
            </w:tcBorders>
          </w:tcPr>
          <w:p w14:paraId="67EFC2E8" w14:textId="77777777" w:rsidR="008C5E75" w:rsidRPr="000E6992" w:rsidRDefault="008C5E75" w:rsidP="0029679C">
            <w:pPr>
              <w:spacing w:after="200" w:line="276" w:lineRule="auto"/>
              <w:rPr>
                <w:rFonts w:ascii="Calibri" w:eastAsia="Calibri" w:hAnsi="Calibri" w:cs="Calibri"/>
                <w:iCs/>
                <w:szCs w:val="20"/>
              </w:rPr>
            </w:pPr>
          </w:p>
          <w:p w14:paraId="741524EE" w14:textId="77777777" w:rsidR="008C5E75" w:rsidRPr="000E6992" w:rsidRDefault="008C5E75" w:rsidP="0029679C">
            <w:pPr>
              <w:spacing w:after="200" w:line="276" w:lineRule="auto"/>
              <w:rPr>
                <w:rFonts w:ascii="Calibri" w:eastAsia="Calibri" w:hAnsi="Calibri" w:cs="Calibri"/>
                <w:iCs/>
                <w:szCs w:val="20"/>
              </w:rPr>
            </w:pPr>
          </w:p>
        </w:tc>
        <w:tc>
          <w:tcPr>
            <w:tcW w:w="3827" w:type="dxa"/>
            <w:tcBorders>
              <w:left w:val="nil"/>
            </w:tcBorders>
            <w:noWrap/>
          </w:tcPr>
          <w:p w14:paraId="6A36B8D1" w14:textId="4F1FF770" w:rsidR="008C5E75" w:rsidRPr="000E6992" w:rsidRDefault="008C5E75" w:rsidP="00B4077B">
            <w:pPr>
              <w:spacing w:after="200" w:line="276" w:lineRule="auto"/>
              <w:rPr>
                <w:rFonts w:ascii="Calibri" w:eastAsia="Calibri" w:hAnsi="Calibri" w:cs="Calibri"/>
                <w:iCs/>
                <w:szCs w:val="20"/>
              </w:rPr>
            </w:pPr>
            <w:r w:rsidRPr="008C5E75">
              <w:rPr>
                <w:rFonts w:ascii="Calibri" w:eastAsia="Calibri" w:hAnsi="Calibri" w:cs="Calibri"/>
                <w:i/>
                <w:szCs w:val="20"/>
                <w:lang w:val="en-GB"/>
              </w:rPr>
              <w:t>USA</w:t>
            </w:r>
            <w:r w:rsidRPr="008C5E75">
              <w:rPr>
                <w:rFonts w:ascii="Calibri" w:eastAsia="Calibri" w:hAnsi="Calibri" w:cs="Calibri"/>
                <w:szCs w:val="20"/>
                <w:lang w:val="en-GB"/>
              </w:rPr>
              <w:t>: APBI</w:t>
            </w:r>
            <w:r w:rsidR="00B4077B">
              <w:rPr>
                <w:rFonts w:ascii="Calibri" w:eastAsia="Calibri" w:hAnsi="Calibri" w:cs="Calibri"/>
                <w:szCs w:val="20"/>
                <w:lang w:val="en-GB"/>
              </w:rPr>
              <w:t xml:space="preserve"> </w:t>
            </w:r>
            <w:proofErr w:type="gramStart"/>
            <w:r w:rsidR="00B4077B">
              <w:rPr>
                <w:rFonts w:ascii="Calibri" w:eastAsia="Calibri" w:hAnsi="Calibri" w:cs="Calibri"/>
                <w:szCs w:val="20"/>
                <w:lang w:val="en-GB"/>
              </w:rPr>
              <w:t xml:space="preserve">for </w:t>
            </w:r>
            <w:r w:rsidRPr="008C5E75">
              <w:rPr>
                <w:rFonts w:ascii="Calibri" w:eastAsia="Calibri" w:hAnsi="Calibri" w:cs="Calibri"/>
                <w:szCs w:val="20"/>
                <w:lang w:val="en-GB"/>
              </w:rPr>
              <w:t xml:space="preserve"> pts</w:t>
            </w:r>
            <w:proofErr w:type="gramEnd"/>
            <w:r w:rsidRPr="008C5E75">
              <w:rPr>
                <w:rFonts w:ascii="Calibri" w:eastAsia="Calibri" w:hAnsi="Calibri" w:cs="Calibri"/>
                <w:szCs w:val="20"/>
                <w:lang w:val="en-GB"/>
              </w:rPr>
              <w:t xml:space="preserve"> aged ≥50 with screen-detected BC, ≤2cm, N0, ER+, or selected DCIS (Grade 1-2, ≤2.5cm). BRT is discouraged (strain on hospital resources, risk for exposure and infection). </w:t>
            </w:r>
            <w:r w:rsidRPr="000E6992">
              <w:rPr>
                <w:rFonts w:ascii="Calibri" w:eastAsia="Calibri" w:hAnsi="Calibri" w:cs="Calibri"/>
                <w:szCs w:val="20"/>
              </w:rPr>
              <w:t>Evidence supported external APBI using 3D-CRT</w:t>
            </w:r>
          </w:p>
        </w:tc>
        <w:tc>
          <w:tcPr>
            <w:tcW w:w="2977" w:type="dxa"/>
            <w:noWrap/>
          </w:tcPr>
          <w:p w14:paraId="505D1B97" w14:textId="77777777" w:rsidR="008C5E75" w:rsidRPr="008C5E75" w:rsidRDefault="008C5E75" w:rsidP="0029679C">
            <w:pPr>
              <w:spacing w:after="200" w:line="276" w:lineRule="auto"/>
              <w:jc w:val="both"/>
              <w:rPr>
                <w:rFonts w:ascii="Calibri" w:eastAsia="Calibri" w:hAnsi="Calibri" w:cs="Times New Roman"/>
                <w:i/>
                <w:iCs/>
                <w:szCs w:val="20"/>
                <w:lang w:val="en-GB"/>
              </w:rPr>
            </w:pPr>
            <w:r w:rsidRPr="008C5E75">
              <w:rPr>
                <w:rFonts w:ascii="Calibri" w:eastAsia="Calibri" w:hAnsi="Calibri" w:cs="Times New Roman"/>
                <w:i/>
                <w:iCs/>
                <w:szCs w:val="20"/>
                <w:lang w:val="en-GB"/>
              </w:rPr>
              <w:t xml:space="preserve">APBI: IOERT was not available, BRT was kept on hold to avoid hospitalization, external RT was used with 8-fr scheme, which was later reduced to 5 daily </w:t>
            </w:r>
            <w:proofErr w:type="spellStart"/>
            <w:r w:rsidRPr="008C5E75">
              <w:rPr>
                <w:rFonts w:ascii="Calibri" w:eastAsia="Calibri" w:hAnsi="Calibri" w:cs="Times New Roman"/>
                <w:i/>
                <w:iCs/>
                <w:szCs w:val="20"/>
                <w:lang w:val="en-GB"/>
              </w:rPr>
              <w:t>fr</w:t>
            </w:r>
            <w:proofErr w:type="spellEnd"/>
          </w:p>
        </w:tc>
      </w:tr>
    </w:tbl>
    <w:p w14:paraId="3957BEFF" w14:textId="77777777" w:rsidR="008C5E75" w:rsidRPr="000E6992" w:rsidRDefault="008C5E75" w:rsidP="008C5E75">
      <w:pPr>
        <w:spacing w:after="200" w:line="276" w:lineRule="auto"/>
        <w:jc w:val="both"/>
        <w:rPr>
          <w:rFonts w:ascii="Calibri" w:eastAsia="Calibri" w:hAnsi="Calibri" w:cs="Times New Roman"/>
          <w:iCs/>
          <w:lang w:val="en-GB"/>
        </w:rPr>
      </w:pPr>
    </w:p>
    <w:p w14:paraId="62E93562" w14:textId="4730D26F" w:rsidR="000205E9" w:rsidRDefault="008C5E75" w:rsidP="00EF0232">
      <w:pPr>
        <w:rPr>
          <w:rFonts w:ascii="Calibri" w:eastAsia="Calibri" w:hAnsi="Calibri" w:cs="Times New Roman"/>
          <w:iCs/>
          <w:sz w:val="20"/>
          <w:lang w:val="en-GB"/>
        </w:rPr>
      </w:pPr>
      <w:r w:rsidRPr="008C5E75">
        <w:rPr>
          <w:rFonts w:ascii="Calibri" w:eastAsia="Calibri" w:hAnsi="Calibri" w:cs="Times New Roman"/>
          <w:i/>
          <w:iCs/>
          <w:sz w:val="20"/>
          <w:lang w:val="en-GB"/>
        </w:rPr>
        <w:t>List of abbreviations:</w:t>
      </w:r>
      <w:r w:rsidRPr="008C5E75">
        <w:rPr>
          <w:rFonts w:ascii="Calibri" w:eastAsia="Calibri" w:hAnsi="Calibri" w:cs="Times New Roman"/>
          <w:iCs/>
          <w:sz w:val="20"/>
          <w:lang w:val="en-GB"/>
        </w:rPr>
        <w:t xml:space="preserve">  </w:t>
      </w:r>
      <w:r w:rsidRPr="008C5E75">
        <w:rPr>
          <w:rFonts w:ascii="Calibri" w:eastAsia="Calibri" w:hAnsi="Calibri" w:cs="Times New Roman"/>
          <w:b/>
          <w:iCs/>
          <w:sz w:val="20"/>
          <w:lang w:val="en-GB"/>
        </w:rPr>
        <w:t>3D-CRT:</w:t>
      </w:r>
      <w:r w:rsidRPr="008C5E75">
        <w:rPr>
          <w:rFonts w:ascii="Calibri" w:eastAsia="Calibri" w:hAnsi="Calibri" w:cs="Times New Roman"/>
          <w:iCs/>
          <w:sz w:val="20"/>
          <w:lang w:val="en-GB"/>
        </w:rPr>
        <w:t xml:space="preserve"> 3D-conformal RT </w:t>
      </w:r>
      <w:r w:rsidRPr="008C5E75">
        <w:rPr>
          <w:rFonts w:ascii="Calibri" w:eastAsia="Calibri" w:hAnsi="Calibri" w:cs="Times New Roman"/>
          <w:b/>
          <w:iCs/>
          <w:sz w:val="20"/>
          <w:lang w:val="en-GB"/>
        </w:rPr>
        <w:t>APBI:</w:t>
      </w:r>
      <w:r w:rsidRPr="008C5E75">
        <w:rPr>
          <w:rFonts w:ascii="Calibri" w:eastAsia="Calibri" w:hAnsi="Calibri" w:cs="Times New Roman"/>
          <w:iCs/>
          <w:sz w:val="20"/>
          <w:lang w:val="en-GB"/>
        </w:rPr>
        <w:t xml:space="preserve"> accelerated partial breast irradiation; </w:t>
      </w:r>
      <w:r w:rsidRPr="008C5E75">
        <w:rPr>
          <w:rFonts w:ascii="Calibri" w:eastAsia="Calibri" w:hAnsi="Calibri" w:cs="Times New Roman"/>
          <w:b/>
          <w:iCs/>
          <w:sz w:val="20"/>
          <w:lang w:val="en-GB"/>
        </w:rPr>
        <w:t>ASTRO:</w:t>
      </w:r>
      <w:r w:rsidRPr="008C5E75">
        <w:rPr>
          <w:rFonts w:ascii="Calibri" w:eastAsia="Calibri" w:hAnsi="Calibri" w:cs="Times New Roman"/>
          <w:iCs/>
          <w:sz w:val="20"/>
          <w:lang w:val="en-GB"/>
        </w:rPr>
        <w:t xml:space="preserve"> American Society of Radiation Oncology; </w:t>
      </w:r>
      <w:r w:rsidRPr="008C5E75">
        <w:rPr>
          <w:rFonts w:ascii="Calibri" w:eastAsia="Calibri" w:hAnsi="Calibri" w:cs="Times New Roman"/>
          <w:b/>
          <w:iCs/>
          <w:sz w:val="20"/>
          <w:lang w:val="en-GB"/>
        </w:rPr>
        <w:t>BC:</w:t>
      </w:r>
      <w:r w:rsidRPr="008C5E75">
        <w:rPr>
          <w:rFonts w:ascii="Calibri" w:eastAsia="Calibri" w:hAnsi="Calibri" w:cs="Times New Roman"/>
          <w:iCs/>
          <w:sz w:val="20"/>
          <w:lang w:val="en-GB"/>
        </w:rPr>
        <w:t xml:space="preserve"> breast cancer; </w:t>
      </w:r>
      <w:r w:rsidRPr="008C5E75">
        <w:rPr>
          <w:rFonts w:ascii="Calibri" w:eastAsia="Calibri" w:hAnsi="Calibri" w:cs="Times New Roman"/>
          <w:b/>
          <w:iCs/>
          <w:sz w:val="20"/>
          <w:lang w:val="en-GB"/>
        </w:rPr>
        <w:t>BCS:</w:t>
      </w:r>
      <w:r w:rsidRPr="008C5E75">
        <w:rPr>
          <w:rFonts w:ascii="Calibri" w:eastAsia="Calibri" w:hAnsi="Calibri" w:cs="Times New Roman"/>
          <w:iCs/>
          <w:sz w:val="20"/>
          <w:lang w:val="en-GB"/>
        </w:rPr>
        <w:t xml:space="preserve"> breast conserving surgery; </w:t>
      </w:r>
      <w:r w:rsidRPr="008C5E75">
        <w:rPr>
          <w:rFonts w:ascii="Calibri" w:eastAsia="Calibri" w:hAnsi="Calibri" w:cs="Times New Roman"/>
          <w:b/>
          <w:iCs/>
          <w:sz w:val="20"/>
          <w:lang w:val="en-GB"/>
        </w:rPr>
        <w:t>BRT:</w:t>
      </w:r>
      <w:r w:rsidRPr="008C5E75">
        <w:rPr>
          <w:rFonts w:ascii="Calibri" w:eastAsia="Calibri" w:hAnsi="Calibri" w:cs="Times New Roman"/>
          <w:iCs/>
          <w:sz w:val="20"/>
          <w:lang w:val="en-GB"/>
        </w:rPr>
        <w:t xml:space="preserve"> brachytherapy; </w:t>
      </w:r>
      <w:r w:rsidRPr="008C5E75">
        <w:rPr>
          <w:rFonts w:ascii="Calibri" w:eastAsia="Calibri" w:hAnsi="Calibri" w:cs="Times New Roman"/>
          <w:b/>
          <w:iCs/>
          <w:sz w:val="20"/>
          <w:lang w:val="en-GB"/>
        </w:rPr>
        <w:t>CHT:</w:t>
      </w:r>
      <w:r w:rsidRPr="008C5E75">
        <w:rPr>
          <w:rFonts w:ascii="Calibri" w:eastAsia="Calibri" w:hAnsi="Calibri" w:cs="Times New Roman"/>
          <w:iCs/>
          <w:sz w:val="20"/>
          <w:lang w:val="en-GB"/>
        </w:rPr>
        <w:t xml:space="preserve"> chemotherapy; </w:t>
      </w:r>
      <w:r w:rsidRPr="008C5E75">
        <w:rPr>
          <w:rFonts w:ascii="Calibri" w:eastAsia="Calibri" w:hAnsi="Calibri" w:cs="Times New Roman"/>
          <w:b/>
          <w:iCs/>
          <w:sz w:val="20"/>
          <w:lang w:val="en-GB"/>
        </w:rPr>
        <w:t>COVID-19:</w:t>
      </w:r>
      <w:r w:rsidRPr="008C5E75">
        <w:rPr>
          <w:rFonts w:ascii="Calibri" w:eastAsia="Calibri" w:hAnsi="Calibri" w:cs="Times New Roman"/>
          <w:iCs/>
          <w:sz w:val="20"/>
          <w:lang w:val="en-GB"/>
        </w:rPr>
        <w:t xml:space="preserve"> corona virus disease-19; </w:t>
      </w:r>
      <w:r w:rsidRPr="008C5E75">
        <w:rPr>
          <w:rFonts w:ascii="Calibri" w:eastAsia="Calibri" w:hAnsi="Calibri" w:cs="Times New Roman"/>
          <w:b/>
          <w:iCs/>
          <w:sz w:val="20"/>
          <w:lang w:val="en-GB"/>
        </w:rPr>
        <w:t>DCIS:</w:t>
      </w:r>
      <w:r w:rsidRPr="008C5E75">
        <w:rPr>
          <w:rFonts w:ascii="Calibri" w:eastAsia="Calibri" w:hAnsi="Calibri" w:cs="Times New Roman"/>
          <w:iCs/>
          <w:sz w:val="20"/>
          <w:lang w:val="en-GB"/>
        </w:rPr>
        <w:t xml:space="preserve"> ductal carcinoma in situ; </w:t>
      </w:r>
      <w:r w:rsidRPr="008C5E75">
        <w:rPr>
          <w:rFonts w:ascii="Calibri" w:eastAsia="Calibri" w:hAnsi="Calibri" w:cs="Times New Roman"/>
          <w:b/>
          <w:iCs/>
          <w:sz w:val="20"/>
          <w:lang w:val="en-GB"/>
        </w:rPr>
        <w:t>ER:</w:t>
      </w:r>
      <w:r w:rsidRPr="008C5E75">
        <w:rPr>
          <w:rFonts w:ascii="Calibri" w:eastAsia="Calibri" w:hAnsi="Calibri" w:cs="Times New Roman"/>
          <w:iCs/>
          <w:sz w:val="20"/>
          <w:lang w:val="en-GB"/>
        </w:rPr>
        <w:t xml:space="preserve"> </w:t>
      </w:r>
      <w:proofErr w:type="spellStart"/>
      <w:r w:rsidRPr="008C5E75">
        <w:rPr>
          <w:rFonts w:ascii="Calibri" w:eastAsia="Calibri" w:hAnsi="Calibri" w:cs="Times New Roman"/>
          <w:iCs/>
          <w:sz w:val="20"/>
          <w:lang w:val="en-GB"/>
        </w:rPr>
        <w:t>estrogen</w:t>
      </w:r>
      <w:proofErr w:type="spellEnd"/>
      <w:r w:rsidRPr="008C5E75">
        <w:rPr>
          <w:rFonts w:ascii="Calibri" w:eastAsia="Calibri" w:hAnsi="Calibri" w:cs="Times New Roman"/>
          <w:iCs/>
          <w:sz w:val="20"/>
          <w:lang w:val="en-GB"/>
        </w:rPr>
        <w:t xml:space="preserve"> receptors; </w:t>
      </w:r>
      <w:proofErr w:type="spellStart"/>
      <w:r w:rsidRPr="008C5E75">
        <w:rPr>
          <w:rFonts w:ascii="Calibri" w:eastAsia="Calibri" w:hAnsi="Calibri" w:cs="Times New Roman"/>
          <w:b/>
          <w:iCs/>
          <w:sz w:val="20"/>
          <w:lang w:val="en-GB"/>
        </w:rPr>
        <w:t>fr</w:t>
      </w:r>
      <w:proofErr w:type="spellEnd"/>
      <w:r w:rsidRPr="008C5E75">
        <w:rPr>
          <w:rFonts w:ascii="Calibri" w:eastAsia="Calibri" w:hAnsi="Calibri" w:cs="Times New Roman"/>
          <w:b/>
          <w:iCs/>
          <w:sz w:val="20"/>
          <w:lang w:val="en-GB"/>
        </w:rPr>
        <w:t>:</w:t>
      </w:r>
      <w:r w:rsidRPr="008C5E75">
        <w:rPr>
          <w:rFonts w:ascii="Calibri" w:eastAsia="Calibri" w:hAnsi="Calibri" w:cs="Times New Roman"/>
          <w:iCs/>
          <w:sz w:val="20"/>
          <w:lang w:val="en-GB"/>
        </w:rPr>
        <w:t xml:space="preserve"> fractions; </w:t>
      </w:r>
      <w:r w:rsidRPr="008C5E75">
        <w:rPr>
          <w:rFonts w:ascii="Calibri" w:eastAsia="Calibri" w:hAnsi="Calibri" w:cs="Times New Roman"/>
          <w:b/>
          <w:iCs/>
          <w:sz w:val="20"/>
          <w:lang w:val="en-GB"/>
        </w:rPr>
        <w:t>HER2:</w:t>
      </w:r>
      <w:r w:rsidRPr="008C5E75">
        <w:rPr>
          <w:rFonts w:ascii="Calibri" w:eastAsia="Calibri" w:hAnsi="Calibri" w:cs="Times New Roman"/>
          <w:iCs/>
          <w:sz w:val="20"/>
          <w:lang w:val="en-GB"/>
        </w:rPr>
        <w:t xml:space="preserve"> Human epidermal growth factor receptor 2; </w:t>
      </w:r>
      <w:r w:rsidRPr="008C5E75">
        <w:rPr>
          <w:rFonts w:ascii="Calibri" w:eastAsia="Calibri" w:hAnsi="Calibri" w:cs="Times New Roman"/>
          <w:b/>
          <w:iCs/>
          <w:sz w:val="20"/>
          <w:lang w:val="en-GB"/>
        </w:rPr>
        <w:t>IOERT:</w:t>
      </w:r>
      <w:r w:rsidRPr="008C5E75">
        <w:rPr>
          <w:rFonts w:ascii="Calibri" w:eastAsia="Calibri" w:hAnsi="Calibri" w:cs="Times New Roman"/>
          <w:iCs/>
          <w:sz w:val="20"/>
          <w:lang w:val="en-GB"/>
        </w:rPr>
        <w:t xml:space="preserve"> intraoperative radiotherapy with electrons; </w:t>
      </w:r>
      <w:r w:rsidRPr="008C5E75">
        <w:rPr>
          <w:rFonts w:ascii="Calibri" w:eastAsia="Calibri" w:hAnsi="Calibri" w:cs="Times New Roman"/>
          <w:b/>
          <w:iCs/>
          <w:sz w:val="20"/>
          <w:lang w:val="en-GB"/>
        </w:rPr>
        <w:t>LVI:</w:t>
      </w:r>
      <w:r w:rsidRPr="008C5E75">
        <w:rPr>
          <w:rFonts w:ascii="Calibri" w:eastAsia="Calibri" w:hAnsi="Calibri" w:cs="Times New Roman"/>
          <w:iCs/>
          <w:sz w:val="20"/>
          <w:lang w:val="en-GB"/>
        </w:rPr>
        <w:t xml:space="preserve"> </w:t>
      </w:r>
      <w:proofErr w:type="spellStart"/>
      <w:r w:rsidRPr="008C5E75">
        <w:rPr>
          <w:rFonts w:ascii="Calibri" w:eastAsia="Calibri" w:hAnsi="Calibri" w:cs="Times New Roman"/>
          <w:iCs/>
          <w:sz w:val="20"/>
          <w:lang w:val="en-GB"/>
        </w:rPr>
        <w:t>lymphovascular</w:t>
      </w:r>
      <w:proofErr w:type="spellEnd"/>
      <w:r w:rsidRPr="008C5E75">
        <w:rPr>
          <w:rFonts w:ascii="Calibri" w:eastAsia="Calibri" w:hAnsi="Calibri" w:cs="Times New Roman"/>
          <w:iCs/>
          <w:sz w:val="20"/>
          <w:lang w:val="en-GB"/>
        </w:rPr>
        <w:t xml:space="preserve"> invasion; </w:t>
      </w:r>
      <w:r w:rsidRPr="008C5E75">
        <w:rPr>
          <w:rFonts w:ascii="Calibri" w:eastAsia="Calibri" w:hAnsi="Calibri" w:cs="Times New Roman"/>
          <w:b/>
          <w:iCs/>
          <w:sz w:val="20"/>
          <w:lang w:val="en-GB"/>
        </w:rPr>
        <w:t>N:</w:t>
      </w:r>
      <w:r w:rsidRPr="008C5E75">
        <w:rPr>
          <w:rFonts w:ascii="Calibri" w:eastAsia="Calibri" w:hAnsi="Calibri" w:cs="Times New Roman"/>
          <w:iCs/>
          <w:sz w:val="20"/>
          <w:lang w:val="en-GB"/>
        </w:rPr>
        <w:t xml:space="preserve"> node; </w:t>
      </w:r>
      <w:r w:rsidRPr="008C5E75">
        <w:rPr>
          <w:rFonts w:ascii="Calibri" w:eastAsia="Calibri" w:hAnsi="Calibri" w:cs="Times New Roman"/>
          <w:b/>
          <w:iCs/>
          <w:sz w:val="20"/>
          <w:lang w:val="en-GB"/>
        </w:rPr>
        <w:t>PMRT:</w:t>
      </w:r>
      <w:r w:rsidRPr="008C5E75">
        <w:rPr>
          <w:rFonts w:ascii="Calibri" w:eastAsia="Calibri" w:hAnsi="Calibri" w:cs="Times New Roman"/>
          <w:iCs/>
          <w:sz w:val="20"/>
          <w:lang w:val="en-GB"/>
        </w:rPr>
        <w:t xml:space="preserve"> post-mastectomy RT; </w:t>
      </w:r>
      <w:r w:rsidRPr="008C5E75">
        <w:rPr>
          <w:rFonts w:ascii="Calibri" w:eastAsia="Calibri" w:hAnsi="Calibri" w:cs="Times New Roman"/>
          <w:b/>
          <w:iCs/>
          <w:sz w:val="20"/>
          <w:lang w:val="en-GB"/>
        </w:rPr>
        <w:t>PORT:</w:t>
      </w:r>
      <w:r w:rsidRPr="008C5E75">
        <w:rPr>
          <w:rFonts w:ascii="Calibri" w:eastAsia="Calibri" w:hAnsi="Calibri" w:cs="Times New Roman"/>
          <w:iCs/>
          <w:sz w:val="20"/>
          <w:lang w:val="en-GB"/>
        </w:rPr>
        <w:t xml:space="preserve"> postoperative RT; </w:t>
      </w:r>
      <w:r w:rsidRPr="008C5E75">
        <w:rPr>
          <w:rFonts w:ascii="Calibri" w:eastAsia="Calibri" w:hAnsi="Calibri" w:cs="Times New Roman"/>
          <w:b/>
          <w:iCs/>
          <w:sz w:val="20"/>
          <w:lang w:val="en-GB"/>
        </w:rPr>
        <w:t>pts:</w:t>
      </w:r>
      <w:r w:rsidRPr="008C5E75">
        <w:rPr>
          <w:rFonts w:ascii="Calibri" w:eastAsia="Calibri" w:hAnsi="Calibri" w:cs="Times New Roman"/>
          <w:iCs/>
          <w:sz w:val="20"/>
          <w:lang w:val="en-GB"/>
        </w:rPr>
        <w:t xml:space="preserve"> patients; </w:t>
      </w:r>
      <w:r w:rsidRPr="008C5E75">
        <w:rPr>
          <w:rFonts w:ascii="Calibri" w:eastAsia="Calibri" w:hAnsi="Calibri" w:cs="Times New Roman"/>
          <w:b/>
          <w:iCs/>
          <w:sz w:val="20"/>
          <w:lang w:val="en-GB"/>
        </w:rPr>
        <w:t>RT:</w:t>
      </w:r>
      <w:r w:rsidRPr="008C5E75">
        <w:rPr>
          <w:rFonts w:ascii="Calibri" w:eastAsia="Calibri" w:hAnsi="Calibri" w:cs="Times New Roman"/>
          <w:iCs/>
          <w:sz w:val="20"/>
          <w:lang w:val="en-GB"/>
        </w:rPr>
        <w:t xml:space="preserve"> radiotherapy; </w:t>
      </w:r>
      <w:r w:rsidRPr="008C5E75">
        <w:rPr>
          <w:rFonts w:ascii="Calibri" w:eastAsia="Calibri" w:hAnsi="Calibri" w:cs="Times New Roman"/>
          <w:b/>
          <w:iCs/>
          <w:sz w:val="20"/>
          <w:lang w:val="en-GB"/>
        </w:rPr>
        <w:t>SLNB:</w:t>
      </w:r>
      <w:r w:rsidRPr="008C5E75">
        <w:rPr>
          <w:rFonts w:ascii="Calibri" w:eastAsia="Calibri" w:hAnsi="Calibri" w:cs="Times New Roman"/>
          <w:iCs/>
          <w:sz w:val="20"/>
          <w:lang w:val="en-GB"/>
        </w:rPr>
        <w:t xml:space="preserve"> sentinel node biopsy; </w:t>
      </w:r>
      <w:r w:rsidRPr="008C5E75">
        <w:rPr>
          <w:rFonts w:ascii="Calibri" w:eastAsia="Calibri" w:hAnsi="Calibri" w:cs="Times New Roman"/>
          <w:b/>
          <w:iCs/>
          <w:sz w:val="20"/>
          <w:lang w:val="en-GB"/>
        </w:rPr>
        <w:t>IEO:</w:t>
      </w:r>
      <w:r w:rsidRPr="008C5E75">
        <w:rPr>
          <w:rFonts w:ascii="Calibri" w:eastAsia="Calibri" w:hAnsi="Calibri" w:cs="Times New Roman"/>
          <w:iCs/>
          <w:sz w:val="20"/>
          <w:lang w:val="en-GB"/>
        </w:rPr>
        <w:t xml:space="preserve"> European Institute of Oncology;  </w:t>
      </w:r>
      <w:r w:rsidRPr="008C5E75">
        <w:rPr>
          <w:rFonts w:ascii="Calibri" w:eastAsia="Calibri" w:hAnsi="Calibri" w:cs="Times New Roman"/>
          <w:b/>
          <w:iCs/>
          <w:sz w:val="20"/>
          <w:lang w:val="en-GB"/>
        </w:rPr>
        <w:t>UK:</w:t>
      </w:r>
      <w:r w:rsidRPr="008C5E75">
        <w:rPr>
          <w:rFonts w:ascii="Calibri" w:eastAsia="Calibri" w:hAnsi="Calibri" w:cs="Times New Roman"/>
          <w:iCs/>
          <w:sz w:val="20"/>
          <w:lang w:val="en-GB"/>
        </w:rPr>
        <w:t xml:space="preserve"> United Kingdom; </w:t>
      </w:r>
      <w:r w:rsidRPr="008C5E75">
        <w:rPr>
          <w:rFonts w:ascii="Calibri" w:eastAsia="Calibri" w:hAnsi="Calibri" w:cs="Times New Roman"/>
          <w:b/>
          <w:iCs/>
          <w:sz w:val="20"/>
          <w:lang w:val="en-GB"/>
        </w:rPr>
        <w:t>USA:</w:t>
      </w:r>
      <w:r w:rsidRPr="008C5E75">
        <w:rPr>
          <w:rFonts w:ascii="Calibri" w:eastAsia="Calibri" w:hAnsi="Calibri" w:cs="Times New Roman"/>
          <w:iCs/>
          <w:sz w:val="20"/>
          <w:lang w:val="en-GB"/>
        </w:rPr>
        <w:t xml:space="preserve"> United States of America; </w:t>
      </w:r>
      <w:r w:rsidRPr="008C5E75">
        <w:rPr>
          <w:rFonts w:ascii="Calibri" w:eastAsia="Calibri" w:hAnsi="Calibri" w:cs="Times New Roman"/>
          <w:b/>
          <w:iCs/>
          <w:sz w:val="20"/>
          <w:lang w:val="en-GB"/>
        </w:rPr>
        <w:t>WBRT:</w:t>
      </w:r>
      <w:r w:rsidRPr="008C5E75">
        <w:rPr>
          <w:rFonts w:ascii="Calibri" w:eastAsia="Calibri" w:hAnsi="Calibri" w:cs="Times New Roman"/>
          <w:iCs/>
          <w:sz w:val="20"/>
          <w:lang w:val="en-GB"/>
        </w:rPr>
        <w:t xml:space="preserve"> whole breast radiotherapy; </w:t>
      </w:r>
      <w:proofErr w:type="spellStart"/>
      <w:r w:rsidRPr="008C5E75">
        <w:rPr>
          <w:rFonts w:ascii="Calibri" w:eastAsia="Calibri" w:hAnsi="Calibri" w:cs="Times New Roman"/>
          <w:b/>
          <w:iCs/>
          <w:sz w:val="20"/>
          <w:lang w:val="en-GB"/>
        </w:rPr>
        <w:t>wk</w:t>
      </w:r>
      <w:proofErr w:type="spellEnd"/>
      <w:r w:rsidRPr="008C5E75">
        <w:rPr>
          <w:rFonts w:ascii="Calibri" w:eastAsia="Calibri" w:hAnsi="Calibri" w:cs="Times New Roman"/>
          <w:b/>
          <w:iCs/>
          <w:sz w:val="20"/>
          <w:lang w:val="en-GB"/>
        </w:rPr>
        <w:t>:</w:t>
      </w:r>
      <w:r w:rsidRPr="008C5E75">
        <w:rPr>
          <w:rFonts w:ascii="Calibri" w:eastAsia="Calibri" w:hAnsi="Calibri" w:cs="Times New Roman"/>
          <w:iCs/>
          <w:sz w:val="20"/>
          <w:lang w:val="en-GB"/>
        </w:rPr>
        <w:t xml:space="preserve"> week; </w:t>
      </w:r>
      <w:r w:rsidRPr="008C5E75">
        <w:rPr>
          <w:rFonts w:ascii="Calibri" w:eastAsia="Calibri" w:hAnsi="Calibri" w:cs="Times New Roman"/>
          <w:b/>
          <w:iCs/>
          <w:sz w:val="20"/>
          <w:lang w:val="en-GB"/>
        </w:rPr>
        <w:t>3D-CRT:</w:t>
      </w:r>
      <w:r w:rsidRPr="008C5E75">
        <w:rPr>
          <w:rFonts w:ascii="Calibri" w:eastAsia="Calibri" w:hAnsi="Calibri" w:cs="Times New Roman"/>
          <w:iCs/>
          <w:sz w:val="20"/>
          <w:lang w:val="en-GB"/>
        </w:rPr>
        <w:t xml:space="preserve"> three-dimensional conformal radiotherapy.</w:t>
      </w:r>
    </w:p>
    <w:p w14:paraId="3705BCB9" w14:textId="7225DB39" w:rsidR="00130BEA" w:rsidRDefault="00130BEA" w:rsidP="00EF0232">
      <w:pPr>
        <w:rPr>
          <w:rFonts w:ascii="Calibri" w:eastAsia="Calibri" w:hAnsi="Calibri" w:cs="Times New Roman"/>
          <w:iCs/>
          <w:sz w:val="20"/>
          <w:lang w:val="en-GB"/>
        </w:rPr>
      </w:pPr>
    </w:p>
    <w:p w14:paraId="315807A1" w14:textId="278B24C5" w:rsidR="00130BEA" w:rsidRPr="00130BEA" w:rsidRDefault="00130BEA" w:rsidP="00EF0232">
      <w:pPr>
        <w:rPr>
          <w:rFonts w:ascii="Calibri" w:eastAsia="Calibri" w:hAnsi="Calibri" w:cs="Times New Roman"/>
          <w:i/>
          <w:sz w:val="20"/>
          <w:lang w:val="en-GB"/>
        </w:rPr>
      </w:pPr>
      <w:r>
        <w:rPr>
          <w:rFonts w:ascii="Calibri" w:eastAsia="Calibri" w:hAnsi="Calibri" w:cs="Times New Roman"/>
          <w:i/>
          <w:sz w:val="20"/>
          <w:lang w:val="en-GB"/>
        </w:rPr>
        <w:t>References:</w:t>
      </w:r>
    </w:p>
    <w:p w14:paraId="0FEC3E9C" w14:textId="752AAC94" w:rsidR="00130BEA" w:rsidRDefault="00130BEA" w:rsidP="00EF0232">
      <w:pPr>
        <w:rPr>
          <w:rFonts w:ascii="Calibri" w:eastAsia="Calibri" w:hAnsi="Calibri" w:cs="Times New Roman"/>
          <w:iCs/>
          <w:sz w:val="20"/>
          <w:lang w:val="en-GB"/>
        </w:rPr>
      </w:pPr>
    </w:p>
    <w:p w14:paraId="001963D1" w14:textId="77777777" w:rsidR="00130BEA" w:rsidRDefault="00130BEA" w:rsidP="00130BEA">
      <w:r>
        <w:t>26</w:t>
      </w:r>
      <w:r>
        <w:tab/>
      </w:r>
      <w:proofErr w:type="spellStart"/>
      <w:r>
        <w:t>Morigi</w:t>
      </w:r>
      <w:proofErr w:type="spellEnd"/>
      <w:r>
        <w:t xml:space="preserve"> C, </w:t>
      </w:r>
      <w:proofErr w:type="spellStart"/>
      <w:r>
        <w:t>Peradze</w:t>
      </w:r>
      <w:proofErr w:type="spellEnd"/>
      <w:r>
        <w:t xml:space="preserve"> N, </w:t>
      </w:r>
      <w:proofErr w:type="spellStart"/>
      <w:r>
        <w:t>Galimberti</w:t>
      </w:r>
      <w:proofErr w:type="spellEnd"/>
      <w:r>
        <w:t xml:space="preserve"> V, Leonardi MC, </w:t>
      </w:r>
      <w:proofErr w:type="spellStart"/>
      <w:r>
        <w:t>Radice</w:t>
      </w:r>
      <w:proofErr w:type="spellEnd"/>
      <w:r>
        <w:t xml:space="preserve"> D, </w:t>
      </w:r>
      <w:proofErr w:type="spellStart"/>
      <w:r>
        <w:t>Santomauro</w:t>
      </w:r>
      <w:proofErr w:type="spellEnd"/>
      <w:r>
        <w:t xml:space="preserve"> GI, et al. Feasibility and surgical impact of Z0011 trial criteria in a single-Institution </w:t>
      </w:r>
      <w:r w:rsidRPr="007A0B7A">
        <w:t xml:space="preserve">practice. </w:t>
      </w:r>
      <w:r w:rsidRPr="007A0B7A">
        <w:fldChar w:fldCharType="begin"/>
      </w:r>
      <w:r w:rsidRPr="007A0B7A">
        <w:instrText xml:space="preserve"> HYPERLINK "https://www.karger.com/Article/FullText/513227?ref=26" \l "ref26" \o "26" </w:instrText>
      </w:r>
      <w:r w:rsidRPr="007A0B7A">
        <w:fldChar w:fldCharType="separate"/>
      </w:r>
      <w:r w:rsidRPr="007A0B7A">
        <w:t>Breast J</w:t>
      </w:r>
      <w:r w:rsidRPr="007A0B7A">
        <w:fldChar w:fldCharType="end"/>
      </w:r>
      <w:r w:rsidRPr="007A0B7A">
        <w:t xml:space="preserve">. 2020 </w:t>
      </w:r>
      <w:r>
        <w:t>Jul;26(7):1330–6.</w:t>
      </w:r>
    </w:p>
    <w:p w14:paraId="69170039" w14:textId="77777777" w:rsidR="00130BEA" w:rsidRDefault="00130BEA" w:rsidP="00130BEA">
      <w:r>
        <w:t>27</w:t>
      </w:r>
      <w:r>
        <w:tab/>
      </w:r>
      <w:proofErr w:type="spellStart"/>
      <w:r>
        <w:t>Orecchia</w:t>
      </w:r>
      <w:proofErr w:type="spellEnd"/>
      <w:r>
        <w:t xml:space="preserve"> R, Rojas DP, </w:t>
      </w:r>
      <w:proofErr w:type="spellStart"/>
      <w:r>
        <w:t>Cattani</w:t>
      </w:r>
      <w:proofErr w:type="spellEnd"/>
      <w:r>
        <w:t xml:space="preserve"> F, </w:t>
      </w:r>
      <w:proofErr w:type="spellStart"/>
      <w:r>
        <w:t>Ricotti</w:t>
      </w:r>
      <w:proofErr w:type="spellEnd"/>
      <w:r>
        <w:t xml:space="preserve"> R, Santoro L, </w:t>
      </w:r>
      <w:proofErr w:type="spellStart"/>
      <w:r>
        <w:t>Morra</w:t>
      </w:r>
      <w:proofErr w:type="spellEnd"/>
      <w:r>
        <w:t xml:space="preserve"> A, et al. </w:t>
      </w:r>
      <w:proofErr w:type="spellStart"/>
      <w:r>
        <w:t>Hypofractionated</w:t>
      </w:r>
      <w:proofErr w:type="spellEnd"/>
      <w:r>
        <w:t xml:space="preserve"> postmastectomy radiotherapy with helical </w:t>
      </w:r>
      <w:proofErr w:type="spellStart"/>
      <w:r>
        <w:t>tomotherapy</w:t>
      </w:r>
      <w:proofErr w:type="spellEnd"/>
      <w:r>
        <w:t xml:space="preserve"> in patients with immediate breast reconstruction: dosimetric results and acute/intermediate toxicity evaluat</w:t>
      </w:r>
      <w:r w:rsidRPr="007A0B7A">
        <w:t xml:space="preserve">ion. </w:t>
      </w:r>
      <w:hyperlink r:id="rId8" w:anchor="ref27" w:tooltip="27" w:history="1">
        <w:r w:rsidRPr="007A0B7A">
          <w:t>Med Oncol</w:t>
        </w:r>
      </w:hyperlink>
      <w:r w:rsidRPr="007A0B7A">
        <w:t>. 2018 F</w:t>
      </w:r>
      <w:r>
        <w:t>eb;35(3):39.</w:t>
      </w:r>
    </w:p>
    <w:p w14:paraId="327071FF" w14:textId="77777777" w:rsidR="00130BEA" w:rsidRPr="00130BEA" w:rsidRDefault="00130BEA" w:rsidP="00130BEA">
      <w:r w:rsidRPr="00130BEA">
        <w:t>28</w:t>
      </w:r>
      <w:r w:rsidRPr="00130BEA">
        <w:tab/>
        <w:t xml:space="preserve">Leonardi MC, </w:t>
      </w:r>
      <w:proofErr w:type="spellStart"/>
      <w:r w:rsidRPr="00130BEA">
        <w:t>Spoto</w:t>
      </w:r>
      <w:proofErr w:type="spellEnd"/>
      <w:r w:rsidRPr="00130BEA">
        <w:t xml:space="preserve"> R, </w:t>
      </w:r>
      <w:proofErr w:type="spellStart"/>
      <w:r w:rsidRPr="00130BEA">
        <w:t>Miglietta</w:t>
      </w:r>
      <w:proofErr w:type="spellEnd"/>
      <w:r w:rsidRPr="00130BEA">
        <w:t xml:space="preserve"> E, </w:t>
      </w:r>
      <w:proofErr w:type="spellStart"/>
      <w:r w:rsidRPr="00130BEA">
        <w:t>Trivellato</w:t>
      </w:r>
      <w:proofErr w:type="spellEnd"/>
      <w:r w:rsidRPr="00130BEA">
        <w:t xml:space="preserve"> S, La Rocca E, </w:t>
      </w:r>
      <w:proofErr w:type="spellStart"/>
      <w:r w:rsidRPr="00130BEA">
        <w:t>Luraschi</w:t>
      </w:r>
      <w:proofErr w:type="spellEnd"/>
      <w:r w:rsidRPr="00130BEA">
        <w:t xml:space="preserve"> R, et al. HALFMOON </w:t>
      </w:r>
      <w:proofErr w:type="spellStart"/>
      <w:r w:rsidRPr="00130BEA">
        <w:t>TomoTherapy</w:t>
      </w:r>
      <w:proofErr w:type="spellEnd"/>
      <w:r w:rsidRPr="00130BEA">
        <w:t xml:space="preserve"> (Helical </w:t>
      </w:r>
      <w:proofErr w:type="spellStart"/>
      <w:r w:rsidRPr="00130BEA">
        <w:t>ALtered</w:t>
      </w:r>
      <w:proofErr w:type="spellEnd"/>
      <w:r w:rsidRPr="00130BEA">
        <w:t xml:space="preserve"> Fractionation for </w:t>
      </w:r>
      <w:proofErr w:type="spellStart"/>
      <w:r w:rsidRPr="00130BEA">
        <w:t>iMplant</w:t>
      </w:r>
      <w:proofErr w:type="spellEnd"/>
      <w:r w:rsidRPr="00130BEA">
        <w:t xml:space="preserve"> partial </w:t>
      </w:r>
      <w:proofErr w:type="spellStart"/>
      <w:r w:rsidRPr="00130BEA">
        <w:t>OmissiON</w:t>
      </w:r>
      <w:proofErr w:type="spellEnd"/>
      <w:r w:rsidRPr="00130BEA">
        <w:t xml:space="preserve">): implant-sparing post-mastectomy radiotherapy reshaping the clinical target volume in the reconstructed breast. </w:t>
      </w:r>
      <w:hyperlink r:id="rId9" w:anchor="ref28" w:tooltip="28" w:history="1">
        <w:r w:rsidRPr="00130BEA">
          <w:t>J Cancer Res Clin Oncol</w:t>
        </w:r>
      </w:hyperlink>
      <w:r w:rsidRPr="00130BEA">
        <w:t>. 2019 Jul;145(7):1887–96.</w:t>
      </w:r>
    </w:p>
    <w:p w14:paraId="012B95AB" w14:textId="1ED20474" w:rsidR="00130BEA" w:rsidRPr="00BC7640" w:rsidRDefault="00130BEA" w:rsidP="00130BEA">
      <w:pPr>
        <w:rPr>
          <w:lang w:val="en-GB"/>
        </w:rPr>
      </w:pPr>
      <w:bookmarkStart w:id="0" w:name="StartRef"/>
      <w:bookmarkEnd w:id="0"/>
      <w:r>
        <w:t>29</w:t>
      </w:r>
      <w:r>
        <w:tab/>
        <w:t>Farante G, Orecchia R, Luini A, Leonardi C, Zurrida S, Lissidini G, et al. Are all patients with ductal carcinoma in situ of the breast candidates for radiotherapy after breast conservative treatment? Institute of European Oncology Guideline</w:t>
      </w:r>
      <w:r w:rsidRPr="007A0B7A">
        <w:t xml:space="preserve">s. </w:t>
      </w:r>
      <w:hyperlink r:id="rId10" w:anchor="ref29" w:tooltip="29" w:history="1">
        <w:r w:rsidRPr="007A0B7A">
          <w:t>Breast J</w:t>
        </w:r>
      </w:hyperlink>
      <w:r w:rsidRPr="007A0B7A">
        <w:t>. 20</w:t>
      </w:r>
      <w:r>
        <w:t>14 Jul-Aug;20(4):431–3.</w:t>
      </w:r>
    </w:p>
    <w:sectPr w:rsidR="00130BEA" w:rsidRPr="00BC7640" w:rsidSect="0049262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8A77" w14:textId="77777777" w:rsidR="002E5797" w:rsidRDefault="002E5797" w:rsidP="00547779">
      <w:pPr>
        <w:spacing w:after="0" w:line="240" w:lineRule="auto"/>
      </w:pPr>
      <w:r>
        <w:separator/>
      </w:r>
    </w:p>
  </w:endnote>
  <w:endnote w:type="continuationSeparator" w:id="0">
    <w:p w14:paraId="45C8D916" w14:textId="77777777" w:rsidR="002E5797" w:rsidRDefault="002E5797" w:rsidP="0054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9281" w14:textId="77777777" w:rsidR="002E5797" w:rsidRDefault="002E5797" w:rsidP="00547779">
      <w:pPr>
        <w:spacing w:after="0" w:line="240" w:lineRule="auto"/>
      </w:pPr>
      <w:r>
        <w:separator/>
      </w:r>
    </w:p>
  </w:footnote>
  <w:footnote w:type="continuationSeparator" w:id="0">
    <w:p w14:paraId="0C9893F3" w14:textId="77777777" w:rsidR="002E5797" w:rsidRDefault="002E5797" w:rsidP="00547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7F4A"/>
    <w:multiLevelType w:val="multilevel"/>
    <w:tmpl w:val="FC5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57CD2"/>
    <w:multiLevelType w:val="hybridMultilevel"/>
    <w:tmpl w:val="AB14B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4B51DE"/>
    <w:multiLevelType w:val="multilevel"/>
    <w:tmpl w:val="F37A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B488C"/>
    <w:multiLevelType w:val="multilevel"/>
    <w:tmpl w:val="EC04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1132C"/>
    <w:multiLevelType w:val="multilevel"/>
    <w:tmpl w:val="598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A3B17"/>
    <w:multiLevelType w:val="hybridMultilevel"/>
    <w:tmpl w:val="44C6E9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A656F"/>
    <w:multiLevelType w:val="multilevel"/>
    <w:tmpl w:val="49E4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C4775"/>
    <w:multiLevelType w:val="multilevel"/>
    <w:tmpl w:val="27D8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E481E"/>
    <w:multiLevelType w:val="hybridMultilevel"/>
    <w:tmpl w:val="5A783488"/>
    <w:lvl w:ilvl="0" w:tplc="90A6D0F0">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EA5A7E"/>
    <w:multiLevelType w:val="multilevel"/>
    <w:tmpl w:val="9BA6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67AB2"/>
    <w:multiLevelType w:val="multilevel"/>
    <w:tmpl w:val="7F90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0"/>
  </w:num>
  <w:num w:numId="5">
    <w:abstractNumId w:val="0"/>
  </w:num>
  <w:num w:numId="6">
    <w:abstractNumId w:val="9"/>
  </w:num>
  <w:num w:numId="7">
    <w:abstractNumId w:val="7"/>
  </w:num>
  <w:num w:numId="8">
    <w:abstractNumId w:val="6"/>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B30"/>
    <w:rsid w:val="000045E1"/>
    <w:rsid w:val="00005EFD"/>
    <w:rsid w:val="0000723E"/>
    <w:rsid w:val="00010D53"/>
    <w:rsid w:val="000115FD"/>
    <w:rsid w:val="00016FC2"/>
    <w:rsid w:val="000205E9"/>
    <w:rsid w:val="000213EA"/>
    <w:rsid w:val="00021EA2"/>
    <w:rsid w:val="0003436C"/>
    <w:rsid w:val="00036401"/>
    <w:rsid w:val="000403E2"/>
    <w:rsid w:val="00043373"/>
    <w:rsid w:val="00044EBA"/>
    <w:rsid w:val="000473F0"/>
    <w:rsid w:val="000524C9"/>
    <w:rsid w:val="00053152"/>
    <w:rsid w:val="000606B8"/>
    <w:rsid w:val="00063B61"/>
    <w:rsid w:val="00066619"/>
    <w:rsid w:val="000718EB"/>
    <w:rsid w:val="00072C0E"/>
    <w:rsid w:val="00074CAF"/>
    <w:rsid w:val="00075111"/>
    <w:rsid w:val="00075132"/>
    <w:rsid w:val="00081461"/>
    <w:rsid w:val="00081776"/>
    <w:rsid w:val="00081804"/>
    <w:rsid w:val="00083455"/>
    <w:rsid w:val="00086F16"/>
    <w:rsid w:val="00091A6C"/>
    <w:rsid w:val="000945A6"/>
    <w:rsid w:val="000B097F"/>
    <w:rsid w:val="000B0F8A"/>
    <w:rsid w:val="000C32F8"/>
    <w:rsid w:val="000C4341"/>
    <w:rsid w:val="000D456C"/>
    <w:rsid w:val="000E25E7"/>
    <w:rsid w:val="000E26E7"/>
    <w:rsid w:val="000E4E69"/>
    <w:rsid w:val="000F3DFC"/>
    <w:rsid w:val="00100B6C"/>
    <w:rsid w:val="00101223"/>
    <w:rsid w:val="0010511A"/>
    <w:rsid w:val="00107850"/>
    <w:rsid w:val="0011437E"/>
    <w:rsid w:val="001256E6"/>
    <w:rsid w:val="00125D70"/>
    <w:rsid w:val="0012618C"/>
    <w:rsid w:val="001263C9"/>
    <w:rsid w:val="00130BEA"/>
    <w:rsid w:val="00132B06"/>
    <w:rsid w:val="00133B91"/>
    <w:rsid w:val="00135A27"/>
    <w:rsid w:val="00136C09"/>
    <w:rsid w:val="00141FFC"/>
    <w:rsid w:val="0015383B"/>
    <w:rsid w:val="00156E5B"/>
    <w:rsid w:val="0015765F"/>
    <w:rsid w:val="00162EE7"/>
    <w:rsid w:val="0017107C"/>
    <w:rsid w:val="00175ED3"/>
    <w:rsid w:val="001801FF"/>
    <w:rsid w:val="0018205C"/>
    <w:rsid w:val="001829C5"/>
    <w:rsid w:val="00185C4B"/>
    <w:rsid w:val="00192990"/>
    <w:rsid w:val="00196DA1"/>
    <w:rsid w:val="001A00B7"/>
    <w:rsid w:val="001A0119"/>
    <w:rsid w:val="001A3C47"/>
    <w:rsid w:val="001A5CC7"/>
    <w:rsid w:val="001A7A36"/>
    <w:rsid w:val="001B0382"/>
    <w:rsid w:val="001B1A96"/>
    <w:rsid w:val="001B25ED"/>
    <w:rsid w:val="001B2641"/>
    <w:rsid w:val="001B324A"/>
    <w:rsid w:val="001B4500"/>
    <w:rsid w:val="001C1AFA"/>
    <w:rsid w:val="001C252F"/>
    <w:rsid w:val="001C71FE"/>
    <w:rsid w:val="001C7D17"/>
    <w:rsid w:val="001D0920"/>
    <w:rsid w:val="001E4807"/>
    <w:rsid w:val="001E49F9"/>
    <w:rsid w:val="001E7EA8"/>
    <w:rsid w:val="001F20B8"/>
    <w:rsid w:val="001F7D2E"/>
    <w:rsid w:val="00203C70"/>
    <w:rsid w:val="002044EB"/>
    <w:rsid w:val="00204A52"/>
    <w:rsid w:val="00205065"/>
    <w:rsid w:val="00207CF3"/>
    <w:rsid w:val="00210B97"/>
    <w:rsid w:val="0021489D"/>
    <w:rsid w:val="00214CA5"/>
    <w:rsid w:val="00216C24"/>
    <w:rsid w:val="002179A1"/>
    <w:rsid w:val="00222F35"/>
    <w:rsid w:val="00227B14"/>
    <w:rsid w:val="002310B5"/>
    <w:rsid w:val="00231641"/>
    <w:rsid w:val="002318CC"/>
    <w:rsid w:val="00232795"/>
    <w:rsid w:val="002351EB"/>
    <w:rsid w:val="002361A3"/>
    <w:rsid w:val="00237379"/>
    <w:rsid w:val="00237F15"/>
    <w:rsid w:val="0024287A"/>
    <w:rsid w:val="00251D39"/>
    <w:rsid w:val="00251E5D"/>
    <w:rsid w:val="002521F1"/>
    <w:rsid w:val="00252246"/>
    <w:rsid w:val="00254BA5"/>
    <w:rsid w:val="00256913"/>
    <w:rsid w:val="00262A93"/>
    <w:rsid w:val="00264D8E"/>
    <w:rsid w:val="002735F9"/>
    <w:rsid w:val="00275AF3"/>
    <w:rsid w:val="00276413"/>
    <w:rsid w:val="0027698A"/>
    <w:rsid w:val="002838F2"/>
    <w:rsid w:val="002843F3"/>
    <w:rsid w:val="00284C7E"/>
    <w:rsid w:val="002861BF"/>
    <w:rsid w:val="002920F9"/>
    <w:rsid w:val="002970B8"/>
    <w:rsid w:val="002A111B"/>
    <w:rsid w:val="002A26DC"/>
    <w:rsid w:val="002A4529"/>
    <w:rsid w:val="002A5D2F"/>
    <w:rsid w:val="002B60A0"/>
    <w:rsid w:val="002C0AD5"/>
    <w:rsid w:val="002C1221"/>
    <w:rsid w:val="002C3C73"/>
    <w:rsid w:val="002D4D57"/>
    <w:rsid w:val="002D7457"/>
    <w:rsid w:val="002E362B"/>
    <w:rsid w:val="002E379F"/>
    <w:rsid w:val="002E402E"/>
    <w:rsid w:val="002E5702"/>
    <w:rsid w:val="002E5797"/>
    <w:rsid w:val="002F5BC2"/>
    <w:rsid w:val="00303F7D"/>
    <w:rsid w:val="00310C00"/>
    <w:rsid w:val="00312BA1"/>
    <w:rsid w:val="00313744"/>
    <w:rsid w:val="00315AD0"/>
    <w:rsid w:val="00315E20"/>
    <w:rsid w:val="00315E8A"/>
    <w:rsid w:val="00323CE9"/>
    <w:rsid w:val="003276DD"/>
    <w:rsid w:val="003303D9"/>
    <w:rsid w:val="00333146"/>
    <w:rsid w:val="00334C44"/>
    <w:rsid w:val="00340560"/>
    <w:rsid w:val="00340586"/>
    <w:rsid w:val="00343D2D"/>
    <w:rsid w:val="00351131"/>
    <w:rsid w:val="00351C15"/>
    <w:rsid w:val="0035642E"/>
    <w:rsid w:val="00356BB7"/>
    <w:rsid w:val="00360B30"/>
    <w:rsid w:val="003629B7"/>
    <w:rsid w:val="00367778"/>
    <w:rsid w:val="00372420"/>
    <w:rsid w:val="00373814"/>
    <w:rsid w:val="00373C0F"/>
    <w:rsid w:val="00374C26"/>
    <w:rsid w:val="00384F63"/>
    <w:rsid w:val="00387294"/>
    <w:rsid w:val="003901EC"/>
    <w:rsid w:val="003924D1"/>
    <w:rsid w:val="00396775"/>
    <w:rsid w:val="00397919"/>
    <w:rsid w:val="003A10C5"/>
    <w:rsid w:val="003A488D"/>
    <w:rsid w:val="003B6E64"/>
    <w:rsid w:val="003C25A8"/>
    <w:rsid w:val="003C4EF8"/>
    <w:rsid w:val="003C61E6"/>
    <w:rsid w:val="003C63EF"/>
    <w:rsid w:val="003C7125"/>
    <w:rsid w:val="003D3300"/>
    <w:rsid w:val="003E0E61"/>
    <w:rsid w:val="003E2795"/>
    <w:rsid w:val="003E29A2"/>
    <w:rsid w:val="003E48B2"/>
    <w:rsid w:val="003E665E"/>
    <w:rsid w:val="003F58A6"/>
    <w:rsid w:val="003F6DB0"/>
    <w:rsid w:val="003F7C02"/>
    <w:rsid w:val="00403696"/>
    <w:rsid w:val="00417F53"/>
    <w:rsid w:val="004227B7"/>
    <w:rsid w:val="00430B20"/>
    <w:rsid w:val="004329AE"/>
    <w:rsid w:val="00435194"/>
    <w:rsid w:val="00440780"/>
    <w:rsid w:val="004454DD"/>
    <w:rsid w:val="00445F42"/>
    <w:rsid w:val="00446F57"/>
    <w:rsid w:val="00453375"/>
    <w:rsid w:val="0045788E"/>
    <w:rsid w:val="0046039A"/>
    <w:rsid w:val="0046201E"/>
    <w:rsid w:val="004747CB"/>
    <w:rsid w:val="004757C7"/>
    <w:rsid w:val="00484C15"/>
    <w:rsid w:val="004857B1"/>
    <w:rsid w:val="00485C30"/>
    <w:rsid w:val="00492622"/>
    <w:rsid w:val="00493875"/>
    <w:rsid w:val="00495515"/>
    <w:rsid w:val="004956C9"/>
    <w:rsid w:val="00497287"/>
    <w:rsid w:val="00497CCA"/>
    <w:rsid w:val="004A45E2"/>
    <w:rsid w:val="004A532F"/>
    <w:rsid w:val="004A6EF7"/>
    <w:rsid w:val="004C3710"/>
    <w:rsid w:val="004C7342"/>
    <w:rsid w:val="004D3E4D"/>
    <w:rsid w:val="004E036C"/>
    <w:rsid w:val="004E1DC0"/>
    <w:rsid w:val="004E51C2"/>
    <w:rsid w:val="004E7A59"/>
    <w:rsid w:val="004F0F9D"/>
    <w:rsid w:val="004F21F5"/>
    <w:rsid w:val="004F3CCB"/>
    <w:rsid w:val="00502393"/>
    <w:rsid w:val="00502594"/>
    <w:rsid w:val="00505006"/>
    <w:rsid w:val="00510AFE"/>
    <w:rsid w:val="00524130"/>
    <w:rsid w:val="00524440"/>
    <w:rsid w:val="00527742"/>
    <w:rsid w:val="00534010"/>
    <w:rsid w:val="0053578A"/>
    <w:rsid w:val="00536C6D"/>
    <w:rsid w:val="005412BD"/>
    <w:rsid w:val="00541F17"/>
    <w:rsid w:val="005446B5"/>
    <w:rsid w:val="005468C2"/>
    <w:rsid w:val="0054731E"/>
    <w:rsid w:val="00547779"/>
    <w:rsid w:val="00547C68"/>
    <w:rsid w:val="00547CBA"/>
    <w:rsid w:val="00551138"/>
    <w:rsid w:val="005569FE"/>
    <w:rsid w:val="0056241F"/>
    <w:rsid w:val="00562FCA"/>
    <w:rsid w:val="0056687D"/>
    <w:rsid w:val="00595FA3"/>
    <w:rsid w:val="005A14AD"/>
    <w:rsid w:val="005A7298"/>
    <w:rsid w:val="005A7531"/>
    <w:rsid w:val="005B0F37"/>
    <w:rsid w:val="005B2BF1"/>
    <w:rsid w:val="005B38E6"/>
    <w:rsid w:val="005B3CEF"/>
    <w:rsid w:val="005B4C23"/>
    <w:rsid w:val="005B5D6E"/>
    <w:rsid w:val="005B6F82"/>
    <w:rsid w:val="005B7EA6"/>
    <w:rsid w:val="005C2CC7"/>
    <w:rsid w:val="005D15CA"/>
    <w:rsid w:val="005D2F81"/>
    <w:rsid w:val="005D349D"/>
    <w:rsid w:val="005D4EAA"/>
    <w:rsid w:val="005D562C"/>
    <w:rsid w:val="005D5B90"/>
    <w:rsid w:val="005E1333"/>
    <w:rsid w:val="005E2A21"/>
    <w:rsid w:val="005E7E86"/>
    <w:rsid w:val="005F0CEC"/>
    <w:rsid w:val="005F18DD"/>
    <w:rsid w:val="005F259C"/>
    <w:rsid w:val="005F28C1"/>
    <w:rsid w:val="005F2FC5"/>
    <w:rsid w:val="005F61D9"/>
    <w:rsid w:val="00600292"/>
    <w:rsid w:val="00601C35"/>
    <w:rsid w:val="0061116A"/>
    <w:rsid w:val="0061505F"/>
    <w:rsid w:val="00617F76"/>
    <w:rsid w:val="0062262B"/>
    <w:rsid w:val="00623157"/>
    <w:rsid w:val="00623585"/>
    <w:rsid w:val="00623B8B"/>
    <w:rsid w:val="00626127"/>
    <w:rsid w:val="006262F7"/>
    <w:rsid w:val="00640902"/>
    <w:rsid w:val="00647993"/>
    <w:rsid w:val="00652EC5"/>
    <w:rsid w:val="00655C58"/>
    <w:rsid w:val="006600A0"/>
    <w:rsid w:val="00660CD4"/>
    <w:rsid w:val="00660DE3"/>
    <w:rsid w:val="006651C3"/>
    <w:rsid w:val="00667DB1"/>
    <w:rsid w:val="00671BF8"/>
    <w:rsid w:val="00672D20"/>
    <w:rsid w:val="006736F2"/>
    <w:rsid w:val="0067483E"/>
    <w:rsid w:val="006759DA"/>
    <w:rsid w:val="006835E6"/>
    <w:rsid w:val="00686A59"/>
    <w:rsid w:val="00686A79"/>
    <w:rsid w:val="006875E6"/>
    <w:rsid w:val="00692EEF"/>
    <w:rsid w:val="00693433"/>
    <w:rsid w:val="006A0DE5"/>
    <w:rsid w:val="006A62C3"/>
    <w:rsid w:val="006A6FC7"/>
    <w:rsid w:val="006A72BA"/>
    <w:rsid w:val="006B02E6"/>
    <w:rsid w:val="006B5B30"/>
    <w:rsid w:val="006B5C39"/>
    <w:rsid w:val="006B69F7"/>
    <w:rsid w:val="006B7D55"/>
    <w:rsid w:val="006C0665"/>
    <w:rsid w:val="006C2B9F"/>
    <w:rsid w:val="006C3662"/>
    <w:rsid w:val="006D1811"/>
    <w:rsid w:val="006D2A66"/>
    <w:rsid w:val="006D36D8"/>
    <w:rsid w:val="006D50BD"/>
    <w:rsid w:val="006E13BA"/>
    <w:rsid w:val="006E1516"/>
    <w:rsid w:val="006E422C"/>
    <w:rsid w:val="006E51CF"/>
    <w:rsid w:val="006F2727"/>
    <w:rsid w:val="006F6D4A"/>
    <w:rsid w:val="007001B2"/>
    <w:rsid w:val="00701401"/>
    <w:rsid w:val="007121A9"/>
    <w:rsid w:val="00715669"/>
    <w:rsid w:val="00715E15"/>
    <w:rsid w:val="00716988"/>
    <w:rsid w:val="00723DE2"/>
    <w:rsid w:val="00730690"/>
    <w:rsid w:val="007414BA"/>
    <w:rsid w:val="007433AA"/>
    <w:rsid w:val="0074591F"/>
    <w:rsid w:val="00752DAD"/>
    <w:rsid w:val="00753DA5"/>
    <w:rsid w:val="007544E9"/>
    <w:rsid w:val="007609E4"/>
    <w:rsid w:val="00771F7E"/>
    <w:rsid w:val="007760CA"/>
    <w:rsid w:val="00777571"/>
    <w:rsid w:val="00780BB9"/>
    <w:rsid w:val="00786E7E"/>
    <w:rsid w:val="007901C8"/>
    <w:rsid w:val="00795C25"/>
    <w:rsid w:val="007A0B7A"/>
    <w:rsid w:val="007A23C9"/>
    <w:rsid w:val="007A27C1"/>
    <w:rsid w:val="007A7A1F"/>
    <w:rsid w:val="007B1395"/>
    <w:rsid w:val="007B335E"/>
    <w:rsid w:val="007B4F2A"/>
    <w:rsid w:val="007B6F14"/>
    <w:rsid w:val="007C03D6"/>
    <w:rsid w:val="007C4DD6"/>
    <w:rsid w:val="007D1003"/>
    <w:rsid w:val="007D1A49"/>
    <w:rsid w:val="007D449D"/>
    <w:rsid w:val="007D485D"/>
    <w:rsid w:val="007D7A03"/>
    <w:rsid w:val="007E4C9B"/>
    <w:rsid w:val="007E532A"/>
    <w:rsid w:val="007F2E88"/>
    <w:rsid w:val="007F680D"/>
    <w:rsid w:val="00800BDD"/>
    <w:rsid w:val="008042E7"/>
    <w:rsid w:val="00804936"/>
    <w:rsid w:val="008056BC"/>
    <w:rsid w:val="00805B36"/>
    <w:rsid w:val="00820847"/>
    <w:rsid w:val="00821FBD"/>
    <w:rsid w:val="0082350B"/>
    <w:rsid w:val="00825ABD"/>
    <w:rsid w:val="00826561"/>
    <w:rsid w:val="00832A4C"/>
    <w:rsid w:val="00836662"/>
    <w:rsid w:val="0084067B"/>
    <w:rsid w:val="00840891"/>
    <w:rsid w:val="00843B2B"/>
    <w:rsid w:val="0084495B"/>
    <w:rsid w:val="00853756"/>
    <w:rsid w:val="008542DD"/>
    <w:rsid w:val="008604BE"/>
    <w:rsid w:val="008710A7"/>
    <w:rsid w:val="008739FF"/>
    <w:rsid w:val="0087704E"/>
    <w:rsid w:val="0088533B"/>
    <w:rsid w:val="008947C3"/>
    <w:rsid w:val="008978D4"/>
    <w:rsid w:val="008A0BC9"/>
    <w:rsid w:val="008A130C"/>
    <w:rsid w:val="008A341A"/>
    <w:rsid w:val="008A4BBF"/>
    <w:rsid w:val="008A6D93"/>
    <w:rsid w:val="008A7CB2"/>
    <w:rsid w:val="008B0AAA"/>
    <w:rsid w:val="008C02D2"/>
    <w:rsid w:val="008C2F8D"/>
    <w:rsid w:val="008C51B1"/>
    <w:rsid w:val="008C5325"/>
    <w:rsid w:val="008C5E75"/>
    <w:rsid w:val="008C6464"/>
    <w:rsid w:val="008C6914"/>
    <w:rsid w:val="008E4C3E"/>
    <w:rsid w:val="008E57BC"/>
    <w:rsid w:val="008F6F30"/>
    <w:rsid w:val="00900DCF"/>
    <w:rsid w:val="00902CA9"/>
    <w:rsid w:val="009044F8"/>
    <w:rsid w:val="00905983"/>
    <w:rsid w:val="00912022"/>
    <w:rsid w:val="00913BC5"/>
    <w:rsid w:val="00916ED1"/>
    <w:rsid w:val="00920CCA"/>
    <w:rsid w:val="00922DC1"/>
    <w:rsid w:val="00926C04"/>
    <w:rsid w:val="0093791E"/>
    <w:rsid w:val="00937A10"/>
    <w:rsid w:val="0094178B"/>
    <w:rsid w:val="009450DE"/>
    <w:rsid w:val="00945E86"/>
    <w:rsid w:val="009503B3"/>
    <w:rsid w:val="00954389"/>
    <w:rsid w:val="00957139"/>
    <w:rsid w:val="00962544"/>
    <w:rsid w:val="009626D5"/>
    <w:rsid w:val="00962749"/>
    <w:rsid w:val="00964DC4"/>
    <w:rsid w:val="00971035"/>
    <w:rsid w:val="00974ED7"/>
    <w:rsid w:val="009758BA"/>
    <w:rsid w:val="00984564"/>
    <w:rsid w:val="009855E9"/>
    <w:rsid w:val="0099503B"/>
    <w:rsid w:val="0099523C"/>
    <w:rsid w:val="009973CF"/>
    <w:rsid w:val="009A322E"/>
    <w:rsid w:val="009A51A8"/>
    <w:rsid w:val="009A656B"/>
    <w:rsid w:val="009A66E0"/>
    <w:rsid w:val="009B08D8"/>
    <w:rsid w:val="009B5658"/>
    <w:rsid w:val="009B75F7"/>
    <w:rsid w:val="009C6596"/>
    <w:rsid w:val="009C7D98"/>
    <w:rsid w:val="009C7E18"/>
    <w:rsid w:val="009D02C3"/>
    <w:rsid w:val="009D0AF3"/>
    <w:rsid w:val="009D123E"/>
    <w:rsid w:val="009D612D"/>
    <w:rsid w:val="009E141B"/>
    <w:rsid w:val="009E7742"/>
    <w:rsid w:val="009E7DCB"/>
    <w:rsid w:val="009F0897"/>
    <w:rsid w:val="009F2B60"/>
    <w:rsid w:val="00A11C2D"/>
    <w:rsid w:val="00A12C90"/>
    <w:rsid w:val="00A16CAC"/>
    <w:rsid w:val="00A21E7F"/>
    <w:rsid w:val="00A235AF"/>
    <w:rsid w:val="00A25E14"/>
    <w:rsid w:val="00A279B6"/>
    <w:rsid w:val="00A27D00"/>
    <w:rsid w:val="00A31F78"/>
    <w:rsid w:val="00A32A98"/>
    <w:rsid w:val="00A33726"/>
    <w:rsid w:val="00A420BF"/>
    <w:rsid w:val="00A44493"/>
    <w:rsid w:val="00A46016"/>
    <w:rsid w:val="00A46E98"/>
    <w:rsid w:val="00A50FAF"/>
    <w:rsid w:val="00A55481"/>
    <w:rsid w:val="00A611BB"/>
    <w:rsid w:val="00A67D61"/>
    <w:rsid w:val="00A7287C"/>
    <w:rsid w:val="00A762D2"/>
    <w:rsid w:val="00A76C3D"/>
    <w:rsid w:val="00A77503"/>
    <w:rsid w:val="00A821E9"/>
    <w:rsid w:val="00A839E5"/>
    <w:rsid w:val="00A85CC1"/>
    <w:rsid w:val="00A86080"/>
    <w:rsid w:val="00A8718D"/>
    <w:rsid w:val="00A91461"/>
    <w:rsid w:val="00A93804"/>
    <w:rsid w:val="00AA23F1"/>
    <w:rsid w:val="00AA29EE"/>
    <w:rsid w:val="00AA38DF"/>
    <w:rsid w:val="00AB2F57"/>
    <w:rsid w:val="00AB51C6"/>
    <w:rsid w:val="00AB7805"/>
    <w:rsid w:val="00AD1D9A"/>
    <w:rsid w:val="00AD20DC"/>
    <w:rsid w:val="00AD2B73"/>
    <w:rsid w:val="00AD4980"/>
    <w:rsid w:val="00AD502E"/>
    <w:rsid w:val="00AD52EE"/>
    <w:rsid w:val="00AE15C2"/>
    <w:rsid w:val="00AE3095"/>
    <w:rsid w:val="00AE693F"/>
    <w:rsid w:val="00AE6CE8"/>
    <w:rsid w:val="00AE7A29"/>
    <w:rsid w:val="00B00484"/>
    <w:rsid w:val="00B03B2D"/>
    <w:rsid w:val="00B0559F"/>
    <w:rsid w:val="00B072FB"/>
    <w:rsid w:val="00B15949"/>
    <w:rsid w:val="00B21C22"/>
    <w:rsid w:val="00B35C8D"/>
    <w:rsid w:val="00B40615"/>
    <w:rsid w:val="00B4077B"/>
    <w:rsid w:val="00B4126B"/>
    <w:rsid w:val="00B44822"/>
    <w:rsid w:val="00B460B5"/>
    <w:rsid w:val="00B55114"/>
    <w:rsid w:val="00B565D9"/>
    <w:rsid w:val="00B5785A"/>
    <w:rsid w:val="00B61C0E"/>
    <w:rsid w:val="00B65572"/>
    <w:rsid w:val="00B7006E"/>
    <w:rsid w:val="00B704D1"/>
    <w:rsid w:val="00B70CCF"/>
    <w:rsid w:val="00B754F2"/>
    <w:rsid w:val="00B75E5F"/>
    <w:rsid w:val="00B77F96"/>
    <w:rsid w:val="00B83E40"/>
    <w:rsid w:val="00B87A91"/>
    <w:rsid w:val="00B91073"/>
    <w:rsid w:val="00BA2BC9"/>
    <w:rsid w:val="00BA4C88"/>
    <w:rsid w:val="00BB017A"/>
    <w:rsid w:val="00BC4A28"/>
    <w:rsid w:val="00BC7640"/>
    <w:rsid w:val="00BD2CD3"/>
    <w:rsid w:val="00BD4752"/>
    <w:rsid w:val="00BD5426"/>
    <w:rsid w:val="00BE10A4"/>
    <w:rsid w:val="00BE11A6"/>
    <w:rsid w:val="00BE2F0B"/>
    <w:rsid w:val="00BE3A3A"/>
    <w:rsid w:val="00BE40F2"/>
    <w:rsid w:val="00BE69C7"/>
    <w:rsid w:val="00BE779A"/>
    <w:rsid w:val="00BF4BB6"/>
    <w:rsid w:val="00C010DE"/>
    <w:rsid w:val="00C013A0"/>
    <w:rsid w:val="00C05AF2"/>
    <w:rsid w:val="00C07C76"/>
    <w:rsid w:val="00C1658A"/>
    <w:rsid w:val="00C170A7"/>
    <w:rsid w:val="00C25446"/>
    <w:rsid w:val="00C36BCA"/>
    <w:rsid w:val="00C42A1A"/>
    <w:rsid w:val="00C47928"/>
    <w:rsid w:val="00C4797A"/>
    <w:rsid w:val="00C5571E"/>
    <w:rsid w:val="00C56EA3"/>
    <w:rsid w:val="00C62065"/>
    <w:rsid w:val="00C6488F"/>
    <w:rsid w:val="00C64B6F"/>
    <w:rsid w:val="00C65477"/>
    <w:rsid w:val="00C66677"/>
    <w:rsid w:val="00C66CA2"/>
    <w:rsid w:val="00C72B60"/>
    <w:rsid w:val="00C738CE"/>
    <w:rsid w:val="00C77FD2"/>
    <w:rsid w:val="00C86DD1"/>
    <w:rsid w:val="00C87E13"/>
    <w:rsid w:val="00C90F6E"/>
    <w:rsid w:val="00C92D57"/>
    <w:rsid w:val="00C93148"/>
    <w:rsid w:val="00C95B1E"/>
    <w:rsid w:val="00CA3775"/>
    <w:rsid w:val="00CA437D"/>
    <w:rsid w:val="00CB0CD6"/>
    <w:rsid w:val="00CB160D"/>
    <w:rsid w:val="00CB3B66"/>
    <w:rsid w:val="00CB5B53"/>
    <w:rsid w:val="00CC08A6"/>
    <w:rsid w:val="00CC0C3F"/>
    <w:rsid w:val="00CC0D14"/>
    <w:rsid w:val="00CC5422"/>
    <w:rsid w:val="00CD2EAF"/>
    <w:rsid w:val="00CD5519"/>
    <w:rsid w:val="00CD6B3D"/>
    <w:rsid w:val="00CE565F"/>
    <w:rsid w:val="00CE67D1"/>
    <w:rsid w:val="00CF1126"/>
    <w:rsid w:val="00CF17EC"/>
    <w:rsid w:val="00CF6486"/>
    <w:rsid w:val="00D015E0"/>
    <w:rsid w:val="00D01D1C"/>
    <w:rsid w:val="00D01D25"/>
    <w:rsid w:val="00D04E32"/>
    <w:rsid w:val="00D140E5"/>
    <w:rsid w:val="00D148BD"/>
    <w:rsid w:val="00D15393"/>
    <w:rsid w:val="00D15600"/>
    <w:rsid w:val="00D259E2"/>
    <w:rsid w:val="00D26A21"/>
    <w:rsid w:val="00D26CB7"/>
    <w:rsid w:val="00D33803"/>
    <w:rsid w:val="00D37A45"/>
    <w:rsid w:val="00D447C6"/>
    <w:rsid w:val="00D5064F"/>
    <w:rsid w:val="00D527E7"/>
    <w:rsid w:val="00D52E9F"/>
    <w:rsid w:val="00D64445"/>
    <w:rsid w:val="00D73507"/>
    <w:rsid w:val="00D8537F"/>
    <w:rsid w:val="00D9024C"/>
    <w:rsid w:val="00D91D58"/>
    <w:rsid w:val="00D93DCC"/>
    <w:rsid w:val="00DA068E"/>
    <w:rsid w:val="00DA0B37"/>
    <w:rsid w:val="00DA1A0A"/>
    <w:rsid w:val="00DA4E46"/>
    <w:rsid w:val="00DA51F1"/>
    <w:rsid w:val="00DA5960"/>
    <w:rsid w:val="00DB2CE6"/>
    <w:rsid w:val="00DB7541"/>
    <w:rsid w:val="00DC1F46"/>
    <w:rsid w:val="00DC2036"/>
    <w:rsid w:val="00DC595D"/>
    <w:rsid w:val="00DD0AC6"/>
    <w:rsid w:val="00DD0D7E"/>
    <w:rsid w:val="00DD2A5D"/>
    <w:rsid w:val="00DD6FFE"/>
    <w:rsid w:val="00DE381A"/>
    <w:rsid w:val="00DE4E3A"/>
    <w:rsid w:val="00DE5766"/>
    <w:rsid w:val="00DF0956"/>
    <w:rsid w:val="00DF2139"/>
    <w:rsid w:val="00E00501"/>
    <w:rsid w:val="00E044BB"/>
    <w:rsid w:val="00E05765"/>
    <w:rsid w:val="00E141D5"/>
    <w:rsid w:val="00E1472F"/>
    <w:rsid w:val="00E14C56"/>
    <w:rsid w:val="00E168DC"/>
    <w:rsid w:val="00E17125"/>
    <w:rsid w:val="00E1758E"/>
    <w:rsid w:val="00E17BEF"/>
    <w:rsid w:val="00E20312"/>
    <w:rsid w:val="00E25563"/>
    <w:rsid w:val="00E33F11"/>
    <w:rsid w:val="00E349B7"/>
    <w:rsid w:val="00E50512"/>
    <w:rsid w:val="00E5179E"/>
    <w:rsid w:val="00E51F2B"/>
    <w:rsid w:val="00E52F89"/>
    <w:rsid w:val="00E54A13"/>
    <w:rsid w:val="00E6031D"/>
    <w:rsid w:val="00E7139B"/>
    <w:rsid w:val="00E72B92"/>
    <w:rsid w:val="00E7658E"/>
    <w:rsid w:val="00E8253A"/>
    <w:rsid w:val="00E83BA6"/>
    <w:rsid w:val="00E93431"/>
    <w:rsid w:val="00EA0CE1"/>
    <w:rsid w:val="00EB01E9"/>
    <w:rsid w:val="00EB3805"/>
    <w:rsid w:val="00EB55DF"/>
    <w:rsid w:val="00EC21F3"/>
    <w:rsid w:val="00EC4B0E"/>
    <w:rsid w:val="00ED4CB4"/>
    <w:rsid w:val="00EF0232"/>
    <w:rsid w:val="00EF23E1"/>
    <w:rsid w:val="00EF3B77"/>
    <w:rsid w:val="00EF5427"/>
    <w:rsid w:val="00F036D7"/>
    <w:rsid w:val="00F03EB0"/>
    <w:rsid w:val="00F05FEE"/>
    <w:rsid w:val="00F12BF9"/>
    <w:rsid w:val="00F14001"/>
    <w:rsid w:val="00F14D26"/>
    <w:rsid w:val="00F15B33"/>
    <w:rsid w:val="00F2103A"/>
    <w:rsid w:val="00F23213"/>
    <w:rsid w:val="00F24620"/>
    <w:rsid w:val="00F301B0"/>
    <w:rsid w:val="00F30A51"/>
    <w:rsid w:val="00F37C5D"/>
    <w:rsid w:val="00F37D5A"/>
    <w:rsid w:val="00F4023E"/>
    <w:rsid w:val="00F4095F"/>
    <w:rsid w:val="00F40E75"/>
    <w:rsid w:val="00F41F5E"/>
    <w:rsid w:val="00F42D4B"/>
    <w:rsid w:val="00F469B1"/>
    <w:rsid w:val="00F52339"/>
    <w:rsid w:val="00F5386F"/>
    <w:rsid w:val="00F54A7B"/>
    <w:rsid w:val="00F60243"/>
    <w:rsid w:val="00F62DFB"/>
    <w:rsid w:val="00F65901"/>
    <w:rsid w:val="00F734EE"/>
    <w:rsid w:val="00F83D83"/>
    <w:rsid w:val="00F8754C"/>
    <w:rsid w:val="00F93274"/>
    <w:rsid w:val="00FA0839"/>
    <w:rsid w:val="00FA1F6A"/>
    <w:rsid w:val="00FA3166"/>
    <w:rsid w:val="00FA4B1D"/>
    <w:rsid w:val="00FA5704"/>
    <w:rsid w:val="00FA5C82"/>
    <w:rsid w:val="00FB32BE"/>
    <w:rsid w:val="00FB4CE0"/>
    <w:rsid w:val="00FC28B6"/>
    <w:rsid w:val="00FD0143"/>
    <w:rsid w:val="00FD0E94"/>
    <w:rsid w:val="00FD23F4"/>
    <w:rsid w:val="00FD3459"/>
    <w:rsid w:val="00FD5A44"/>
    <w:rsid w:val="00FD5A79"/>
    <w:rsid w:val="00FE03A4"/>
    <w:rsid w:val="00FE1021"/>
    <w:rsid w:val="00FE37ED"/>
    <w:rsid w:val="00FF7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4361"/>
  <w15:docId w15:val="{1079F20A-99B3-47B1-AA74-73D30099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E6"/>
  </w:style>
  <w:style w:type="paragraph" w:styleId="Heading1">
    <w:name w:val="heading 1"/>
    <w:basedOn w:val="Normal"/>
    <w:next w:val="Normal"/>
    <w:link w:val="Heading1Char"/>
    <w:uiPriority w:val="9"/>
    <w:qFormat/>
    <w:rsid w:val="00D93DC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93DCC"/>
    <w:pPr>
      <w:keepNext/>
      <w:keepLines/>
      <w:spacing w:before="40" w:after="0"/>
      <w:outlineLvl w:val="1"/>
    </w:pPr>
    <w:rPr>
      <w:rFonts w:asciiTheme="majorHAnsi" w:eastAsiaTheme="majorEastAsia" w:hAnsiTheme="majorHAnsi" w:cstheme="majorBidi"/>
      <w:b/>
      <w: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C6"/>
    <w:rPr>
      <w:rFonts w:ascii="Segoe UI" w:hAnsi="Segoe UI" w:cs="Segoe UI"/>
      <w:sz w:val="18"/>
      <w:szCs w:val="18"/>
    </w:rPr>
  </w:style>
  <w:style w:type="paragraph" w:styleId="NormalWeb">
    <w:name w:val="Normal (Web)"/>
    <w:basedOn w:val="Normal"/>
    <w:uiPriority w:val="99"/>
    <w:semiHidden/>
    <w:unhideWhenUsed/>
    <w:rsid w:val="00DC1F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CB160D"/>
    <w:rPr>
      <w:color w:val="0563C1" w:themeColor="hyperlink"/>
      <w:u w:val="single"/>
    </w:rPr>
  </w:style>
  <w:style w:type="character" w:styleId="HTMLCite">
    <w:name w:val="HTML Cite"/>
    <w:basedOn w:val="DefaultParagraphFont"/>
    <w:uiPriority w:val="99"/>
    <w:semiHidden/>
    <w:unhideWhenUsed/>
    <w:rsid w:val="00623585"/>
    <w:rPr>
      <w:i w:val="0"/>
      <w:iCs w:val="0"/>
      <w:color w:val="006621"/>
    </w:rPr>
  </w:style>
  <w:style w:type="paragraph" w:customStyle="1" w:styleId="Default">
    <w:name w:val="Default"/>
    <w:rsid w:val="004956C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609E4"/>
    <w:rPr>
      <w:color w:val="954F72" w:themeColor="followedHyperlink"/>
      <w:u w:val="single"/>
    </w:rPr>
  </w:style>
  <w:style w:type="paragraph" w:styleId="ListParagraph">
    <w:name w:val="List Paragraph"/>
    <w:basedOn w:val="Normal"/>
    <w:uiPriority w:val="34"/>
    <w:qFormat/>
    <w:rsid w:val="00D93DCC"/>
    <w:pPr>
      <w:ind w:left="720"/>
      <w:contextualSpacing/>
    </w:pPr>
  </w:style>
  <w:style w:type="character" w:customStyle="1" w:styleId="Heading1Char">
    <w:name w:val="Heading 1 Char"/>
    <w:basedOn w:val="DefaultParagraphFont"/>
    <w:link w:val="Heading1"/>
    <w:uiPriority w:val="9"/>
    <w:rsid w:val="00D93DC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93DCC"/>
    <w:rPr>
      <w:rFonts w:asciiTheme="majorHAnsi" w:eastAsiaTheme="majorEastAsia" w:hAnsiTheme="majorHAnsi" w:cstheme="majorBidi"/>
      <w:b/>
      <w:i/>
      <w:sz w:val="24"/>
      <w:szCs w:val="26"/>
    </w:rPr>
  </w:style>
  <w:style w:type="character" w:styleId="CommentReference">
    <w:name w:val="annotation reference"/>
    <w:basedOn w:val="DefaultParagraphFont"/>
    <w:uiPriority w:val="99"/>
    <w:semiHidden/>
    <w:unhideWhenUsed/>
    <w:rsid w:val="00E54A13"/>
    <w:rPr>
      <w:sz w:val="16"/>
      <w:szCs w:val="16"/>
    </w:rPr>
  </w:style>
  <w:style w:type="paragraph" w:styleId="CommentText">
    <w:name w:val="annotation text"/>
    <w:basedOn w:val="Normal"/>
    <w:link w:val="CommentTextChar"/>
    <w:uiPriority w:val="99"/>
    <w:semiHidden/>
    <w:unhideWhenUsed/>
    <w:rsid w:val="00E54A13"/>
    <w:pPr>
      <w:spacing w:line="240" w:lineRule="auto"/>
    </w:pPr>
    <w:rPr>
      <w:sz w:val="20"/>
      <w:szCs w:val="20"/>
    </w:rPr>
  </w:style>
  <w:style w:type="character" w:customStyle="1" w:styleId="CommentTextChar">
    <w:name w:val="Comment Text Char"/>
    <w:basedOn w:val="DefaultParagraphFont"/>
    <w:link w:val="CommentText"/>
    <w:uiPriority w:val="99"/>
    <w:semiHidden/>
    <w:rsid w:val="00E54A13"/>
    <w:rPr>
      <w:sz w:val="20"/>
      <w:szCs w:val="20"/>
    </w:rPr>
  </w:style>
  <w:style w:type="paragraph" w:styleId="CommentSubject">
    <w:name w:val="annotation subject"/>
    <w:basedOn w:val="CommentText"/>
    <w:next w:val="CommentText"/>
    <w:link w:val="CommentSubjectChar"/>
    <w:uiPriority w:val="99"/>
    <w:semiHidden/>
    <w:unhideWhenUsed/>
    <w:rsid w:val="00E54A13"/>
    <w:rPr>
      <w:b/>
      <w:bCs/>
    </w:rPr>
  </w:style>
  <w:style w:type="character" w:customStyle="1" w:styleId="CommentSubjectChar">
    <w:name w:val="Comment Subject Char"/>
    <w:basedOn w:val="CommentTextChar"/>
    <w:link w:val="CommentSubject"/>
    <w:uiPriority w:val="99"/>
    <w:semiHidden/>
    <w:rsid w:val="00E54A13"/>
    <w:rPr>
      <w:b/>
      <w:bCs/>
      <w:sz w:val="20"/>
      <w:szCs w:val="20"/>
    </w:rPr>
  </w:style>
  <w:style w:type="character" w:customStyle="1" w:styleId="docsum-authors">
    <w:name w:val="docsum-authors"/>
    <w:basedOn w:val="DefaultParagraphFont"/>
    <w:rsid w:val="007A27C1"/>
  </w:style>
  <w:style w:type="character" w:customStyle="1" w:styleId="docsum-journal-citation">
    <w:name w:val="docsum-journal-citation"/>
    <w:basedOn w:val="DefaultParagraphFont"/>
    <w:rsid w:val="007A27C1"/>
  </w:style>
  <w:style w:type="table" w:styleId="TableGrid">
    <w:name w:val="Table Grid"/>
    <w:basedOn w:val="TableNormal"/>
    <w:uiPriority w:val="39"/>
    <w:rsid w:val="00BE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7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7779"/>
  </w:style>
  <w:style w:type="paragraph" w:styleId="Footer">
    <w:name w:val="footer"/>
    <w:basedOn w:val="Normal"/>
    <w:link w:val="FooterChar"/>
    <w:uiPriority w:val="99"/>
    <w:unhideWhenUsed/>
    <w:rsid w:val="005477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7779"/>
  </w:style>
  <w:style w:type="table" w:customStyle="1" w:styleId="Grigliatabella1">
    <w:name w:val="Griglia tabella1"/>
    <w:basedOn w:val="TableNormal"/>
    <w:next w:val="TableGrid"/>
    <w:uiPriority w:val="59"/>
    <w:rsid w:val="0054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00Journal">
    <w:name w:val="X00_Journal"/>
    <w:basedOn w:val="DefaultParagraphFont"/>
    <w:uiPriority w:val="1"/>
    <w:qFormat/>
    <w:rsid w:val="00130BEA"/>
    <w:rPr>
      <w:rFonts w:cs="Times New Roman"/>
      <w:color w:val="008572"/>
    </w:rPr>
  </w:style>
  <w:style w:type="paragraph" w:customStyle="1" w:styleId="H02Edifix">
    <w:name w:val="H02_Edifix"/>
    <w:basedOn w:val="Normal"/>
    <w:link w:val="H02EdifixZchn"/>
    <w:rsid w:val="00130BEA"/>
    <w:pPr>
      <w:pBdr>
        <w:left w:val="double" w:sz="4" w:space="4" w:color="FF0000"/>
      </w:pBdr>
      <w:shd w:val="clear" w:color="auto" w:fill="D9D9D9" w:themeFill="background1" w:themeFillShade="D9"/>
      <w:spacing w:after="0" w:line="480" w:lineRule="auto"/>
      <w:ind w:left="709" w:hanging="709"/>
    </w:pPr>
    <w:rPr>
      <w:rFonts w:ascii="Arial" w:eastAsia="Times New Roman" w:hAnsi="Arial" w:cs="Arial"/>
      <w:sz w:val="24"/>
      <w:szCs w:val="24"/>
      <w:lang w:val="en-US" w:eastAsia="de-DE"/>
    </w:rPr>
  </w:style>
  <w:style w:type="character" w:customStyle="1" w:styleId="H02EdifixZchn">
    <w:name w:val="H02_Edifix Zchn"/>
    <w:basedOn w:val="DefaultParagraphFont"/>
    <w:link w:val="H02Edifix"/>
    <w:locked/>
    <w:rsid w:val="00130BEA"/>
    <w:rPr>
      <w:rFonts w:ascii="Arial" w:eastAsia="Times New Roman" w:hAnsi="Arial" w:cs="Arial"/>
      <w:sz w:val="24"/>
      <w:szCs w:val="24"/>
      <w:shd w:val="clear" w:color="auto" w:fill="D9D9D9" w:themeFill="background1" w:themeFillShade="D9"/>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4283">
      <w:bodyDiv w:val="1"/>
      <w:marLeft w:val="0"/>
      <w:marRight w:val="0"/>
      <w:marTop w:val="0"/>
      <w:marBottom w:val="0"/>
      <w:divBdr>
        <w:top w:val="none" w:sz="0" w:space="0" w:color="auto"/>
        <w:left w:val="none" w:sz="0" w:space="0" w:color="auto"/>
        <w:bottom w:val="none" w:sz="0" w:space="0" w:color="auto"/>
        <w:right w:val="none" w:sz="0" w:space="0" w:color="auto"/>
      </w:divBdr>
      <w:divsChild>
        <w:div w:id="1763987519">
          <w:marLeft w:val="0"/>
          <w:marRight w:val="0"/>
          <w:marTop w:val="0"/>
          <w:marBottom w:val="0"/>
          <w:divBdr>
            <w:top w:val="none" w:sz="0" w:space="0" w:color="auto"/>
            <w:left w:val="none" w:sz="0" w:space="0" w:color="auto"/>
            <w:bottom w:val="none" w:sz="0" w:space="0" w:color="auto"/>
            <w:right w:val="none" w:sz="0" w:space="0" w:color="auto"/>
          </w:divBdr>
          <w:divsChild>
            <w:div w:id="617882649">
              <w:marLeft w:val="0"/>
              <w:marRight w:val="0"/>
              <w:marTop w:val="0"/>
              <w:marBottom w:val="0"/>
              <w:divBdr>
                <w:top w:val="none" w:sz="0" w:space="0" w:color="auto"/>
                <w:left w:val="none" w:sz="0" w:space="0" w:color="auto"/>
                <w:bottom w:val="none" w:sz="0" w:space="0" w:color="auto"/>
                <w:right w:val="none" w:sz="0" w:space="0" w:color="auto"/>
              </w:divBdr>
              <w:divsChild>
                <w:div w:id="663898873">
                  <w:marLeft w:val="0"/>
                  <w:marRight w:val="0"/>
                  <w:marTop w:val="0"/>
                  <w:marBottom w:val="0"/>
                  <w:divBdr>
                    <w:top w:val="none" w:sz="0" w:space="0" w:color="auto"/>
                    <w:left w:val="none" w:sz="0" w:space="0" w:color="auto"/>
                    <w:bottom w:val="none" w:sz="0" w:space="0" w:color="auto"/>
                    <w:right w:val="none" w:sz="0" w:space="0" w:color="auto"/>
                  </w:divBdr>
                  <w:divsChild>
                    <w:div w:id="984503566">
                      <w:marLeft w:val="0"/>
                      <w:marRight w:val="0"/>
                      <w:marTop w:val="0"/>
                      <w:marBottom w:val="0"/>
                      <w:divBdr>
                        <w:top w:val="none" w:sz="0" w:space="0" w:color="auto"/>
                        <w:left w:val="none" w:sz="0" w:space="0" w:color="auto"/>
                        <w:bottom w:val="none" w:sz="0" w:space="0" w:color="auto"/>
                        <w:right w:val="none" w:sz="0" w:space="0" w:color="auto"/>
                      </w:divBdr>
                      <w:divsChild>
                        <w:div w:id="1969705624">
                          <w:marLeft w:val="0"/>
                          <w:marRight w:val="0"/>
                          <w:marTop w:val="0"/>
                          <w:marBottom w:val="0"/>
                          <w:divBdr>
                            <w:top w:val="none" w:sz="0" w:space="0" w:color="auto"/>
                            <w:left w:val="none" w:sz="0" w:space="0" w:color="auto"/>
                            <w:bottom w:val="none" w:sz="0" w:space="0" w:color="auto"/>
                            <w:right w:val="none" w:sz="0" w:space="0" w:color="auto"/>
                          </w:divBdr>
                          <w:divsChild>
                            <w:div w:id="1119952000">
                              <w:marLeft w:val="0"/>
                              <w:marRight w:val="0"/>
                              <w:marTop w:val="0"/>
                              <w:marBottom w:val="0"/>
                              <w:divBdr>
                                <w:top w:val="none" w:sz="0" w:space="0" w:color="auto"/>
                                <w:left w:val="none" w:sz="0" w:space="0" w:color="auto"/>
                                <w:bottom w:val="none" w:sz="0" w:space="0" w:color="auto"/>
                                <w:right w:val="none" w:sz="0" w:space="0" w:color="auto"/>
                              </w:divBdr>
                              <w:divsChild>
                                <w:div w:id="260916773">
                                  <w:marLeft w:val="0"/>
                                  <w:marRight w:val="0"/>
                                  <w:marTop w:val="0"/>
                                  <w:marBottom w:val="0"/>
                                  <w:divBdr>
                                    <w:top w:val="none" w:sz="0" w:space="0" w:color="auto"/>
                                    <w:left w:val="none" w:sz="0" w:space="0" w:color="auto"/>
                                    <w:bottom w:val="none" w:sz="0" w:space="0" w:color="auto"/>
                                    <w:right w:val="none" w:sz="0" w:space="0" w:color="auto"/>
                                  </w:divBdr>
                                </w:div>
                                <w:div w:id="2555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7178">
                  <w:marLeft w:val="0"/>
                  <w:marRight w:val="0"/>
                  <w:marTop w:val="0"/>
                  <w:marBottom w:val="0"/>
                  <w:divBdr>
                    <w:top w:val="none" w:sz="0" w:space="0" w:color="auto"/>
                    <w:left w:val="none" w:sz="0" w:space="0" w:color="auto"/>
                    <w:bottom w:val="none" w:sz="0" w:space="0" w:color="auto"/>
                    <w:right w:val="none" w:sz="0" w:space="0" w:color="auto"/>
                  </w:divBdr>
                  <w:divsChild>
                    <w:div w:id="361562247">
                      <w:marLeft w:val="0"/>
                      <w:marRight w:val="0"/>
                      <w:marTop w:val="0"/>
                      <w:marBottom w:val="0"/>
                      <w:divBdr>
                        <w:top w:val="none" w:sz="0" w:space="0" w:color="auto"/>
                        <w:left w:val="none" w:sz="0" w:space="0" w:color="auto"/>
                        <w:bottom w:val="none" w:sz="0" w:space="0" w:color="auto"/>
                        <w:right w:val="none" w:sz="0" w:space="0" w:color="auto"/>
                      </w:divBdr>
                      <w:divsChild>
                        <w:div w:id="11565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0439">
                  <w:marLeft w:val="0"/>
                  <w:marRight w:val="0"/>
                  <w:marTop w:val="0"/>
                  <w:marBottom w:val="0"/>
                  <w:divBdr>
                    <w:top w:val="none" w:sz="0" w:space="0" w:color="auto"/>
                    <w:left w:val="none" w:sz="0" w:space="0" w:color="auto"/>
                    <w:bottom w:val="none" w:sz="0" w:space="0" w:color="auto"/>
                    <w:right w:val="none" w:sz="0" w:space="0" w:color="auto"/>
                  </w:divBdr>
                </w:div>
                <w:div w:id="1210797347">
                  <w:marLeft w:val="0"/>
                  <w:marRight w:val="0"/>
                  <w:marTop w:val="0"/>
                  <w:marBottom w:val="0"/>
                  <w:divBdr>
                    <w:top w:val="none" w:sz="0" w:space="0" w:color="auto"/>
                    <w:left w:val="none" w:sz="0" w:space="0" w:color="auto"/>
                    <w:bottom w:val="none" w:sz="0" w:space="0" w:color="auto"/>
                    <w:right w:val="none" w:sz="0" w:space="0" w:color="auto"/>
                  </w:divBdr>
                  <w:divsChild>
                    <w:div w:id="282663429">
                      <w:marLeft w:val="0"/>
                      <w:marRight w:val="0"/>
                      <w:marTop w:val="0"/>
                      <w:marBottom w:val="0"/>
                      <w:divBdr>
                        <w:top w:val="none" w:sz="0" w:space="0" w:color="auto"/>
                        <w:left w:val="none" w:sz="0" w:space="0" w:color="auto"/>
                        <w:bottom w:val="none" w:sz="0" w:space="0" w:color="auto"/>
                        <w:right w:val="none" w:sz="0" w:space="0" w:color="auto"/>
                      </w:divBdr>
                      <w:divsChild>
                        <w:div w:id="14296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04055">
      <w:bodyDiv w:val="1"/>
      <w:marLeft w:val="0"/>
      <w:marRight w:val="0"/>
      <w:marTop w:val="0"/>
      <w:marBottom w:val="0"/>
      <w:divBdr>
        <w:top w:val="none" w:sz="0" w:space="0" w:color="auto"/>
        <w:left w:val="none" w:sz="0" w:space="0" w:color="auto"/>
        <w:bottom w:val="none" w:sz="0" w:space="0" w:color="auto"/>
        <w:right w:val="none" w:sz="0" w:space="0" w:color="auto"/>
      </w:divBdr>
      <w:divsChild>
        <w:div w:id="742679272">
          <w:marLeft w:val="0"/>
          <w:marRight w:val="0"/>
          <w:marTop w:val="0"/>
          <w:marBottom w:val="0"/>
          <w:divBdr>
            <w:top w:val="none" w:sz="0" w:space="0" w:color="auto"/>
            <w:left w:val="none" w:sz="0" w:space="0" w:color="auto"/>
            <w:bottom w:val="none" w:sz="0" w:space="0" w:color="auto"/>
            <w:right w:val="none" w:sz="0" w:space="0" w:color="auto"/>
          </w:divBdr>
          <w:divsChild>
            <w:div w:id="1606225955">
              <w:marLeft w:val="0"/>
              <w:marRight w:val="0"/>
              <w:marTop w:val="0"/>
              <w:marBottom w:val="0"/>
              <w:divBdr>
                <w:top w:val="none" w:sz="0" w:space="0" w:color="auto"/>
                <w:left w:val="none" w:sz="0" w:space="0" w:color="auto"/>
                <w:bottom w:val="none" w:sz="0" w:space="0" w:color="auto"/>
                <w:right w:val="none" w:sz="0" w:space="0" w:color="auto"/>
              </w:divBdr>
              <w:divsChild>
                <w:div w:id="1408528458">
                  <w:marLeft w:val="0"/>
                  <w:marRight w:val="0"/>
                  <w:marTop w:val="0"/>
                  <w:marBottom w:val="0"/>
                  <w:divBdr>
                    <w:top w:val="none" w:sz="0" w:space="0" w:color="auto"/>
                    <w:left w:val="none" w:sz="0" w:space="0" w:color="auto"/>
                    <w:bottom w:val="none" w:sz="0" w:space="0" w:color="auto"/>
                    <w:right w:val="none" w:sz="0" w:space="0" w:color="auto"/>
                  </w:divBdr>
                  <w:divsChild>
                    <w:div w:id="2020084378">
                      <w:marLeft w:val="0"/>
                      <w:marRight w:val="0"/>
                      <w:marTop w:val="0"/>
                      <w:marBottom w:val="0"/>
                      <w:divBdr>
                        <w:top w:val="none" w:sz="0" w:space="0" w:color="auto"/>
                        <w:left w:val="none" w:sz="0" w:space="0" w:color="auto"/>
                        <w:bottom w:val="none" w:sz="0" w:space="0" w:color="auto"/>
                        <w:right w:val="none" w:sz="0" w:space="0" w:color="auto"/>
                      </w:divBdr>
                      <w:divsChild>
                        <w:div w:id="176695138">
                          <w:marLeft w:val="0"/>
                          <w:marRight w:val="0"/>
                          <w:marTop w:val="0"/>
                          <w:marBottom w:val="0"/>
                          <w:divBdr>
                            <w:top w:val="none" w:sz="0" w:space="0" w:color="auto"/>
                            <w:left w:val="none" w:sz="0" w:space="0" w:color="auto"/>
                            <w:bottom w:val="none" w:sz="0" w:space="0" w:color="auto"/>
                            <w:right w:val="none" w:sz="0" w:space="0" w:color="auto"/>
                          </w:divBdr>
                          <w:divsChild>
                            <w:div w:id="2037462370">
                              <w:marLeft w:val="0"/>
                              <w:marRight w:val="0"/>
                              <w:marTop w:val="0"/>
                              <w:marBottom w:val="0"/>
                              <w:divBdr>
                                <w:top w:val="none" w:sz="0" w:space="0" w:color="auto"/>
                                <w:left w:val="none" w:sz="0" w:space="0" w:color="auto"/>
                                <w:bottom w:val="none" w:sz="0" w:space="0" w:color="auto"/>
                                <w:right w:val="none" w:sz="0" w:space="0" w:color="auto"/>
                              </w:divBdr>
                              <w:divsChild>
                                <w:div w:id="861627874">
                                  <w:marLeft w:val="0"/>
                                  <w:marRight w:val="0"/>
                                  <w:marTop w:val="0"/>
                                  <w:marBottom w:val="0"/>
                                  <w:divBdr>
                                    <w:top w:val="none" w:sz="0" w:space="0" w:color="auto"/>
                                    <w:left w:val="none" w:sz="0" w:space="0" w:color="auto"/>
                                    <w:bottom w:val="none" w:sz="0" w:space="0" w:color="auto"/>
                                    <w:right w:val="none" w:sz="0" w:space="0" w:color="auto"/>
                                  </w:divBdr>
                                </w:div>
                                <w:div w:id="18414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60741">
                  <w:marLeft w:val="0"/>
                  <w:marRight w:val="0"/>
                  <w:marTop w:val="0"/>
                  <w:marBottom w:val="0"/>
                  <w:divBdr>
                    <w:top w:val="none" w:sz="0" w:space="0" w:color="auto"/>
                    <w:left w:val="none" w:sz="0" w:space="0" w:color="auto"/>
                    <w:bottom w:val="none" w:sz="0" w:space="0" w:color="auto"/>
                    <w:right w:val="none" w:sz="0" w:space="0" w:color="auto"/>
                  </w:divBdr>
                  <w:divsChild>
                    <w:div w:id="323123466">
                      <w:marLeft w:val="0"/>
                      <w:marRight w:val="0"/>
                      <w:marTop w:val="0"/>
                      <w:marBottom w:val="0"/>
                      <w:divBdr>
                        <w:top w:val="none" w:sz="0" w:space="0" w:color="auto"/>
                        <w:left w:val="none" w:sz="0" w:space="0" w:color="auto"/>
                        <w:bottom w:val="none" w:sz="0" w:space="0" w:color="auto"/>
                        <w:right w:val="none" w:sz="0" w:space="0" w:color="auto"/>
                      </w:divBdr>
                      <w:divsChild>
                        <w:div w:id="20952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60631">
      <w:bodyDiv w:val="1"/>
      <w:marLeft w:val="0"/>
      <w:marRight w:val="0"/>
      <w:marTop w:val="0"/>
      <w:marBottom w:val="0"/>
      <w:divBdr>
        <w:top w:val="none" w:sz="0" w:space="0" w:color="auto"/>
        <w:left w:val="none" w:sz="0" w:space="0" w:color="auto"/>
        <w:bottom w:val="none" w:sz="0" w:space="0" w:color="auto"/>
        <w:right w:val="none" w:sz="0" w:space="0" w:color="auto"/>
      </w:divBdr>
      <w:divsChild>
        <w:div w:id="1060009556">
          <w:marLeft w:val="0"/>
          <w:marRight w:val="0"/>
          <w:marTop w:val="0"/>
          <w:marBottom w:val="0"/>
          <w:divBdr>
            <w:top w:val="none" w:sz="0" w:space="0" w:color="auto"/>
            <w:left w:val="none" w:sz="0" w:space="0" w:color="auto"/>
            <w:bottom w:val="none" w:sz="0" w:space="0" w:color="auto"/>
            <w:right w:val="none" w:sz="0" w:space="0" w:color="auto"/>
          </w:divBdr>
          <w:divsChild>
            <w:div w:id="254940350">
              <w:marLeft w:val="0"/>
              <w:marRight w:val="0"/>
              <w:marTop w:val="0"/>
              <w:marBottom w:val="0"/>
              <w:divBdr>
                <w:top w:val="none" w:sz="0" w:space="0" w:color="auto"/>
                <w:left w:val="none" w:sz="0" w:space="0" w:color="auto"/>
                <w:bottom w:val="none" w:sz="0" w:space="0" w:color="auto"/>
                <w:right w:val="none" w:sz="0" w:space="0" w:color="auto"/>
              </w:divBdr>
              <w:divsChild>
                <w:div w:id="1243877387">
                  <w:marLeft w:val="0"/>
                  <w:marRight w:val="0"/>
                  <w:marTop w:val="0"/>
                  <w:marBottom w:val="0"/>
                  <w:divBdr>
                    <w:top w:val="none" w:sz="0" w:space="0" w:color="auto"/>
                    <w:left w:val="none" w:sz="0" w:space="0" w:color="auto"/>
                    <w:bottom w:val="none" w:sz="0" w:space="0" w:color="auto"/>
                    <w:right w:val="none" w:sz="0" w:space="0" w:color="auto"/>
                  </w:divBdr>
                  <w:divsChild>
                    <w:div w:id="426846763">
                      <w:marLeft w:val="0"/>
                      <w:marRight w:val="0"/>
                      <w:marTop w:val="0"/>
                      <w:marBottom w:val="0"/>
                      <w:divBdr>
                        <w:top w:val="none" w:sz="0" w:space="0" w:color="auto"/>
                        <w:left w:val="none" w:sz="0" w:space="0" w:color="auto"/>
                        <w:bottom w:val="none" w:sz="0" w:space="0" w:color="auto"/>
                        <w:right w:val="none" w:sz="0" w:space="0" w:color="auto"/>
                      </w:divBdr>
                      <w:divsChild>
                        <w:div w:id="371346518">
                          <w:marLeft w:val="0"/>
                          <w:marRight w:val="0"/>
                          <w:marTop w:val="0"/>
                          <w:marBottom w:val="0"/>
                          <w:divBdr>
                            <w:top w:val="none" w:sz="0" w:space="0" w:color="auto"/>
                            <w:left w:val="none" w:sz="0" w:space="0" w:color="auto"/>
                            <w:bottom w:val="none" w:sz="0" w:space="0" w:color="auto"/>
                            <w:right w:val="none" w:sz="0" w:space="0" w:color="auto"/>
                          </w:divBdr>
                          <w:divsChild>
                            <w:div w:id="1103456517">
                              <w:marLeft w:val="0"/>
                              <w:marRight w:val="0"/>
                              <w:marTop w:val="0"/>
                              <w:marBottom w:val="0"/>
                              <w:divBdr>
                                <w:top w:val="none" w:sz="0" w:space="0" w:color="auto"/>
                                <w:left w:val="none" w:sz="0" w:space="0" w:color="auto"/>
                                <w:bottom w:val="none" w:sz="0" w:space="0" w:color="auto"/>
                                <w:right w:val="none" w:sz="0" w:space="0" w:color="auto"/>
                              </w:divBdr>
                              <w:divsChild>
                                <w:div w:id="1984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25074">
      <w:bodyDiv w:val="1"/>
      <w:marLeft w:val="0"/>
      <w:marRight w:val="0"/>
      <w:marTop w:val="0"/>
      <w:marBottom w:val="0"/>
      <w:divBdr>
        <w:top w:val="none" w:sz="0" w:space="0" w:color="auto"/>
        <w:left w:val="none" w:sz="0" w:space="0" w:color="auto"/>
        <w:bottom w:val="none" w:sz="0" w:space="0" w:color="auto"/>
        <w:right w:val="none" w:sz="0" w:space="0" w:color="auto"/>
      </w:divBdr>
      <w:divsChild>
        <w:div w:id="1068914579">
          <w:marLeft w:val="0"/>
          <w:marRight w:val="0"/>
          <w:marTop w:val="0"/>
          <w:marBottom w:val="0"/>
          <w:divBdr>
            <w:top w:val="none" w:sz="0" w:space="0" w:color="auto"/>
            <w:left w:val="none" w:sz="0" w:space="0" w:color="auto"/>
            <w:bottom w:val="none" w:sz="0" w:space="0" w:color="auto"/>
            <w:right w:val="none" w:sz="0" w:space="0" w:color="auto"/>
          </w:divBdr>
          <w:divsChild>
            <w:div w:id="769086648">
              <w:marLeft w:val="0"/>
              <w:marRight w:val="0"/>
              <w:marTop w:val="0"/>
              <w:marBottom w:val="0"/>
              <w:divBdr>
                <w:top w:val="none" w:sz="0" w:space="0" w:color="auto"/>
                <w:left w:val="none" w:sz="0" w:space="0" w:color="auto"/>
                <w:bottom w:val="none" w:sz="0" w:space="0" w:color="auto"/>
                <w:right w:val="none" w:sz="0" w:space="0" w:color="auto"/>
              </w:divBdr>
              <w:divsChild>
                <w:div w:id="1229421791">
                  <w:marLeft w:val="0"/>
                  <w:marRight w:val="0"/>
                  <w:marTop w:val="0"/>
                  <w:marBottom w:val="0"/>
                  <w:divBdr>
                    <w:top w:val="none" w:sz="0" w:space="0" w:color="auto"/>
                    <w:left w:val="none" w:sz="0" w:space="0" w:color="auto"/>
                    <w:bottom w:val="none" w:sz="0" w:space="0" w:color="auto"/>
                    <w:right w:val="none" w:sz="0" w:space="0" w:color="auto"/>
                  </w:divBdr>
                  <w:divsChild>
                    <w:div w:id="1193222472">
                      <w:marLeft w:val="0"/>
                      <w:marRight w:val="0"/>
                      <w:marTop w:val="0"/>
                      <w:marBottom w:val="0"/>
                      <w:divBdr>
                        <w:top w:val="none" w:sz="0" w:space="0" w:color="auto"/>
                        <w:left w:val="none" w:sz="0" w:space="0" w:color="auto"/>
                        <w:bottom w:val="none" w:sz="0" w:space="0" w:color="auto"/>
                        <w:right w:val="none" w:sz="0" w:space="0" w:color="auto"/>
                      </w:divBdr>
                      <w:divsChild>
                        <w:div w:id="543103226">
                          <w:marLeft w:val="0"/>
                          <w:marRight w:val="0"/>
                          <w:marTop w:val="0"/>
                          <w:marBottom w:val="0"/>
                          <w:divBdr>
                            <w:top w:val="none" w:sz="0" w:space="0" w:color="auto"/>
                            <w:left w:val="none" w:sz="0" w:space="0" w:color="auto"/>
                            <w:bottom w:val="none" w:sz="0" w:space="0" w:color="auto"/>
                            <w:right w:val="none" w:sz="0" w:space="0" w:color="auto"/>
                          </w:divBdr>
                          <w:divsChild>
                            <w:div w:id="231349721">
                              <w:marLeft w:val="0"/>
                              <w:marRight w:val="0"/>
                              <w:marTop w:val="0"/>
                              <w:marBottom w:val="0"/>
                              <w:divBdr>
                                <w:top w:val="none" w:sz="0" w:space="0" w:color="auto"/>
                                <w:left w:val="none" w:sz="0" w:space="0" w:color="auto"/>
                                <w:bottom w:val="none" w:sz="0" w:space="0" w:color="auto"/>
                                <w:right w:val="none" w:sz="0" w:space="0" w:color="auto"/>
                              </w:divBdr>
                              <w:divsChild>
                                <w:div w:id="19422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121815">
      <w:bodyDiv w:val="1"/>
      <w:marLeft w:val="0"/>
      <w:marRight w:val="0"/>
      <w:marTop w:val="0"/>
      <w:marBottom w:val="0"/>
      <w:divBdr>
        <w:top w:val="none" w:sz="0" w:space="0" w:color="auto"/>
        <w:left w:val="none" w:sz="0" w:space="0" w:color="auto"/>
        <w:bottom w:val="none" w:sz="0" w:space="0" w:color="auto"/>
        <w:right w:val="none" w:sz="0" w:space="0" w:color="auto"/>
      </w:divBdr>
    </w:div>
    <w:div w:id="1003125678">
      <w:bodyDiv w:val="1"/>
      <w:marLeft w:val="0"/>
      <w:marRight w:val="0"/>
      <w:marTop w:val="0"/>
      <w:marBottom w:val="0"/>
      <w:divBdr>
        <w:top w:val="none" w:sz="0" w:space="0" w:color="auto"/>
        <w:left w:val="none" w:sz="0" w:space="0" w:color="auto"/>
        <w:bottom w:val="none" w:sz="0" w:space="0" w:color="auto"/>
        <w:right w:val="none" w:sz="0" w:space="0" w:color="auto"/>
      </w:divBdr>
    </w:div>
    <w:div w:id="1147240026">
      <w:bodyDiv w:val="1"/>
      <w:marLeft w:val="0"/>
      <w:marRight w:val="0"/>
      <w:marTop w:val="0"/>
      <w:marBottom w:val="0"/>
      <w:divBdr>
        <w:top w:val="none" w:sz="0" w:space="0" w:color="auto"/>
        <w:left w:val="none" w:sz="0" w:space="0" w:color="auto"/>
        <w:bottom w:val="none" w:sz="0" w:space="0" w:color="auto"/>
        <w:right w:val="none" w:sz="0" w:space="0" w:color="auto"/>
      </w:divBdr>
      <w:divsChild>
        <w:div w:id="944964143">
          <w:marLeft w:val="0"/>
          <w:marRight w:val="0"/>
          <w:marTop w:val="0"/>
          <w:marBottom w:val="0"/>
          <w:divBdr>
            <w:top w:val="none" w:sz="0" w:space="0" w:color="auto"/>
            <w:left w:val="none" w:sz="0" w:space="0" w:color="auto"/>
            <w:bottom w:val="none" w:sz="0" w:space="0" w:color="auto"/>
            <w:right w:val="none" w:sz="0" w:space="0" w:color="auto"/>
          </w:divBdr>
          <w:divsChild>
            <w:div w:id="282467608">
              <w:marLeft w:val="0"/>
              <w:marRight w:val="0"/>
              <w:marTop w:val="0"/>
              <w:marBottom w:val="0"/>
              <w:divBdr>
                <w:top w:val="none" w:sz="0" w:space="0" w:color="auto"/>
                <w:left w:val="none" w:sz="0" w:space="0" w:color="auto"/>
                <w:bottom w:val="none" w:sz="0" w:space="0" w:color="auto"/>
                <w:right w:val="none" w:sz="0" w:space="0" w:color="auto"/>
              </w:divBdr>
              <w:divsChild>
                <w:div w:id="426855196">
                  <w:marLeft w:val="0"/>
                  <w:marRight w:val="0"/>
                  <w:marTop w:val="0"/>
                  <w:marBottom w:val="0"/>
                  <w:divBdr>
                    <w:top w:val="none" w:sz="0" w:space="0" w:color="auto"/>
                    <w:left w:val="none" w:sz="0" w:space="0" w:color="auto"/>
                    <w:bottom w:val="none" w:sz="0" w:space="0" w:color="auto"/>
                    <w:right w:val="none" w:sz="0" w:space="0" w:color="auto"/>
                  </w:divBdr>
                  <w:divsChild>
                    <w:div w:id="32777643">
                      <w:marLeft w:val="0"/>
                      <w:marRight w:val="0"/>
                      <w:marTop w:val="0"/>
                      <w:marBottom w:val="0"/>
                      <w:divBdr>
                        <w:top w:val="none" w:sz="0" w:space="0" w:color="auto"/>
                        <w:left w:val="none" w:sz="0" w:space="0" w:color="auto"/>
                        <w:bottom w:val="none" w:sz="0" w:space="0" w:color="auto"/>
                        <w:right w:val="none" w:sz="0" w:space="0" w:color="auto"/>
                      </w:divBdr>
                      <w:divsChild>
                        <w:div w:id="851577269">
                          <w:marLeft w:val="0"/>
                          <w:marRight w:val="0"/>
                          <w:marTop w:val="0"/>
                          <w:marBottom w:val="0"/>
                          <w:divBdr>
                            <w:top w:val="none" w:sz="0" w:space="0" w:color="auto"/>
                            <w:left w:val="none" w:sz="0" w:space="0" w:color="auto"/>
                            <w:bottom w:val="none" w:sz="0" w:space="0" w:color="auto"/>
                            <w:right w:val="none" w:sz="0" w:space="0" w:color="auto"/>
                          </w:divBdr>
                          <w:divsChild>
                            <w:div w:id="397940058">
                              <w:marLeft w:val="0"/>
                              <w:marRight w:val="0"/>
                              <w:marTop w:val="0"/>
                              <w:marBottom w:val="0"/>
                              <w:divBdr>
                                <w:top w:val="none" w:sz="0" w:space="0" w:color="auto"/>
                                <w:left w:val="none" w:sz="0" w:space="0" w:color="auto"/>
                                <w:bottom w:val="none" w:sz="0" w:space="0" w:color="auto"/>
                                <w:right w:val="none" w:sz="0" w:space="0" w:color="auto"/>
                              </w:divBdr>
                              <w:divsChild>
                                <w:div w:id="1756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18579">
      <w:bodyDiv w:val="1"/>
      <w:marLeft w:val="0"/>
      <w:marRight w:val="0"/>
      <w:marTop w:val="0"/>
      <w:marBottom w:val="0"/>
      <w:divBdr>
        <w:top w:val="none" w:sz="0" w:space="0" w:color="auto"/>
        <w:left w:val="none" w:sz="0" w:space="0" w:color="auto"/>
        <w:bottom w:val="none" w:sz="0" w:space="0" w:color="auto"/>
        <w:right w:val="none" w:sz="0" w:space="0" w:color="auto"/>
      </w:divBdr>
      <w:divsChild>
        <w:div w:id="1696223313">
          <w:marLeft w:val="0"/>
          <w:marRight w:val="0"/>
          <w:marTop w:val="0"/>
          <w:marBottom w:val="0"/>
          <w:divBdr>
            <w:top w:val="none" w:sz="0" w:space="0" w:color="auto"/>
            <w:left w:val="none" w:sz="0" w:space="0" w:color="auto"/>
            <w:bottom w:val="none" w:sz="0" w:space="0" w:color="auto"/>
            <w:right w:val="none" w:sz="0" w:space="0" w:color="auto"/>
          </w:divBdr>
          <w:divsChild>
            <w:div w:id="1837962100">
              <w:marLeft w:val="0"/>
              <w:marRight w:val="0"/>
              <w:marTop w:val="0"/>
              <w:marBottom w:val="0"/>
              <w:divBdr>
                <w:top w:val="none" w:sz="0" w:space="0" w:color="auto"/>
                <w:left w:val="none" w:sz="0" w:space="0" w:color="auto"/>
                <w:bottom w:val="none" w:sz="0" w:space="0" w:color="auto"/>
                <w:right w:val="none" w:sz="0" w:space="0" w:color="auto"/>
              </w:divBdr>
              <w:divsChild>
                <w:div w:id="1885674034">
                  <w:marLeft w:val="0"/>
                  <w:marRight w:val="0"/>
                  <w:marTop w:val="0"/>
                  <w:marBottom w:val="0"/>
                  <w:divBdr>
                    <w:top w:val="none" w:sz="0" w:space="0" w:color="auto"/>
                    <w:left w:val="none" w:sz="0" w:space="0" w:color="auto"/>
                    <w:bottom w:val="none" w:sz="0" w:space="0" w:color="auto"/>
                    <w:right w:val="none" w:sz="0" w:space="0" w:color="auto"/>
                  </w:divBdr>
                  <w:divsChild>
                    <w:div w:id="275256307">
                      <w:marLeft w:val="0"/>
                      <w:marRight w:val="0"/>
                      <w:marTop w:val="0"/>
                      <w:marBottom w:val="0"/>
                      <w:divBdr>
                        <w:top w:val="none" w:sz="0" w:space="0" w:color="auto"/>
                        <w:left w:val="none" w:sz="0" w:space="0" w:color="auto"/>
                        <w:bottom w:val="none" w:sz="0" w:space="0" w:color="auto"/>
                        <w:right w:val="none" w:sz="0" w:space="0" w:color="auto"/>
                      </w:divBdr>
                      <w:divsChild>
                        <w:div w:id="834300632">
                          <w:marLeft w:val="0"/>
                          <w:marRight w:val="0"/>
                          <w:marTop w:val="0"/>
                          <w:marBottom w:val="0"/>
                          <w:divBdr>
                            <w:top w:val="none" w:sz="0" w:space="0" w:color="auto"/>
                            <w:left w:val="none" w:sz="0" w:space="0" w:color="auto"/>
                            <w:bottom w:val="none" w:sz="0" w:space="0" w:color="auto"/>
                            <w:right w:val="none" w:sz="0" w:space="0" w:color="auto"/>
                          </w:divBdr>
                          <w:divsChild>
                            <w:div w:id="2011906894">
                              <w:marLeft w:val="0"/>
                              <w:marRight w:val="0"/>
                              <w:marTop w:val="0"/>
                              <w:marBottom w:val="0"/>
                              <w:divBdr>
                                <w:top w:val="none" w:sz="0" w:space="0" w:color="auto"/>
                                <w:left w:val="none" w:sz="0" w:space="0" w:color="auto"/>
                                <w:bottom w:val="none" w:sz="0" w:space="0" w:color="auto"/>
                                <w:right w:val="none" w:sz="0" w:space="0" w:color="auto"/>
                              </w:divBdr>
                              <w:divsChild>
                                <w:div w:id="20477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248207">
      <w:bodyDiv w:val="1"/>
      <w:marLeft w:val="0"/>
      <w:marRight w:val="0"/>
      <w:marTop w:val="0"/>
      <w:marBottom w:val="0"/>
      <w:divBdr>
        <w:top w:val="none" w:sz="0" w:space="0" w:color="auto"/>
        <w:left w:val="none" w:sz="0" w:space="0" w:color="auto"/>
        <w:bottom w:val="none" w:sz="0" w:space="0" w:color="auto"/>
        <w:right w:val="none" w:sz="0" w:space="0" w:color="auto"/>
      </w:divBdr>
      <w:divsChild>
        <w:div w:id="1208301237">
          <w:marLeft w:val="0"/>
          <w:marRight w:val="0"/>
          <w:marTop w:val="0"/>
          <w:marBottom w:val="0"/>
          <w:divBdr>
            <w:top w:val="none" w:sz="0" w:space="0" w:color="auto"/>
            <w:left w:val="none" w:sz="0" w:space="0" w:color="auto"/>
            <w:bottom w:val="none" w:sz="0" w:space="0" w:color="auto"/>
            <w:right w:val="none" w:sz="0" w:space="0" w:color="auto"/>
          </w:divBdr>
          <w:divsChild>
            <w:div w:id="1018774611">
              <w:marLeft w:val="0"/>
              <w:marRight w:val="0"/>
              <w:marTop w:val="0"/>
              <w:marBottom w:val="0"/>
              <w:divBdr>
                <w:top w:val="none" w:sz="0" w:space="0" w:color="auto"/>
                <w:left w:val="none" w:sz="0" w:space="0" w:color="auto"/>
                <w:bottom w:val="none" w:sz="0" w:space="0" w:color="auto"/>
                <w:right w:val="none" w:sz="0" w:space="0" w:color="auto"/>
              </w:divBdr>
              <w:divsChild>
                <w:div w:id="612831188">
                  <w:marLeft w:val="0"/>
                  <w:marRight w:val="0"/>
                  <w:marTop w:val="0"/>
                  <w:marBottom w:val="0"/>
                  <w:divBdr>
                    <w:top w:val="none" w:sz="0" w:space="0" w:color="auto"/>
                    <w:left w:val="none" w:sz="0" w:space="0" w:color="auto"/>
                    <w:bottom w:val="none" w:sz="0" w:space="0" w:color="auto"/>
                    <w:right w:val="none" w:sz="0" w:space="0" w:color="auto"/>
                  </w:divBdr>
                  <w:divsChild>
                    <w:div w:id="691414540">
                      <w:marLeft w:val="0"/>
                      <w:marRight w:val="0"/>
                      <w:marTop w:val="0"/>
                      <w:marBottom w:val="0"/>
                      <w:divBdr>
                        <w:top w:val="none" w:sz="0" w:space="0" w:color="auto"/>
                        <w:left w:val="none" w:sz="0" w:space="0" w:color="auto"/>
                        <w:bottom w:val="none" w:sz="0" w:space="0" w:color="auto"/>
                        <w:right w:val="none" w:sz="0" w:space="0" w:color="auto"/>
                      </w:divBdr>
                      <w:divsChild>
                        <w:div w:id="391150828">
                          <w:marLeft w:val="0"/>
                          <w:marRight w:val="0"/>
                          <w:marTop w:val="0"/>
                          <w:marBottom w:val="0"/>
                          <w:divBdr>
                            <w:top w:val="none" w:sz="0" w:space="0" w:color="auto"/>
                            <w:left w:val="none" w:sz="0" w:space="0" w:color="auto"/>
                            <w:bottom w:val="none" w:sz="0" w:space="0" w:color="auto"/>
                            <w:right w:val="none" w:sz="0" w:space="0" w:color="auto"/>
                          </w:divBdr>
                          <w:divsChild>
                            <w:div w:id="1432237474">
                              <w:marLeft w:val="0"/>
                              <w:marRight w:val="0"/>
                              <w:marTop w:val="0"/>
                              <w:marBottom w:val="0"/>
                              <w:divBdr>
                                <w:top w:val="none" w:sz="0" w:space="0" w:color="auto"/>
                                <w:left w:val="none" w:sz="0" w:space="0" w:color="auto"/>
                                <w:bottom w:val="none" w:sz="0" w:space="0" w:color="auto"/>
                                <w:right w:val="none" w:sz="0" w:space="0" w:color="auto"/>
                              </w:divBdr>
                              <w:divsChild>
                                <w:div w:id="1212501705">
                                  <w:marLeft w:val="0"/>
                                  <w:marRight w:val="0"/>
                                  <w:marTop w:val="0"/>
                                  <w:marBottom w:val="0"/>
                                  <w:divBdr>
                                    <w:top w:val="none" w:sz="0" w:space="0" w:color="auto"/>
                                    <w:left w:val="none" w:sz="0" w:space="0" w:color="auto"/>
                                    <w:bottom w:val="none" w:sz="0" w:space="0" w:color="auto"/>
                                    <w:right w:val="none" w:sz="0" w:space="0" w:color="auto"/>
                                  </w:divBdr>
                                </w:div>
                                <w:div w:id="10419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742">
                  <w:marLeft w:val="0"/>
                  <w:marRight w:val="0"/>
                  <w:marTop w:val="0"/>
                  <w:marBottom w:val="0"/>
                  <w:divBdr>
                    <w:top w:val="none" w:sz="0" w:space="0" w:color="auto"/>
                    <w:left w:val="none" w:sz="0" w:space="0" w:color="auto"/>
                    <w:bottom w:val="none" w:sz="0" w:space="0" w:color="auto"/>
                    <w:right w:val="none" w:sz="0" w:space="0" w:color="auto"/>
                  </w:divBdr>
                  <w:divsChild>
                    <w:div w:id="1202592522">
                      <w:marLeft w:val="0"/>
                      <w:marRight w:val="0"/>
                      <w:marTop w:val="0"/>
                      <w:marBottom w:val="0"/>
                      <w:divBdr>
                        <w:top w:val="none" w:sz="0" w:space="0" w:color="auto"/>
                        <w:left w:val="none" w:sz="0" w:space="0" w:color="auto"/>
                        <w:bottom w:val="none" w:sz="0" w:space="0" w:color="auto"/>
                        <w:right w:val="none" w:sz="0" w:space="0" w:color="auto"/>
                      </w:divBdr>
                      <w:divsChild>
                        <w:div w:id="9379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4990">
                  <w:marLeft w:val="0"/>
                  <w:marRight w:val="0"/>
                  <w:marTop w:val="0"/>
                  <w:marBottom w:val="0"/>
                  <w:divBdr>
                    <w:top w:val="none" w:sz="0" w:space="0" w:color="auto"/>
                    <w:left w:val="none" w:sz="0" w:space="0" w:color="auto"/>
                    <w:bottom w:val="none" w:sz="0" w:space="0" w:color="auto"/>
                    <w:right w:val="none" w:sz="0" w:space="0" w:color="auto"/>
                  </w:divBdr>
                </w:div>
                <w:div w:id="54739903">
                  <w:marLeft w:val="0"/>
                  <w:marRight w:val="0"/>
                  <w:marTop w:val="0"/>
                  <w:marBottom w:val="0"/>
                  <w:divBdr>
                    <w:top w:val="none" w:sz="0" w:space="0" w:color="auto"/>
                    <w:left w:val="none" w:sz="0" w:space="0" w:color="auto"/>
                    <w:bottom w:val="none" w:sz="0" w:space="0" w:color="auto"/>
                    <w:right w:val="none" w:sz="0" w:space="0" w:color="auto"/>
                  </w:divBdr>
                  <w:divsChild>
                    <w:div w:id="1733113046">
                      <w:marLeft w:val="0"/>
                      <w:marRight w:val="0"/>
                      <w:marTop w:val="0"/>
                      <w:marBottom w:val="0"/>
                      <w:divBdr>
                        <w:top w:val="none" w:sz="0" w:space="0" w:color="auto"/>
                        <w:left w:val="none" w:sz="0" w:space="0" w:color="auto"/>
                        <w:bottom w:val="none" w:sz="0" w:space="0" w:color="auto"/>
                        <w:right w:val="none" w:sz="0" w:space="0" w:color="auto"/>
                      </w:divBdr>
                      <w:divsChild>
                        <w:div w:id="11096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7775">
      <w:bodyDiv w:val="1"/>
      <w:marLeft w:val="0"/>
      <w:marRight w:val="0"/>
      <w:marTop w:val="0"/>
      <w:marBottom w:val="0"/>
      <w:divBdr>
        <w:top w:val="none" w:sz="0" w:space="0" w:color="auto"/>
        <w:left w:val="none" w:sz="0" w:space="0" w:color="auto"/>
        <w:bottom w:val="none" w:sz="0" w:space="0" w:color="auto"/>
        <w:right w:val="none" w:sz="0" w:space="0" w:color="auto"/>
      </w:divBdr>
    </w:div>
    <w:div w:id="1455516779">
      <w:bodyDiv w:val="1"/>
      <w:marLeft w:val="0"/>
      <w:marRight w:val="0"/>
      <w:marTop w:val="0"/>
      <w:marBottom w:val="0"/>
      <w:divBdr>
        <w:top w:val="none" w:sz="0" w:space="0" w:color="auto"/>
        <w:left w:val="none" w:sz="0" w:space="0" w:color="auto"/>
        <w:bottom w:val="none" w:sz="0" w:space="0" w:color="auto"/>
        <w:right w:val="none" w:sz="0" w:space="0" w:color="auto"/>
      </w:divBdr>
      <w:divsChild>
        <w:div w:id="1718579013">
          <w:marLeft w:val="0"/>
          <w:marRight w:val="0"/>
          <w:marTop w:val="0"/>
          <w:marBottom w:val="0"/>
          <w:divBdr>
            <w:top w:val="none" w:sz="0" w:space="0" w:color="auto"/>
            <w:left w:val="none" w:sz="0" w:space="0" w:color="auto"/>
            <w:bottom w:val="none" w:sz="0" w:space="0" w:color="auto"/>
            <w:right w:val="none" w:sz="0" w:space="0" w:color="auto"/>
          </w:divBdr>
          <w:divsChild>
            <w:div w:id="180702523">
              <w:marLeft w:val="0"/>
              <w:marRight w:val="0"/>
              <w:marTop w:val="0"/>
              <w:marBottom w:val="0"/>
              <w:divBdr>
                <w:top w:val="none" w:sz="0" w:space="0" w:color="auto"/>
                <w:left w:val="none" w:sz="0" w:space="0" w:color="auto"/>
                <w:bottom w:val="none" w:sz="0" w:space="0" w:color="auto"/>
                <w:right w:val="none" w:sz="0" w:space="0" w:color="auto"/>
              </w:divBdr>
              <w:divsChild>
                <w:div w:id="1383017958">
                  <w:marLeft w:val="0"/>
                  <w:marRight w:val="0"/>
                  <w:marTop w:val="0"/>
                  <w:marBottom w:val="0"/>
                  <w:divBdr>
                    <w:top w:val="none" w:sz="0" w:space="0" w:color="auto"/>
                    <w:left w:val="none" w:sz="0" w:space="0" w:color="auto"/>
                    <w:bottom w:val="none" w:sz="0" w:space="0" w:color="auto"/>
                    <w:right w:val="none" w:sz="0" w:space="0" w:color="auto"/>
                  </w:divBdr>
                  <w:divsChild>
                    <w:div w:id="1098140799">
                      <w:marLeft w:val="0"/>
                      <w:marRight w:val="0"/>
                      <w:marTop w:val="0"/>
                      <w:marBottom w:val="0"/>
                      <w:divBdr>
                        <w:top w:val="none" w:sz="0" w:space="0" w:color="auto"/>
                        <w:left w:val="none" w:sz="0" w:space="0" w:color="auto"/>
                        <w:bottom w:val="none" w:sz="0" w:space="0" w:color="auto"/>
                        <w:right w:val="none" w:sz="0" w:space="0" w:color="auto"/>
                      </w:divBdr>
                      <w:divsChild>
                        <w:div w:id="1934168884">
                          <w:marLeft w:val="0"/>
                          <w:marRight w:val="0"/>
                          <w:marTop w:val="0"/>
                          <w:marBottom w:val="0"/>
                          <w:divBdr>
                            <w:top w:val="none" w:sz="0" w:space="0" w:color="auto"/>
                            <w:left w:val="none" w:sz="0" w:space="0" w:color="auto"/>
                            <w:bottom w:val="none" w:sz="0" w:space="0" w:color="auto"/>
                            <w:right w:val="none" w:sz="0" w:space="0" w:color="auto"/>
                          </w:divBdr>
                          <w:divsChild>
                            <w:div w:id="351079571">
                              <w:marLeft w:val="0"/>
                              <w:marRight w:val="0"/>
                              <w:marTop w:val="0"/>
                              <w:marBottom w:val="0"/>
                              <w:divBdr>
                                <w:top w:val="none" w:sz="0" w:space="0" w:color="auto"/>
                                <w:left w:val="none" w:sz="0" w:space="0" w:color="auto"/>
                                <w:bottom w:val="none" w:sz="0" w:space="0" w:color="auto"/>
                                <w:right w:val="none" w:sz="0" w:space="0" w:color="auto"/>
                              </w:divBdr>
                              <w:divsChild>
                                <w:div w:id="1259144572">
                                  <w:marLeft w:val="0"/>
                                  <w:marRight w:val="0"/>
                                  <w:marTop w:val="0"/>
                                  <w:marBottom w:val="0"/>
                                  <w:divBdr>
                                    <w:top w:val="none" w:sz="0" w:space="0" w:color="auto"/>
                                    <w:left w:val="none" w:sz="0" w:space="0" w:color="auto"/>
                                    <w:bottom w:val="none" w:sz="0" w:space="0" w:color="auto"/>
                                    <w:right w:val="none" w:sz="0" w:space="0" w:color="auto"/>
                                  </w:divBdr>
                                </w:div>
                                <w:div w:id="1109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89202">
                  <w:marLeft w:val="0"/>
                  <w:marRight w:val="0"/>
                  <w:marTop w:val="0"/>
                  <w:marBottom w:val="0"/>
                  <w:divBdr>
                    <w:top w:val="none" w:sz="0" w:space="0" w:color="auto"/>
                    <w:left w:val="none" w:sz="0" w:space="0" w:color="auto"/>
                    <w:bottom w:val="none" w:sz="0" w:space="0" w:color="auto"/>
                    <w:right w:val="none" w:sz="0" w:space="0" w:color="auto"/>
                  </w:divBdr>
                  <w:divsChild>
                    <w:div w:id="1180007616">
                      <w:marLeft w:val="0"/>
                      <w:marRight w:val="0"/>
                      <w:marTop w:val="0"/>
                      <w:marBottom w:val="0"/>
                      <w:divBdr>
                        <w:top w:val="none" w:sz="0" w:space="0" w:color="auto"/>
                        <w:left w:val="none" w:sz="0" w:space="0" w:color="auto"/>
                        <w:bottom w:val="none" w:sz="0" w:space="0" w:color="auto"/>
                        <w:right w:val="none" w:sz="0" w:space="0" w:color="auto"/>
                      </w:divBdr>
                      <w:divsChild>
                        <w:div w:id="15805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81799">
      <w:bodyDiv w:val="1"/>
      <w:marLeft w:val="0"/>
      <w:marRight w:val="0"/>
      <w:marTop w:val="0"/>
      <w:marBottom w:val="0"/>
      <w:divBdr>
        <w:top w:val="none" w:sz="0" w:space="0" w:color="auto"/>
        <w:left w:val="none" w:sz="0" w:space="0" w:color="auto"/>
        <w:bottom w:val="none" w:sz="0" w:space="0" w:color="auto"/>
        <w:right w:val="none" w:sz="0" w:space="0" w:color="auto"/>
      </w:divBdr>
      <w:divsChild>
        <w:div w:id="145170323">
          <w:marLeft w:val="547"/>
          <w:marRight w:val="0"/>
          <w:marTop w:val="0"/>
          <w:marBottom w:val="0"/>
          <w:divBdr>
            <w:top w:val="none" w:sz="0" w:space="0" w:color="auto"/>
            <w:left w:val="none" w:sz="0" w:space="0" w:color="auto"/>
            <w:bottom w:val="none" w:sz="0" w:space="0" w:color="auto"/>
            <w:right w:val="none" w:sz="0" w:space="0" w:color="auto"/>
          </w:divBdr>
        </w:div>
        <w:div w:id="459223729">
          <w:marLeft w:val="547"/>
          <w:marRight w:val="0"/>
          <w:marTop w:val="0"/>
          <w:marBottom w:val="0"/>
          <w:divBdr>
            <w:top w:val="none" w:sz="0" w:space="0" w:color="auto"/>
            <w:left w:val="none" w:sz="0" w:space="0" w:color="auto"/>
            <w:bottom w:val="none" w:sz="0" w:space="0" w:color="auto"/>
            <w:right w:val="none" w:sz="0" w:space="0" w:color="auto"/>
          </w:divBdr>
        </w:div>
        <w:div w:id="1094471939">
          <w:marLeft w:val="547"/>
          <w:marRight w:val="0"/>
          <w:marTop w:val="0"/>
          <w:marBottom w:val="0"/>
          <w:divBdr>
            <w:top w:val="none" w:sz="0" w:space="0" w:color="auto"/>
            <w:left w:val="none" w:sz="0" w:space="0" w:color="auto"/>
            <w:bottom w:val="none" w:sz="0" w:space="0" w:color="auto"/>
            <w:right w:val="none" w:sz="0" w:space="0" w:color="auto"/>
          </w:divBdr>
        </w:div>
        <w:div w:id="515121801">
          <w:marLeft w:val="547"/>
          <w:marRight w:val="0"/>
          <w:marTop w:val="0"/>
          <w:marBottom w:val="0"/>
          <w:divBdr>
            <w:top w:val="none" w:sz="0" w:space="0" w:color="auto"/>
            <w:left w:val="none" w:sz="0" w:space="0" w:color="auto"/>
            <w:bottom w:val="none" w:sz="0" w:space="0" w:color="auto"/>
            <w:right w:val="none" w:sz="0" w:space="0" w:color="auto"/>
          </w:divBdr>
        </w:div>
        <w:div w:id="1970695915">
          <w:marLeft w:val="547"/>
          <w:marRight w:val="0"/>
          <w:marTop w:val="0"/>
          <w:marBottom w:val="0"/>
          <w:divBdr>
            <w:top w:val="none" w:sz="0" w:space="0" w:color="auto"/>
            <w:left w:val="none" w:sz="0" w:space="0" w:color="auto"/>
            <w:bottom w:val="none" w:sz="0" w:space="0" w:color="auto"/>
            <w:right w:val="none" w:sz="0" w:space="0" w:color="auto"/>
          </w:divBdr>
        </w:div>
        <w:div w:id="1027564380">
          <w:marLeft w:val="547"/>
          <w:marRight w:val="0"/>
          <w:marTop w:val="0"/>
          <w:marBottom w:val="0"/>
          <w:divBdr>
            <w:top w:val="none" w:sz="0" w:space="0" w:color="auto"/>
            <w:left w:val="none" w:sz="0" w:space="0" w:color="auto"/>
            <w:bottom w:val="none" w:sz="0" w:space="0" w:color="auto"/>
            <w:right w:val="none" w:sz="0" w:space="0" w:color="auto"/>
          </w:divBdr>
        </w:div>
      </w:divsChild>
    </w:div>
    <w:div w:id="1744914910">
      <w:bodyDiv w:val="1"/>
      <w:marLeft w:val="0"/>
      <w:marRight w:val="0"/>
      <w:marTop w:val="0"/>
      <w:marBottom w:val="0"/>
      <w:divBdr>
        <w:top w:val="none" w:sz="0" w:space="0" w:color="auto"/>
        <w:left w:val="none" w:sz="0" w:space="0" w:color="auto"/>
        <w:bottom w:val="none" w:sz="0" w:space="0" w:color="auto"/>
        <w:right w:val="none" w:sz="0" w:space="0" w:color="auto"/>
      </w:divBdr>
      <w:divsChild>
        <w:div w:id="1914076205">
          <w:marLeft w:val="0"/>
          <w:marRight w:val="0"/>
          <w:marTop w:val="0"/>
          <w:marBottom w:val="0"/>
          <w:divBdr>
            <w:top w:val="none" w:sz="0" w:space="0" w:color="auto"/>
            <w:left w:val="none" w:sz="0" w:space="0" w:color="auto"/>
            <w:bottom w:val="none" w:sz="0" w:space="0" w:color="auto"/>
            <w:right w:val="none" w:sz="0" w:space="0" w:color="auto"/>
          </w:divBdr>
          <w:divsChild>
            <w:div w:id="384722817">
              <w:marLeft w:val="0"/>
              <w:marRight w:val="0"/>
              <w:marTop w:val="0"/>
              <w:marBottom w:val="0"/>
              <w:divBdr>
                <w:top w:val="none" w:sz="0" w:space="0" w:color="auto"/>
                <w:left w:val="none" w:sz="0" w:space="0" w:color="auto"/>
                <w:bottom w:val="none" w:sz="0" w:space="0" w:color="auto"/>
                <w:right w:val="none" w:sz="0" w:space="0" w:color="auto"/>
              </w:divBdr>
              <w:divsChild>
                <w:div w:id="1786122318">
                  <w:marLeft w:val="0"/>
                  <w:marRight w:val="0"/>
                  <w:marTop w:val="0"/>
                  <w:marBottom w:val="0"/>
                  <w:divBdr>
                    <w:top w:val="none" w:sz="0" w:space="0" w:color="auto"/>
                    <w:left w:val="none" w:sz="0" w:space="0" w:color="auto"/>
                    <w:bottom w:val="none" w:sz="0" w:space="0" w:color="auto"/>
                    <w:right w:val="none" w:sz="0" w:space="0" w:color="auto"/>
                  </w:divBdr>
                  <w:divsChild>
                    <w:div w:id="1980308344">
                      <w:marLeft w:val="0"/>
                      <w:marRight w:val="0"/>
                      <w:marTop w:val="0"/>
                      <w:marBottom w:val="0"/>
                      <w:divBdr>
                        <w:top w:val="none" w:sz="0" w:space="0" w:color="auto"/>
                        <w:left w:val="none" w:sz="0" w:space="0" w:color="auto"/>
                        <w:bottom w:val="none" w:sz="0" w:space="0" w:color="auto"/>
                        <w:right w:val="none" w:sz="0" w:space="0" w:color="auto"/>
                      </w:divBdr>
                      <w:divsChild>
                        <w:div w:id="2058360680">
                          <w:marLeft w:val="0"/>
                          <w:marRight w:val="0"/>
                          <w:marTop w:val="0"/>
                          <w:marBottom w:val="0"/>
                          <w:divBdr>
                            <w:top w:val="none" w:sz="0" w:space="0" w:color="auto"/>
                            <w:left w:val="none" w:sz="0" w:space="0" w:color="auto"/>
                            <w:bottom w:val="none" w:sz="0" w:space="0" w:color="auto"/>
                            <w:right w:val="none" w:sz="0" w:space="0" w:color="auto"/>
                          </w:divBdr>
                          <w:divsChild>
                            <w:div w:id="1116412890">
                              <w:marLeft w:val="0"/>
                              <w:marRight w:val="0"/>
                              <w:marTop w:val="0"/>
                              <w:marBottom w:val="0"/>
                              <w:divBdr>
                                <w:top w:val="none" w:sz="0" w:space="0" w:color="auto"/>
                                <w:left w:val="none" w:sz="0" w:space="0" w:color="auto"/>
                                <w:bottom w:val="none" w:sz="0" w:space="0" w:color="auto"/>
                                <w:right w:val="none" w:sz="0" w:space="0" w:color="auto"/>
                              </w:divBdr>
                              <w:divsChild>
                                <w:div w:id="8740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43751">
      <w:bodyDiv w:val="1"/>
      <w:marLeft w:val="0"/>
      <w:marRight w:val="0"/>
      <w:marTop w:val="0"/>
      <w:marBottom w:val="0"/>
      <w:divBdr>
        <w:top w:val="none" w:sz="0" w:space="0" w:color="auto"/>
        <w:left w:val="none" w:sz="0" w:space="0" w:color="auto"/>
        <w:bottom w:val="none" w:sz="0" w:space="0" w:color="auto"/>
        <w:right w:val="none" w:sz="0" w:space="0" w:color="auto"/>
      </w:divBdr>
      <w:divsChild>
        <w:div w:id="813719281">
          <w:marLeft w:val="0"/>
          <w:marRight w:val="0"/>
          <w:marTop w:val="0"/>
          <w:marBottom w:val="0"/>
          <w:divBdr>
            <w:top w:val="none" w:sz="0" w:space="0" w:color="auto"/>
            <w:left w:val="none" w:sz="0" w:space="0" w:color="auto"/>
            <w:bottom w:val="none" w:sz="0" w:space="0" w:color="auto"/>
            <w:right w:val="none" w:sz="0" w:space="0" w:color="auto"/>
          </w:divBdr>
        </w:div>
      </w:divsChild>
    </w:div>
    <w:div w:id="1925066470">
      <w:bodyDiv w:val="1"/>
      <w:marLeft w:val="0"/>
      <w:marRight w:val="0"/>
      <w:marTop w:val="0"/>
      <w:marBottom w:val="0"/>
      <w:divBdr>
        <w:top w:val="none" w:sz="0" w:space="0" w:color="auto"/>
        <w:left w:val="none" w:sz="0" w:space="0" w:color="auto"/>
        <w:bottom w:val="none" w:sz="0" w:space="0" w:color="auto"/>
        <w:right w:val="none" w:sz="0" w:space="0" w:color="auto"/>
      </w:divBdr>
    </w:div>
    <w:div w:id="1995793891">
      <w:bodyDiv w:val="1"/>
      <w:marLeft w:val="0"/>
      <w:marRight w:val="0"/>
      <w:marTop w:val="0"/>
      <w:marBottom w:val="0"/>
      <w:divBdr>
        <w:top w:val="none" w:sz="0" w:space="0" w:color="auto"/>
        <w:left w:val="none" w:sz="0" w:space="0" w:color="auto"/>
        <w:bottom w:val="none" w:sz="0" w:space="0" w:color="auto"/>
        <w:right w:val="none" w:sz="0" w:space="0" w:color="auto"/>
      </w:divBdr>
      <w:divsChild>
        <w:div w:id="1208108820">
          <w:marLeft w:val="0"/>
          <w:marRight w:val="0"/>
          <w:marTop w:val="0"/>
          <w:marBottom w:val="0"/>
          <w:divBdr>
            <w:top w:val="none" w:sz="0" w:space="0" w:color="auto"/>
            <w:left w:val="none" w:sz="0" w:space="0" w:color="auto"/>
            <w:bottom w:val="none" w:sz="0" w:space="0" w:color="auto"/>
            <w:right w:val="none" w:sz="0" w:space="0" w:color="auto"/>
          </w:divBdr>
          <w:divsChild>
            <w:div w:id="945771424">
              <w:marLeft w:val="0"/>
              <w:marRight w:val="0"/>
              <w:marTop w:val="0"/>
              <w:marBottom w:val="0"/>
              <w:divBdr>
                <w:top w:val="none" w:sz="0" w:space="0" w:color="auto"/>
                <w:left w:val="none" w:sz="0" w:space="0" w:color="auto"/>
                <w:bottom w:val="none" w:sz="0" w:space="0" w:color="auto"/>
                <w:right w:val="none" w:sz="0" w:space="0" w:color="auto"/>
              </w:divBdr>
              <w:divsChild>
                <w:div w:id="531386245">
                  <w:marLeft w:val="0"/>
                  <w:marRight w:val="0"/>
                  <w:marTop w:val="0"/>
                  <w:marBottom w:val="0"/>
                  <w:divBdr>
                    <w:top w:val="none" w:sz="0" w:space="0" w:color="auto"/>
                    <w:left w:val="none" w:sz="0" w:space="0" w:color="auto"/>
                    <w:bottom w:val="none" w:sz="0" w:space="0" w:color="auto"/>
                    <w:right w:val="none" w:sz="0" w:space="0" w:color="auto"/>
                  </w:divBdr>
                  <w:divsChild>
                    <w:div w:id="98063917">
                      <w:marLeft w:val="0"/>
                      <w:marRight w:val="0"/>
                      <w:marTop w:val="0"/>
                      <w:marBottom w:val="0"/>
                      <w:divBdr>
                        <w:top w:val="none" w:sz="0" w:space="0" w:color="auto"/>
                        <w:left w:val="none" w:sz="0" w:space="0" w:color="auto"/>
                        <w:bottom w:val="none" w:sz="0" w:space="0" w:color="auto"/>
                        <w:right w:val="none" w:sz="0" w:space="0" w:color="auto"/>
                      </w:divBdr>
                      <w:divsChild>
                        <w:div w:id="1520853009">
                          <w:marLeft w:val="0"/>
                          <w:marRight w:val="0"/>
                          <w:marTop w:val="0"/>
                          <w:marBottom w:val="0"/>
                          <w:divBdr>
                            <w:top w:val="none" w:sz="0" w:space="0" w:color="auto"/>
                            <w:left w:val="none" w:sz="0" w:space="0" w:color="auto"/>
                            <w:bottom w:val="none" w:sz="0" w:space="0" w:color="auto"/>
                            <w:right w:val="none" w:sz="0" w:space="0" w:color="auto"/>
                          </w:divBdr>
                          <w:divsChild>
                            <w:div w:id="653141524">
                              <w:marLeft w:val="0"/>
                              <w:marRight w:val="0"/>
                              <w:marTop w:val="0"/>
                              <w:marBottom w:val="0"/>
                              <w:divBdr>
                                <w:top w:val="none" w:sz="0" w:space="0" w:color="auto"/>
                                <w:left w:val="none" w:sz="0" w:space="0" w:color="auto"/>
                                <w:bottom w:val="none" w:sz="0" w:space="0" w:color="auto"/>
                                <w:right w:val="none" w:sz="0" w:space="0" w:color="auto"/>
                              </w:divBdr>
                              <w:divsChild>
                                <w:div w:id="122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032837">
      <w:bodyDiv w:val="1"/>
      <w:marLeft w:val="0"/>
      <w:marRight w:val="0"/>
      <w:marTop w:val="0"/>
      <w:marBottom w:val="0"/>
      <w:divBdr>
        <w:top w:val="none" w:sz="0" w:space="0" w:color="auto"/>
        <w:left w:val="none" w:sz="0" w:space="0" w:color="auto"/>
        <w:bottom w:val="none" w:sz="0" w:space="0" w:color="auto"/>
        <w:right w:val="none" w:sz="0" w:space="0" w:color="auto"/>
      </w:divBdr>
      <w:divsChild>
        <w:div w:id="271212661">
          <w:marLeft w:val="0"/>
          <w:marRight w:val="0"/>
          <w:marTop w:val="0"/>
          <w:marBottom w:val="0"/>
          <w:divBdr>
            <w:top w:val="none" w:sz="0" w:space="0" w:color="auto"/>
            <w:left w:val="none" w:sz="0" w:space="0" w:color="auto"/>
            <w:bottom w:val="none" w:sz="0" w:space="0" w:color="auto"/>
            <w:right w:val="none" w:sz="0" w:space="0" w:color="auto"/>
          </w:divBdr>
          <w:divsChild>
            <w:div w:id="148140290">
              <w:marLeft w:val="0"/>
              <w:marRight w:val="0"/>
              <w:marTop w:val="0"/>
              <w:marBottom w:val="0"/>
              <w:divBdr>
                <w:top w:val="none" w:sz="0" w:space="0" w:color="auto"/>
                <w:left w:val="none" w:sz="0" w:space="0" w:color="auto"/>
                <w:bottom w:val="none" w:sz="0" w:space="0" w:color="auto"/>
                <w:right w:val="none" w:sz="0" w:space="0" w:color="auto"/>
              </w:divBdr>
              <w:divsChild>
                <w:div w:id="1389762775">
                  <w:marLeft w:val="0"/>
                  <w:marRight w:val="0"/>
                  <w:marTop w:val="0"/>
                  <w:marBottom w:val="0"/>
                  <w:divBdr>
                    <w:top w:val="none" w:sz="0" w:space="0" w:color="auto"/>
                    <w:left w:val="none" w:sz="0" w:space="0" w:color="auto"/>
                    <w:bottom w:val="none" w:sz="0" w:space="0" w:color="auto"/>
                    <w:right w:val="none" w:sz="0" w:space="0" w:color="auto"/>
                  </w:divBdr>
                  <w:divsChild>
                    <w:div w:id="1995597696">
                      <w:marLeft w:val="0"/>
                      <w:marRight w:val="0"/>
                      <w:marTop w:val="0"/>
                      <w:marBottom w:val="0"/>
                      <w:divBdr>
                        <w:top w:val="none" w:sz="0" w:space="0" w:color="auto"/>
                        <w:left w:val="none" w:sz="0" w:space="0" w:color="auto"/>
                        <w:bottom w:val="none" w:sz="0" w:space="0" w:color="auto"/>
                        <w:right w:val="none" w:sz="0" w:space="0" w:color="auto"/>
                      </w:divBdr>
                      <w:divsChild>
                        <w:div w:id="399059724">
                          <w:marLeft w:val="0"/>
                          <w:marRight w:val="0"/>
                          <w:marTop w:val="0"/>
                          <w:marBottom w:val="0"/>
                          <w:divBdr>
                            <w:top w:val="none" w:sz="0" w:space="0" w:color="auto"/>
                            <w:left w:val="none" w:sz="0" w:space="0" w:color="auto"/>
                            <w:bottom w:val="none" w:sz="0" w:space="0" w:color="auto"/>
                            <w:right w:val="none" w:sz="0" w:space="0" w:color="auto"/>
                          </w:divBdr>
                          <w:divsChild>
                            <w:div w:id="1103063872">
                              <w:marLeft w:val="0"/>
                              <w:marRight w:val="0"/>
                              <w:marTop w:val="0"/>
                              <w:marBottom w:val="0"/>
                              <w:divBdr>
                                <w:top w:val="none" w:sz="0" w:space="0" w:color="auto"/>
                                <w:left w:val="none" w:sz="0" w:space="0" w:color="auto"/>
                                <w:bottom w:val="none" w:sz="0" w:space="0" w:color="auto"/>
                                <w:right w:val="none" w:sz="0" w:space="0" w:color="auto"/>
                              </w:divBdr>
                              <w:divsChild>
                                <w:div w:id="6293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ger.com/Article/FullText/513227?ref=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arger.com/Article/FullText/513227?ref=29" TargetMode="External"/><Relationship Id="rId4" Type="http://schemas.openxmlformats.org/officeDocument/2006/relationships/settings" Target="settings.xml"/><Relationship Id="rId9" Type="http://schemas.openxmlformats.org/officeDocument/2006/relationships/hyperlink" Target="https://www.karger.com/Article/FullText/513227?ref=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147D-7D27-4927-AECE-55D13E75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1338</Words>
  <Characters>7632</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Luzzara, Marco</dc:creator>
  <cp:lastModifiedBy>Richard Pelham</cp:lastModifiedBy>
  <cp:revision>9</cp:revision>
  <cp:lastPrinted>2020-08-31T10:21:00Z</cp:lastPrinted>
  <dcterms:created xsi:type="dcterms:W3CDTF">2020-08-31T15:53:00Z</dcterms:created>
  <dcterms:modified xsi:type="dcterms:W3CDTF">2020-12-14T06:55:00Z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http://www.zotero.org/styles/the-breast</vt:lpwstr>
  </property>
  <property fmtid="{D5CDD505-2E9C-101B-9397-08002B2CF9AE}" pid="21" name="Mendeley Recent Style Name 9_1">
    <vt:lpwstr>The Breast</vt:lpwstr>
  </property>
  <property fmtid="{D5CDD505-2E9C-101B-9397-08002B2CF9AE}" pid="22" name="Mendeley Document_1">
    <vt:lpwstr>True</vt:lpwstr>
  </property>
  <property fmtid="{D5CDD505-2E9C-101B-9397-08002B2CF9AE}" pid="23" name="Mendeley Unique User Id_1">
    <vt:lpwstr>3264647a-cfd3-3312-b0fc-9b769d4ac926</vt:lpwstr>
  </property>
  <property fmtid="{D5CDD505-2E9C-101B-9397-08002B2CF9AE}" pid="24" name="Mendeley Citation Style_1">
    <vt:lpwstr>http://www.zotero.org/styles/the-breast</vt:lpwstr>
  </property>
</Properties>
</file>