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D058" w14:textId="36043E1F" w:rsidR="00C7089E" w:rsidRDefault="00C7089E" w:rsidP="00C7089E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52445507"/>
      <w:r w:rsidRPr="002569E0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31297C" w:rsidRPr="002569E0">
        <w:rPr>
          <w:rFonts w:asciiTheme="majorBidi" w:hAnsiTheme="majorBidi" w:cstheme="majorBidi"/>
          <w:b/>
          <w:bCs/>
          <w:sz w:val="24"/>
          <w:szCs w:val="24"/>
        </w:rPr>
        <w:t>aterials and</w:t>
      </w:r>
      <w:r w:rsidRPr="002569E0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r w:rsidR="0031297C" w:rsidRPr="002569E0">
        <w:rPr>
          <w:rFonts w:asciiTheme="majorBidi" w:hAnsiTheme="majorBidi" w:cstheme="majorBidi"/>
          <w:b/>
          <w:bCs/>
          <w:sz w:val="24"/>
          <w:szCs w:val="24"/>
        </w:rPr>
        <w:t>ethods</w:t>
      </w:r>
    </w:p>
    <w:p w14:paraId="5BD0010E" w14:textId="77777777" w:rsidR="0031297C" w:rsidRPr="002569E0" w:rsidRDefault="0031297C" w:rsidP="00C708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2449A8E" w14:textId="519CD9AC" w:rsidR="00C7089E" w:rsidRPr="0031297C" w:rsidRDefault="00C7089E" w:rsidP="00C7089E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297C">
        <w:rPr>
          <w:rFonts w:ascii="Times New Roman" w:hAnsi="Times New Roman" w:cs="Times New Roman"/>
          <w:i/>
          <w:iCs/>
          <w:sz w:val="24"/>
          <w:szCs w:val="24"/>
        </w:rPr>
        <w:t xml:space="preserve">Study </w:t>
      </w:r>
      <w:r w:rsidR="0031297C" w:rsidRPr="0031297C">
        <w:rPr>
          <w:rFonts w:ascii="Times New Roman" w:hAnsi="Times New Roman" w:cs="Times New Roman"/>
          <w:i/>
          <w:iCs/>
          <w:sz w:val="24"/>
          <w:szCs w:val="24"/>
        </w:rPr>
        <w:t xml:space="preserve">Design </w:t>
      </w:r>
      <w:r w:rsidRPr="0031297C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31297C" w:rsidRPr="0031297C">
        <w:rPr>
          <w:rFonts w:ascii="Times New Roman" w:hAnsi="Times New Roman" w:cs="Times New Roman"/>
          <w:i/>
          <w:iCs/>
          <w:sz w:val="24"/>
          <w:szCs w:val="24"/>
        </w:rPr>
        <w:t>Patients</w:t>
      </w:r>
    </w:p>
    <w:p w14:paraId="4CEA307F" w14:textId="300B7236" w:rsidR="00C7089E" w:rsidRPr="002569E0" w:rsidRDefault="00C7089E" w:rsidP="00C708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9E0">
        <w:rPr>
          <w:rFonts w:ascii="Times New Roman" w:hAnsi="Times New Roman" w:cs="Times New Roman"/>
          <w:sz w:val="24"/>
          <w:szCs w:val="24"/>
        </w:rPr>
        <w:t xml:space="preserve">The study was designed as a single-center, prospective, randomized, double-blind, placebo-controlled trial, conducted between December 2011 and January 2017. The trial included cancer patients (all tumor types) ≥18 years, attending the outpatient clinic at the </w:t>
      </w:r>
      <w:r w:rsidR="0031297C" w:rsidRPr="002569E0">
        <w:rPr>
          <w:rFonts w:ascii="Times New Roman" w:hAnsi="Times New Roman" w:cs="Times New Roman"/>
          <w:sz w:val="24"/>
          <w:szCs w:val="24"/>
        </w:rPr>
        <w:t xml:space="preserve">Institute </w:t>
      </w:r>
      <w:r w:rsidRPr="002569E0">
        <w:rPr>
          <w:rFonts w:ascii="Times New Roman" w:hAnsi="Times New Roman" w:cs="Times New Roman"/>
          <w:sz w:val="24"/>
          <w:szCs w:val="24"/>
        </w:rPr>
        <w:t>of Oncology of Davidoff Cancer Center, who were planned to initiate EGFRI</w:t>
      </w:r>
      <w:r w:rsidR="0031297C">
        <w:rPr>
          <w:rFonts w:ascii="Times New Roman" w:hAnsi="Times New Roman" w:cs="Times New Roman"/>
          <w:sz w:val="24"/>
          <w:szCs w:val="24"/>
        </w:rPr>
        <w:t xml:space="preserve"> </w:t>
      </w:r>
      <w:r w:rsidRPr="002569E0">
        <w:rPr>
          <w:rFonts w:ascii="Times New Roman" w:hAnsi="Times New Roman" w:cs="Times New Roman"/>
          <w:sz w:val="24"/>
          <w:szCs w:val="24"/>
        </w:rPr>
        <w:t>treatment (cetuximab, panitumumab, erlotinib, or gefitinib), with/without concomitant chemotherapy. Exclusion criteria included a known hypersensitivity to any of the investigated agents, prior use of topical (facial) or systemic antibiotic or anti-inflammatory drug</w:t>
      </w:r>
      <w:r w:rsidR="0031297C">
        <w:rPr>
          <w:rFonts w:ascii="Times New Roman" w:hAnsi="Times New Roman" w:cs="Times New Roman"/>
          <w:sz w:val="24"/>
          <w:szCs w:val="24"/>
        </w:rPr>
        <w:t>s</w:t>
      </w:r>
      <w:r w:rsidRPr="002569E0">
        <w:rPr>
          <w:rFonts w:ascii="Times New Roman" w:hAnsi="Times New Roman" w:cs="Times New Roman"/>
          <w:sz w:val="24"/>
          <w:szCs w:val="24"/>
        </w:rPr>
        <w:t xml:space="preserve"> during the 2 weeks prior to study initiation, and a skin rash 2 weeks prior to or at randomization. </w:t>
      </w:r>
    </w:p>
    <w:p w14:paraId="4F535C2A" w14:textId="42293D43" w:rsidR="00C7089E" w:rsidRPr="002569E0" w:rsidRDefault="00C7089E" w:rsidP="00C708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69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Informed consent was obtained from all participants.</w:t>
      </w:r>
      <w:r w:rsidRPr="002569E0">
        <w:rPr>
          <w:rFonts w:ascii="Times New Roman" w:hAnsi="Times New Roman" w:cs="Times New Roman"/>
          <w:sz w:val="24"/>
          <w:szCs w:val="24"/>
        </w:rPr>
        <w:t xml:space="preserve"> The study was approved by the institutional review board at Rabin Medical Center and was registered at ClinicalTrials.gov (study identifier: NCT01256437).</w:t>
      </w:r>
    </w:p>
    <w:p w14:paraId="4C03A3E7" w14:textId="77777777" w:rsidR="00C7089E" w:rsidRPr="002569E0" w:rsidRDefault="00C7089E" w:rsidP="00C708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B3BD4B" w14:textId="77777777" w:rsidR="00C7089E" w:rsidRPr="0031297C" w:rsidRDefault="00C7089E" w:rsidP="00C7089E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297C">
        <w:rPr>
          <w:rFonts w:ascii="Times New Roman" w:hAnsi="Times New Roman" w:cs="Times New Roman"/>
          <w:i/>
          <w:iCs/>
          <w:sz w:val="24"/>
          <w:szCs w:val="24"/>
        </w:rPr>
        <w:t>Treatment</w:t>
      </w:r>
    </w:p>
    <w:p w14:paraId="0471C110" w14:textId="2B0CE113" w:rsidR="00C7089E" w:rsidRPr="002569E0" w:rsidRDefault="00C7089E" w:rsidP="00C7089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9E0">
        <w:rPr>
          <w:rFonts w:ascii="Times New Roman" w:hAnsi="Times New Roman" w:cs="Times New Roman"/>
          <w:sz w:val="24"/>
          <w:szCs w:val="24"/>
        </w:rPr>
        <w:t>Eligible patients were randomized in a 1:1:1 ratio</w:t>
      </w:r>
      <w:r w:rsidRPr="002569E0">
        <w:rPr>
          <w:rFonts w:ascii="Times New Roman" w:eastAsiaTheme="minorHAnsi" w:hAnsi="Times New Roman" w:cs="Times New Roman"/>
          <w:sz w:val="24"/>
          <w:szCs w:val="24"/>
        </w:rPr>
        <w:t xml:space="preserve">. Randomization was computerized </w:t>
      </w:r>
      <w:r w:rsidRPr="002569E0">
        <w:rPr>
          <w:rFonts w:ascii="Times New Roman" w:hAnsi="Times New Roman" w:cs="Times New Roman"/>
          <w:sz w:val="24"/>
          <w:szCs w:val="24"/>
        </w:rPr>
        <w:t xml:space="preserve">to receive topical treatment with either CHL 3% + PRED 0.5% </w:t>
      </w:r>
      <w:r w:rsidR="0031297C" w:rsidRPr="002569E0">
        <w:rPr>
          <w:rFonts w:ascii="Times New Roman" w:hAnsi="Times New Roman" w:cs="Times New Roman"/>
          <w:sz w:val="24"/>
          <w:szCs w:val="24"/>
        </w:rPr>
        <w:t xml:space="preserve">ointment </w:t>
      </w:r>
      <w:r w:rsidRPr="002569E0">
        <w:rPr>
          <w:rFonts w:ascii="Times New Roman" w:hAnsi="Times New Roman" w:cs="Times New Roman"/>
          <w:sz w:val="24"/>
          <w:szCs w:val="24"/>
        </w:rPr>
        <w:t xml:space="preserve">(lot: 2001-09-45/2), CHL 3% </w:t>
      </w:r>
      <w:r w:rsidR="0031297C" w:rsidRPr="002569E0">
        <w:rPr>
          <w:rFonts w:ascii="Times New Roman" w:hAnsi="Times New Roman" w:cs="Times New Roman"/>
          <w:sz w:val="24"/>
          <w:szCs w:val="24"/>
        </w:rPr>
        <w:t xml:space="preserve">ointment </w:t>
      </w:r>
      <w:r w:rsidRPr="002569E0">
        <w:rPr>
          <w:rFonts w:ascii="Times New Roman" w:hAnsi="Times New Roman" w:cs="Times New Roman"/>
          <w:sz w:val="24"/>
          <w:szCs w:val="24"/>
        </w:rPr>
        <w:t>(lot: 2001-09-45/3), or aqua cream (AQUA</w:t>
      </w:r>
      <w:r w:rsidR="0031297C">
        <w:rPr>
          <w:rFonts w:ascii="Times New Roman" w:hAnsi="Times New Roman" w:cs="Times New Roman"/>
          <w:sz w:val="24"/>
          <w:szCs w:val="24"/>
        </w:rPr>
        <w:t>;</w:t>
      </w:r>
      <w:r w:rsidRPr="002569E0">
        <w:rPr>
          <w:rFonts w:ascii="Times New Roman" w:hAnsi="Times New Roman" w:cs="Times New Roman"/>
          <w:sz w:val="24"/>
          <w:szCs w:val="24"/>
        </w:rPr>
        <w:t xml:space="preserve"> lot: 2001-09-45/4), all provided by Super-Pharm Professional-compounding pharmacy (Fig. 1).</w:t>
      </w:r>
      <w:r w:rsidRPr="002569E0">
        <w:rPr>
          <w:rFonts w:ascii="Times New Roman" w:hAnsi="Times New Roman" w:cs="Times New Roman"/>
          <w:sz w:val="24"/>
          <w:szCs w:val="24"/>
        </w:rPr>
        <w:br/>
        <w:t>All tubes containing topical treatments were similar, marked only with a study number code, and given to eligible patients prophylactically by a dermatologist (I</w:t>
      </w:r>
      <w:r w:rsidR="0031297C">
        <w:rPr>
          <w:rFonts w:ascii="Times New Roman" w:hAnsi="Times New Roman" w:cs="Times New Roman"/>
          <w:sz w:val="24"/>
          <w:szCs w:val="24"/>
        </w:rPr>
        <w:t>.</w:t>
      </w:r>
      <w:r w:rsidRPr="002569E0">
        <w:rPr>
          <w:rFonts w:ascii="Times New Roman" w:hAnsi="Times New Roman" w:cs="Times New Roman"/>
          <w:sz w:val="24"/>
          <w:szCs w:val="24"/>
        </w:rPr>
        <w:t>A</w:t>
      </w:r>
      <w:r w:rsidR="0031297C">
        <w:rPr>
          <w:rFonts w:ascii="Times New Roman" w:hAnsi="Times New Roman" w:cs="Times New Roman"/>
          <w:sz w:val="24"/>
          <w:szCs w:val="24"/>
        </w:rPr>
        <w:t>.</w:t>
      </w:r>
      <w:r w:rsidR="00A71181">
        <w:rPr>
          <w:rFonts w:ascii="Times New Roman" w:hAnsi="Times New Roman" w:cs="Times New Roman"/>
          <w:sz w:val="24"/>
          <w:szCs w:val="24"/>
        </w:rPr>
        <w:t>-</w:t>
      </w:r>
      <w:r w:rsidRPr="002569E0">
        <w:rPr>
          <w:rFonts w:ascii="Times New Roman" w:hAnsi="Times New Roman" w:cs="Times New Roman"/>
          <w:sz w:val="24"/>
          <w:szCs w:val="24"/>
        </w:rPr>
        <w:t>L</w:t>
      </w:r>
      <w:r w:rsidR="0031297C">
        <w:rPr>
          <w:rFonts w:ascii="Times New Roman" w:hAnsi="Times New Roman" w:cs="Times New Roman"/>
          <w:sz w:val="24"/>
          <w:szCs w:val="24"/>
        </w:rPr>
        <w:t>.</w:t>
      </w:r>
      <w:r w:rsidRPr="002569E0">
        <w:rPr>
          <w:rFonts w:ascii="Times New Roman" w:hAnsi="Times New Roman" w:cs="Times New Roman"/>
          <w:sz w:val="24"/>
          <w:szCs w:val="24"/>
        </w:rPr>
        <w:t xml:space="preserve"> or H</w:t>
      </w:r>
      <w:r w:rsidR="0031297C">
        <w:rPr>
          <w:rFonts w:ascii="Times New Roman" w:hAnsi="Times New Roman" w:cs="Times New Roman"/>
          <w:sz w:val="24"/>
          <w:szCs w:val="24"/>
        </w:rPr>
        <w:t>.</w:t>
      </w:r>
      <w:r w:rsidRPr="002569E0">
        <w:rPr>
          <w:rFonts w:ascii="Times New Roman" w:hAnsi="Times New Roman" w:cs="Times New Roman"/>
          <w:sz w:val="24"/>
          <w:szCs w:val="24"/>
        </w:rPr>
        <w:t>P</w:t>
      </w:r>
      <w:r w:rsidR="0031297C">
        <w:rPr>
          <w:rFonts w:ascii="Times New Roman" w:hAnsi="Times New Roman" w:cs="Times New Roman"/>
          <w:sz w:val="24"/>
          <w:szCs w:val="24"/>
        </w:rPr>
        <w:t>.</w:t>
      </w:r>
      <w:r w:rsidR="00A71181">
        <w:rPr>
          <w:rFonts w:ascii="Times New Roman" w:hAnsi="Times New Roman" w:cs="Times New Roman"/>
          <w:sz w:val="24"/>
          <w:szCs w:val="24"/>
        </w:rPr>
        <w:t>-</w:t>
      </w:r>
      <w:r w:rsidRPr="002569E0">
        <w:rPr>
          <w:rFonts w:ascii="Times New Roman" w:hAnsi="Times New Roman" w:cs="Times New Roman"/>
          <w:sz w:val="24"/>
          <w:szCs w:val="24"/>
        </w:rPr>
        <w:t>N</w:t>
      </w:r>
      <w:r w:rsidR="0031297C">
        <w:rPr>
          <w:rFonts w:ascii="Times New Roman" w:hAnsi="Times New Roman" w:cs="Times New Roman"/>
          <w:sz w:val="24"/>
          <w:szCs w:val="24"/>
        </w:rPr>
        <w:t>.</w:t>
      </w:r>
      <w:r w:rsidRPr="002569E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083BFC" w14:textId="3C706D98" w:rsidR="00C7089E" w:rsidRPr="002569E0" w:rsidRDefault="00C7089E" w:rsidP="00C7089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569E0">
        <w:rPr>
          <w:rFonts w:ascii="Times New Roman" w:hAnsi="Times New Roman" w:cs="Times New Roman"/>
          <w:sz w:val="24"/>
          <w:szCs w:val="24"/>
        </w:rPr>
        <w:t xml:space="preserve">For all patients, the topical treatment and the EGFRI treatment were initiated </w:t>
      </w:r>
      <w:r w:rsidR="0031297C">
        <w:rPr>
          <w:rFonts w:ascii="Times New Roman" w:hAnsi="Times New Roman" w:cs="Times New Roman"/>
          <w:sz w:val="24"/>
          <w:szCs w:val="24"/>
        </w:rPr>
        <w:t>on</w:t>
      </w:r>
      <w:r w:rsidRPr="002569E0">
        <w:rPr>
          <w:rFonts w:ascii="Times New Roman" w:hAnsi="Times New Roman" w:cs="Times New Roman"/>
          <w:sz w:val="24"/>
          <w:szCs w:val="24"/>
        </w:rPr>
        <w:t xml:space="preserve"> the same day (day 0). Patients were instructed to apply a thin layer of the assigned topical treatment to their face once daily for 3 weeks and every other day thereafter to complete a total overall </w:t>
      </w:r>
      <w:r w:rsidRPr="002569E0">
        <w:rPr>
          <w:rFonts w:ascii="Times New Roman" w:hAnsi="Times New Roman" w:cs="Times New Roman"/>
          <w:sz w:val="24"/>
          <w:szCs w:val="24"/>
        </w:rPr>
        <w:lastRenderedPageBreak/>
        <w:t>treatment of 30 days. Patients were instructed to avoid all other topical applications except for a potent sunscreen when outdoors</w:t>
      </w:r>
      <w:r w:rsidRPr="002569E0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5F1FCBA" w14:textId="6BE5827D" w:rsidR="00C7089E" w:rsidRPr="002569E0" w:rsidRDefault="00C7089E" w:rsidP="00C7089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 w:rsidRPr="002569E0">
        <w:rPr>
          <w:rFonts w:ascii="Times New Roman" w:eastAsiaTheme="minorHAnsi" w:hAnsi="Times New Roman" w:cs="Times New Roman"/>
          <w:sz w:val="24"/>
          <w:szCs w:val="24"/>
        </w:rPr>
        <w:t xml:space="preserve">Cultures from intranasal sites for </w:t>
      </w:r>
      <w:r w:rsidR="0031297C" w:rsidRPr="002569E0">
        <w:rPr>
          <w:rFonts w:ascii="Times New Roman" w:eastAsiaTheme="minorHAnsi" w:hAnsi="Times New Roman" w:cs="Times New Roman"/>
          <w:i/>
          <w:iCs/>
          <w:sz w:val="24"/>
          <w:szCs w:val="24"/>
        </w:rPr>
        <w:t>S</w:t>
      </w:r>
      <w:r w:rsidRPr="002569E0">
        <w:rPr>
          <w:rFonts w:ascii="Times New Roman" w:eastAsiaTheme="minorHAnsi" w:hAnsi="Times New Roman" w:cs="Times New Roman"/>
          <w:i/>
          <w:iCs/>
          <w:sz w:val="24"/>
          <w:szCs w:val="24"/>
        </w:rPr>
        <w:t>.</w:t>
      </w:r>
      <w:r w:rsidR="0031297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2569E0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aureus </w:t>
      </w:r>
      <w:r w:rsidRPr="002569E0">
        <w:rPr>
          <w:rFonts w:ascii="Times New Roman" w:eastAsiaTheme="minorHAnsi" w:hAnsi="Times New Roman" w:cs="Times New Roman"/>
          <w:sz w:val="24"/>
          <w:szCs w:val="24"/>
        </w:rPr>
        <w:t>colonization were randomly obtained on day 0, from 28 patients, by placing a cotton bud swab in the anterior nares, applying gentle pressure, and rotating the swab.</w:t>
      </w:r>
    </w:p>
    <w:p w14:paraId="4F793EAA" w14:textId="77777777" w:rsidR="00C7089E" w:rsidRPr="002569E0" w:rsidRDefault="00C7089E" w:rsidP="00C7089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5EA74" w14:textId="77777777" w:rsidR="00C7089E" w:rsidRPr="0031297C" w:rsidRDefault="00C7089E" w:rsidP="00C7089E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297C">
        <w:rPr>
          <w:rFonts w:ascii="Times New Roman" w:hAnsi="Times New Roman" w:cs="Times New Roman"/>
          <w:i/>
          <w:iCs/>
          <w:sz w:val="24"/>
          <w:szCs w:val="24"/>
        </w:rPr>
        <w:t xml:space="preserve">Evaluation </w:t>
      </w:r>
    </w:p>
    <w:p w14:paraId="55E05728" w14:textId="70F8CF69" w:rsidR="00C7089E" w:rsidRPr="002569E0" w:rsidRDefault="00C7089E" w:rsidP="00C7089E">
      <w:pPr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2569E0">
        <w:rPr>
          <w:rFonts w:ascii="Times New Roman" w:hAnsi="Times New Roman" w:cs="Times New Roman"/>
          <w:sz w:val="24"/>
          <w:szCs w:val="24"/>
        </w:rPr>
        <w:t>Baseline clinical evaluation (day 0) consisted of taking medical history including medication list and history of drug reactions, skin examination by an expert dermatologist (I</w:t>
      </w:r>
      <w:r w:rsidR="0031297C">
        <w:rPr>
          <w:rFonts w:ascii="Times New Roman" w:hAnsi="Times New Roman" w:cs="Times New Roman"/>
          <w:sz w:val="24"/>
          <w:szCs w:val="24"/>
        </w:rPr>
        <w:t>.</w:t>
      </w:r>
      <w:r w:rsidRPr="002569E0">
        <w:rPr>
          <w:rFonts w:ascii="Times New Roman" w:hAnsi="Times New Roman" w:cs="Times New Roman"/>
          <w:sz w:val="24"/>
          <w:szCs w:val="24"/>
        </w:rPr>
        <w:t>A</w:t>
      </w:r>
      <w:r w:rsidR="0031297C">
        <w:rPr>
          <w:rFonts w:ascii="Times New Roman" w:hAnsi="Times New Roman" w:cs="Times New Roman"/>
          <w:sz w:val="24"/>
          <w:szCs w:val="24"/>
        </w:rPr>
        <w:t>.</w:t>
      </w:r>
      <w:r w:rsidR="00A71181">
        <w:rPr>
          <w:rFonts w:ascii="Times New Roman" w:hAnsi="Times New Roman" w:cs="Times New Roman"/>
          <w:sz w:val="24"/>
          <w:szCs w:val="24"/>
        </w:rPr>
        <w:t>-</w:t>
      </w:r>
      <w:r w:rsidRPr="002569E0">
        <w:rPr>
          <w:rFonts w:ascii="Times New Roman" w:hAnsi="Times New Roman" w:cs="Times New Roman"/>
          <w:sz w:val="24"/>
          <w:szCs w:val="24"/>
        </w:rPr>
        <w:t>L</w:t>
      </w:r>
      <w:r w:rsidR="0031297C">
        <w:rPr>
          <w:rFonts w:ascii="Times New Roman" w:hAnsi="Times New Roman" w:cs="Times New Roman"/>
          <w:sz w:val="24"/>
          <w:szCs w:val="24"/>
        </w:rPr>
        <w:t>.</w:t>
      </w:r>
      <w:r w:rsidRPr="002569E0">
        <w:rPr>
          <w:rFonts w:ascii="Times New Roman" w:hAnsi="Times New Roman" w:cs="Times New Roman"/>
          <w:sz w:val="24"/>
          <w:szCs w:val="24"/>
        </w:rPr>
        <w:t xml:space="preserve"> or H</w:t>
      </w:r>
      <w:r w:rsidR="0031297C">
        <w:rPr>
          <w:rFonts w:ascii="Times New Roman" w:hAnsi="Times New Roman" w:cs="Times New Roman"/>
          <w:sz w:val="24"/>
          <w:szCs w:val="24"/>
        </w:rPr>
        <w:t>.</w:t>
      </w:r>
      <w:r w:rsidRPr="002569E0">
        <w:rPr>
          <w:rFonts w:ascii="Times New Roman" w:hAnsi="Times New Roman" w:cs="Times New Roman"/>
          <w:sz w:val="24"/>
          <w:szCs w:val="24"/>
        </w:rPr>
        <w:t>P</w:t>
      </w:r>
      <w:r w:rsidR="0031297C">
        <w:rPr>
          <w:rFonts w:ascii="Times New Roman" w:hAnsi="Times New Roman" w:cs="Times New Roman"/>
          <w:sz w:val="24"/>
          <w:szCs w:val="24"/>
        </w:rPr>
        <w:t>.</w:t>
      </w:r>
      <w:r w:rsidR="00A71181">
        <w:rPr>
          <w:rFonts w:ascii="Times New Roman" w:hAnsi="Times New Roman" w:cs="Times New Roman"/>
          <w:sz w:val="24"/>
          <w:szCs w:val="24"/>
        </w:rPr>
        <w:t>-</w:t>
      </w:r>
      <w:r w:rsidRPr="002569E0">
        <w:rPr>
          <w:rFonts w:ascii="Times New Roman" w:hAnsi="Times New Roman" w:cs="Times New Roman"/>
          <w:sz w:val="24"/>
          <w:szCs w:val="24"/>
        </w:rPr>
        <w:t>N</w:t>
      </w:r>
      <w:r w:rsidR="0031297C">
        <w:rPr>
          <w:rFonts w:ascii="Times New Roman" w:hAnsi="Times New Roman" w:cs="Times New Roman"/>
          <w:sz w:val="24"/>
          <w:szCs w:val="24"/>
        </w:rPr>
        <w:t>.</w:t>
      </w:r>
      <w:r w:rsidRPr="002569E0">
        <w:rPr>
          <w:rFonts w:ascii="Times New Roman" w:hAnsi="Times New Roman" w:cs="Times New Roman"/>
          <w:sz w:val="24"/>
          <w:szCs w:val="24"/>
        </w:rPr>
        <w:t xml:space="preserve">), and </w:t>
      </w:r>
      <w:r w:rsidRPr="002569E0">
        <w:rPr>
          <w:rFonts w:asciiTheme="majorBidi" w:hAnsiTheme="majorBidi" w:cstheme="majorBidi"/>
          <w:sz w:val="24"/>
          <w:szCs w:val="24"/>
        </w:rPr>
        <w:t xml:space="preserve">standardized digital photography of the face. Follow-up evaluations, including skin examination (±digital photography of the face, utilizing the same standard poses as </w:t>
      </w:r>
      <w:r w:rsidR="0031297C">
        <w:rPr>
          <w:rFonts w:asciiTheme="majorBidi" w:hAnsiTheme="majorBidi" w:cstheme="majorBidi"/>
          <w:sz w:val="24"/>
          <w:szCs w:val="24"/>
        </w:rPr>
        <w:t xml:space="preserve">at </w:t>
      </w:r>
      <w:r w:rsidRPr="002569E0">
        <w:rPr>
          <w:rFonts w:asciiTheme="majorBidi" w:hAnsiTheme="majorBidi" w:cstheme="majorBidi"/>
          <w:sz w:val="24"/>
          <w:szCs w:val="24"/>
        </w:rPr>
        <w:t xml:space="preserve">baseline), were performed </w:t>
      </w:r>
      <w:r w:rsidR="0031297C">
        <w:rPr>
          <w:rFonts w:asciiTheme="majorBidi" w:hAnsiTheme="majorBidi" w:cstheme="majorBidi"/>
          <w:sz w:val="24"/>
          <w:szCs w:val="24"/>
        </w:rPr>
        <w:t>on</w:t>
      </w:r>
      <w:r w:rsidRPr="002569E0">
        <w:rPr>
          <w:rFonts w:asciiTheme="majorBidi" w:hAnsiTheme="majorBidi" w:cstheme="majorBidi"/>
          <w:sz w:val="24"/>
          <w:szCs w:val="24"/>
        </w:rPr>
        <w:t xml:space="preserve"> day</w:t>
      </w:r>
      <w:r w:rsidR="0031297C">
        <w:rPr>
          <w:rFonts w:asciiTheme="majorBidi" w:hAnsiTheme="majorBidi" w:cstheme="majorBidi"/>
          <w:sz w:val="24"/>
          <w:szCs w:val="24"/>
        </w:rPr>
        <w:t>s</w:t>
      </w:r>
      <w:r w:rsidRPr="002569E0">
        <w:rPr>
          <w:rFonts w:asciiTheme="majorBidi" w:hAnsiTheme="majorBidi" w:cstheme="majorBidi"/>
          <w:sz w:val="24"/>
          <w:szCs w:val="24"/>
        </w:rPr>
        <w:t xml:space="preserve"> 14 and 30 from study initiation. </w:t>
      </w:r>
    </w:p>
    <w:p w14:paraId="1A7C6C7B" w14:textId="0BEDEE89" w:rsidR="00C7089E" w:rsidRPr="002569E0" w:rsidRDefault="00C7089E" w:rsidP="00C7089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569E0">
        <w:rPr>
          <w:rFonts w:asciiTheme="majorBidi" w:hAnsiTheme="majorBidi" w:cstheme="majorBidi"/>
          <w:sz w:val="24"/>
          <w:szCs w:val="24"/>
        </w:rPr>
        <w:t>Rash severity was assessed by using the CTCAE v</w:t>
      </w:r>
      <w:r w:rsidR="0031297C">
        <w:rPr>
          <w:rFonts w:asciiTheme="majorBidi" w:hAnsiTheme="majorBidi" w:cstheme="majorBidi"/>
          <w:sz w:val="24"/>
          <w:szCs w:val="24"/>
        </w:rPr>
        <w:t xml:space="preserve">ersion </w:t>
      </w:r>
      <w:r w:rsidRPr="002569E0">
        <w:rPr>
          <w:rFonts w:asciiTheme="majorBidi" w:hAnsiTheme="majorBidi" w:cstheme="majorBidi"/>
          <w:sz w:val="24"/>
          <w:szCs w:val="24"/>
        </w:rPr>
        <w:t>4.03 and by approximating the number of papulopustular lesions (NOL) in the face (conducted by I</w:t>
      </w:r>
      <w:r w:rsidR="0031297C">
        <w:rPr>
          <w:rFonts w:asciiTheme="majorBidi" w:hAnsiTheme="majorBidi" w:cstheme="majorBidi"/>
          <w:sz w:val="24"/>
          <w:szCs w:val="24"/>
        </w:rPr>
        <w:t>.</w:t>
      </w:r>
      <w:r w:rsidRPr="002569E0">
        <w:rPr>
          <w:rFonts w:asciiTheme="majorBidi" w:hAnsiTheme="majorBidi" w:cstheme="majorBidi"/>
          <w:sz w:val="24"/>
          <w:szCs w:val="24"/>
        </w:rPr>
        <w:t>A</w:t>
      </w:r>
      <w:r w:rsidR="0031297C">
        <w:rPr>
          <w:rFonts w:asciiTheme="majorBidi" w:hAnsiTheme="majorBidi" w:cstheme="majorBidi"/>
          <w:sz w:val="24"/>
          <w:szCs w:val="24"/>
        </w:rPr>
        <w:t>.</w:t>
      </w:r>
      <w:r w:rsidR="00A71181">
        <w:rPr>
          <w:rFonts w:asciiTheme="majorBidi" w:hAnsiTheme="majorBidi" w:cstheme="majorBidi"/>
          <w:sz w:val="24"/>
          <w:szCs w:val="24"/>
        </w:rPr>
        <w:t>-</w:t>
      </w:r>
      <w:r w:rsidRPr="002569E0">
        <w:rPr>
          <w:rFonts w:asciiTheme="majorBidi" w:hAnsiTheme="majorBidi" w:cstheme="majorBidi"/>
          <w:sz w:val="24"/>
          <w:szCs w:val="24"/>
        </w:rPr>
        <w:t>L</w:t>
      </w:r>
      <w:r w:rsidR="0031297C">
        <w:rPr>
          <w:rFonts w:asciiTheme="majorBidi" w:hAnsiTheme="majorBidi" w:cstheme="majorBidi"/>
          <w:sz w:val="24"/>
          <w:szCs w:val="24"/>
        </w:rPr>
        <w:t>.</w:t>
      </w:r>
      <w:r w:rsidRPr="002569E0">
        <w:rPr>
          <w:rFonts w:asciiTheme="majorBidi" w:hAnsiTheme="majorBidi" w:cstheme="majorBidi"/>
          <w:sz w:val="24"/>
          <w:szCs w:val="24"/>
        </w:rPr>
        <w:t xml:space="preserve"> or H</w:t>
      </w:r>
      <w:r w:rsidR="0031297C">
        <w:rPr>
          <w:rFonts w:asciiTheme="majorBidi" w:hAnsiTheme="majorBidi" w:cstheme="majorBidi"/>
          <w:sz w:val="24"/>
          <w:szCs w:val="24"/>
        </w:rPr>
        <w:t>.</w:t>
      </w:r>
      <w:r w:rsidRPr="002569E0">
        <w:rPr>
          <w:rFonts w:asciiTheme="majorBidi" w:hAnsiTheme="majorBidi" w:cstheme="majorBidi"/>
          <w:sz w:val="24"/>
          <w:szCs w:val="24"/>
        </w:rPr>
        <w:t>P</w:t>
      </w:r>
      <w:r w:rsidR="0031297C">
        <w:rPr>
          <w:rFonts w:asciiTheme="majorBidi" w:hAnsiTheme="majorBidi" w:cstheme="majorBidi"/>
          <w:sz w:val="24"/>
          <w:szCs w:val="24"/>
        </w:rPr>
        <w:t>.</w:t>
      </w:r>
      <w:r w:rsidR="00A71181">
        <w:rPr>
          <w:rFonts w:asciiTheme="majorBidi" w:hAnsiTheme="majorBidi" w:cstheme="majorBidi"/>
          <w:sz w:val="24"/>
          <w:szCs w:val="24"/>
        </w:rPr>
        <w:t>-</w:t>
      </w:r>
      <w:r w:rsidRPr="002569E0">
        <w:rPr>
          <w:rFonts w:asciiTheme="majorBidi" w:hAnsiTheme="majorBidi" w:cstheme="majorBidi"/>
          <w:sz w:val="24"/>
          <w:szCs w:val="24"/>
        </w:rPr>
        <w:t>N</w:t>
      </w:r>
      <w:r w:rsidR="0031297C">
        <w:rPr>
          <w:rFonts w:asciiTheme="majorBidi" w:hAnsiTheme="majorBidi" w:cstheme="majorBidi"/>
          <w:sz w:val="24"/>
          <w:szCs w:val="24"/>
        </w:rPr>
        <w:t>.</w:t>
      </w:r>
      <w:r w:rsidRPr="002569E0">
        <w:rPr>
          <w:rFonts w:asciiTheme="majorBidi" w:hAnsiTheme="majorBidi" w:cstheme="majorBidi"/>
          <w:sz w:val="24"/>
          <w:szCs w:val="24"/>
        </w:rPr>
        <w:t xml:space="preserve">). As papulopustular rash of the face always involves less than 10% of the </w:t>
      </w:r>
      <w:r w:rsidRPr="002569E0">
        <w:rPr>
          <w:rFonts w:asciiTheme="majorBidi" w:hAnsiTheme="majorBidi" w:cstheme="majorBidi"/>
          <w:color w:val="000000"/>
          <w:sz w:val="24"/>
          <w:szCs w:val="24"/>
        </w:rPr>
        <w:t xml:space="preserve">body surface area, </w:t>
      </w:r>
      <w:r w:rsidRPr="002569E0">
        <w:rPr>
          <w:rFonts w:asciiTheme="majorBidi" w:hAnsiTheme="majorBidi" w:cstheme="majorBidi"/>
          <w:sz w:val="24"/>
          <w:szCs w:val="24"/>
        </w:rPr>
        <w:t>CTCAE grading was used as follows: grade 1</w:t>
      </w:r>
      <w:r w:rsidR="0031297C">
        <w:rPr>
          <w:rFonts w:asciiTheme="majorBidi" w:hAnsiTheme="majorBidi" w:cstheme="majorBidi"/>
          <w:sz w:val="24"/>
          <w:szCs w:val="24"/>
        </w:rPr>
        <w:t xml:space="preserve"> =</w:t>
      </w:r>
      <w:r w:rsidRPr="002569E0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eastAsiaTheme="minorHAnsi" w:hAnsiTheme="majorBidi" w:cstheme="majorBidi"/>
          <w:sz w:val="24"/>
          <w:szCs w:val="24"/>
        </w:rPr>
        <w:t xml:space="preserve">mild </w:t>
      </w:r>
      <w:proofErr w:type="spellStart"/>
      <w:r w:rsidRPr="002569E0">
        <w:rPr>
          <w:rFonts w:asciiTheme="majorBidi" w:eastAsiaTheme="minorHAnsi" w:hAnsiTheme="majorBidi" w:cstheme="majorBidi"/>
          <w:sz w:val="24"/>
          <w:szCs w:val="24"/>
        </w:rPr>
        <w:t>papular</w:t>
      </w:r>
      <w:proofErr w:type="spellEnd"/>
      <w:r w:rsidRPr="002569E0">
        <w:rPr>
          <w:rFonts w:asciiTheme="majorBidi" w:eastAsiaTheme="minorHAnsi" w:hAnsiTheme="majorBidi" w:cstheme="majorBidi"/>
          <w:sz w:val="24"/>
          <w:szCs w:val="24"/>
        </w:rPr>
        <w:t xml:space="preserve"> and/or pustular rash, which may or may not be associated with symptoms of pruritus/tenderness</w:t>
      </w:r>
      <w:r w:rsidR="0031297C">
        <w:rPr>
          <w:rFonts w:asciiTheme="majorBidi" w:eastAsiaTheme="minorHAnsi" w:hAnsiTheme="majorBidi" w:cstheme="majorBidi"/>
          <w:sz w:val="24"/>
          <w:szCs w:val="24"/>
        </w:rPr>
        <w:t>;</w:t>
      </w:r>
      <w:r w:rsidRPr="002569E0">
        <w:rPr>
          <w:rFonts w:asciiTheme="majorBidi" w:eastAsiaTheme="minorHAnsi" w:hAnsiTheme="majorBidi" w:cstheme="majorBidi"/>
          <w:sz w:val="24"/>
          <w:szCs w:val="24"/>
        </w:rPr>
        <w:t xml:space="preserve"> grade 2</w:t>
      </w:r>
      <w:r w:rsidR="0031297C">
        <w:rPr>
          <w:rFonts w:asciiTheme="majorBidi" w:eastAsiaTheme="minorHAnsi" w:hAnsiTheme="majorBidi" w:cstheme="majorBidi"/>
          <w:sz w:val="24"/>
          <w:szCs w:val="24"/>
        </w:rPr>
        <w:t xml:space="preserve"> =</w:t>
      </w:r>
      <w:r w:rsidRPr="002569E0">
        <w:rPr>
          <w:rFonts w:asciiTheme="majorBidi" w:eastAsiaTheme="minorHAnsi" w:hAnsiTheme="majorBidi" w:cstheme="majorBidi"/>
          <w:sz w:val="24"/>
          <w:szCs w:val="24"/>
        </w:rPr>
        <w:t xml:space="preserve"> moderate </w:t>
      </w:r>
      <w:proofErr w:type="spellStart"/>
      <w:r w:rsidRPr="002569E0">
        <w:rPr>
          <w:rFonts w:asciiTheme="majorBidi" w:eastAsiaTheme="minorHAnsi" w:hAnsiTheme="majorBidi" w:cstheme="majorBidi"/>
          <w:sz w:val="24"/>
          <w:szCs w:val="24"/>
        </w:rPr>
        <w:t>papular</w:t>
      </w:r>
      <w:proofErr w:type="spellEnd"/>
      <w:r w:rsidRPr="002569E0">
        <w:rPr>
          <w:rFonts w:asciiTheme="majorBidi" w:eastAsiaTheme="minorHAnsi" w:hAnsiTheme="majorBidi" w:cstheme="majorBidi"/>
          <w:sz w:val="24"/>
          <w:szCs w:val="24"/>
        </w:rPr>
        <w:t xml:space="preserve"> and/or pustular rash</w:t>
      </w:r>
      <w:r w:rsidRPr="002569E0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eastAsiaTheme="minorHAnsi" w:hAnsiTheme="majorBidi" w:cstheme="majorBidi"/>
          <w:sz w:val="24"/>
          <w:szCs w:val="24"/>
        </w:rPr>
        <w:t>which may or may not be associated with symptoms of pruritus/tenderness and may be associated with psychosocial impact</w:t>
      </w:r>
      <w:r w:rsidR="0031297C">
        <w:rPr>
          <w:rFonts w:asciiTheme="majorBidi" w:eastAsiaTheme="minorHAnsi" w:hAnsiTheme="majorBidi" w:cstheme="majorBidi"/>
          <w:sz w:val="24"/>
          <w:szCs w:val="24"/>
        </w:rPr>
        <w:t>;</w:t>
      </w:r>
      <w:r w:rsidRPr="002569E0">
        <w:rPr>
          <w:rFonts w:asciiTheme="majorBidi" w:hAnsiTheme="majorBidi" w:cstheme="majorBidi"/>
          <w:sz w:val="24"/>
          <w:szCs w:val="24"/>
        </w:rPr>
        <w:t xml:space="preserve"> grade 3</w:t>
      </w:r>
      <w:r w:rsidR="0031297C">
        <w:rPr>
          <w:rFonts w:asciiTheme="majorBidi" w:hAnsiTheme="majorBidi" w:cstheme="majorBidi"/>
          <w:sz w:val="24"/>
          <w:szCs w:val="24"/>
        </w:rPr>
        <w:t xml:space="preserve"> =</w:t>
      </w:r>
      <w:r w:rsidRPr="002569E0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eastAsiaTheme="minorHAnsi" w:hAnsiTheme="majorBidi" w:cstheme="majorBidi"/>
          <w:sz w:val="24"/>
          <w:szCs w:val="24"/>
        </w:rPr>
        <w:t xml:space="preserve">moderate to severe </w:t>
      </w:r>
      <w:proofErr w:type="spellStart"/>
      <w:r w:rsidRPr="002569E0">
        <w:rPr>
          <w:rFonts w:asciiTheme="majorBidi" w:eastAsiaTheme="minorHAnsi" w:hAnsiTheme="majorBidi" w:cstheme="majorBidi"/>
          <w:sz w:val="24"/>
          <w:szCs w:val="24"/>
        </w:rPr>
        <w:t>papular</w:t>
      </w:r>
      <w:proofErr w:type="spellEnd"/>
      <w:r w:rsidRPr="002569E0">
        <w:rPr>
          <w:rFonts w:asciiTheme="majorBidi" w:eastAsiaTheme="minorHAnsi" w:hAnsiTheme="majorBidi" w:cstheme="majorBidi"/>
          <w:sz w:val="24"/>
          <w:szCs w:val="24"/>
        </w:rPr>
        <w:t xml:space="preserve"> and/or pustular</w:t>
      </w:r>
      <w:r w:rsidRPr="002569E0">
        <w:rPr>
          <w:rFonts w:asciiTheme="majorBidi" w:hAnsiTheme="majorBidi" w:cstheme="majorBidi"/>
          <w:sz w:val="24"/>
          <w:szCs w:val="24"/>
        </w:rPr>
        <w:t xml:space="preserve"> rash </w:t>
      </w:r>
      <w:r w:rsidRPr="002569E0">
        <w:rPr>
          <w:rFonts w:asciiTheme="majorBidi" w:eastAsiaTheme="minorHAnsi" w:hAnsiTheme="majorBidi" w:cstheme="majorBidi"/>
          <w:sz w:val="24"/>
          <w:szCs w:val="24"/>
        </w:rPr>
        <w:t>which may or may not be associated with symptoms of pruritus/tenderness, associated with local superinfection with oral antibiotics indicated</w:t>
      </w:r>
      <w:r w:rsidR="0031297C">
        <w:rPr>
          <w:rFonts w:asciiTheme="majorBidi" w:eastAsiaTheme="minorHAnsi" w:hAnsiTheme="majorBidi" w:cstheme="majorBidi"/>
          <w:sz w:val="24"/>
          <w:szCs w:val="24"/>
        </w:rPr>
        <w:t>;</w:t>
      </w:r>
      <w:r w:rsidRPr="002569E0">
        <w:rPr>
          <w:rFonts w:asciiTheme="majorBidi" w:eastAsiaTheme="minorHAnsi" w:hAnsiTheme="majorBidi" w:cstheme="majorBidi"/>
          <w:sz w:val="24"/>
          <w:szCs w:val="24"/>
        </w:rPr>
        <w:t xml:space="preserve"> and above grade 3</w:t>
      </w:r>
      <w:r w:rsidR="0031297C">
        <w:rPr>
          <w:rFonts w:asciiTheme="majorBidi" w:eastAsiaTheme="minorHAnsi" w:hAnsiTheme="majorBidi" w:cstheme="majorBidi"/>
          <w:sz w:val="24"/>
          <w:szCs w:val="24"/>
        </w:rPr>
        <w:t xml:space="preserve"> =</w:t>
      </w:r>
      <w:r w:rsidRPr="002569E0">
        <w:rPr>
          <w:rFonts w:asciiTheme="majorBidi" w:eastAsiaTheme="minorHAnsi" w:hAnsiTheme="majorBidi" w:cstheme="majorBidi"/>
          <w:sz w:val="24"/>
          <w:szCs w:val="24"/>
        </w:rPr>
        <w:t xml:space="preserve"> severe </w:t>
      </w:r>
      <w:proofErr w:type="spellStart"/>
      <w:r w:rsidRPr="002569E0">
        <w:rPr>
          <w:rFonts w:asciiTheme="majorBidi" w:eastAsiaTheme="minorHAnsi" w:hAnsiTheme="majorBidi" w:cstheme="majorBidi"/>
          <w:sz w:val="24"/>
          <w:szCs w:val="24"/>
        </w:rPr>
        <w:t>papular</w:t>
      </w:r>
      <w:proofErr w:type="spellEnd"/>
      <w:r w:rsidRPr="002569E0">
        <w:rPr>
          <w:rFonts w:asciiTheme="majorBidi" w:eastAsiaTheme="minorHAnsi" w:hAnsiTheme="majorBidi" w:cstheme="majorBidi"/>
          <w:sz w:val="24"/>
          <w:szCs w:val="24"/>
        </w:rPr>
        <w:t xml:space="preserve"> and/or pustular</w:t>
      </w:r>
      <w:r w:rsidRPr="002569E0">
        <w:rPr>
          <w:rFonts w:asciiTheme="majorBidi" w:hAnsiTheme="majorBidi" w:cstheme="majorBidi"/>
          <w:sz w:val="24"/>
          <w:szCs w:val="24"/>
        </w:rPr>
        <w:t xml:space="preserve"> rash of the face.</w:t>
      </w:r>
      <w:r w:rsidRPr="002569E0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The NOL approximation was used to categorize patients into the following groups: 0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≤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NOL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&lt;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10, 10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≤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NOL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&lt;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20, 20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≤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NOL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&lt;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30, and NOL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≥30. Our clinical experience suggested that NOL</w:t>
      </w:r>
      <w:r w:rsidR="0031297C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 xml:space="preserve">≥10 is perceived as a quality of life issue by patients and was therefore considered a protocol-specified significant rash. In the CTCAE-based assessment we investigated the incidence of ≥grade 3 rash. </w:t>
      </w:r>
    </w:p>
    <w:p w14:paraId="325A6115" w14:textId="77777777" w:rsidR="00C7089E" w:rsidRPr="002569E0" w:rsidRDefault="00C7089E" w:rsidP="00C7089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B3786" w14:textId="073E9051" w:rsidR="00C7089E" w:rsidRPr="00202AF6" w:rsidRDefault="00C7089E" w:rsidP="00C7089E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2AF6">
        <w:rPr>
          <w:rFonts w:ascii="Times New Roman" w:hAnsi="Times New Roman" w:cs="Times New Roman"/>
          <w:i/>
          <w:iCs/>
          <w:sz w:val="24"/>
          <w:szCs w:val="24"/>
        </w:rPr>
        <w:t xml:space="preserve">Statistical </w:t>
      </w:r>
      <w:r w:rsidR="00202AF6" w:rsidRPr="00202AF6">
        <w:rPr>
          <w:rFonts w:ascii="Times New Roman" w:hAnsi="Times New Roman" w:cs="Times New Roman"/>
          <w:i/>
          <w:iCs/>
          <w:sz w:val="24"/>
          <w:szCs w:val="24"/>
        </w:rPr>
        <w:t>Analysis</w:t>
      </w:r>
    </w:p>
    <w:p w14:paraId="709DE1CC" w14:textId="7051E34B" w:rsidR="00C7089E" w:rsidRPr="002569E0" w:rsidRDefault="00C7089E" w:rsidP="00C708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9E0">
        <w:rPr>
          <w:rFonts w:ascii="Times New Roman" w:hAnsi="Times New Roman" w:cs="Times New Roman"/>
          <w:sz w:val="24"/>
          <w:szCs w:val="24"/>
        </w:rPr>
        <w:t>The primary end</w:t>
      </w:r>
      <w:r w:rsidR="00202AF6">
        <w:rPr>
          <w:rFonts w:ascii="Times New Roman" w:hAnsi="Times New Roman" w:cs="Times New Roman"/>
          <w:sz w:val="24"/>
          <w:szCs w:val="24"/>
        </w:rPr>
        <w:t xml:space="preserve"> </w:t>
      </w:r>
      <w:r w:rsidRPr="002569E0">
        <w:rPr>
          <w:rFonts w:ascii="Times New Roman" w:hAnsi="Times New Roman" w:cs="Times New Roman"/>
          <w:sz w:val="24"/>
          <w:szCs w:val="24"/>
        </w:rPr>
        <w:t xml:space="preserve">points were the incidence of CTCAE ≥grade 3 rash </w:t>
      </w:r>
      <w:r w:rsidR="00202AF6">
        <w:rPr>
          <w:rFonts w:ascii="Times New Roman" w:hAnsi="Times New Roman" w:cs="Times New Roman"/>
          <w:sz w:val="24"/>
          <w:szCs w:val="24"/>
        </w:rPr>
        <w:t>on</w:t>
      </w:r>
      <w:r w:rsidRPr="002569E0">
        <w:rPr>
          <w:rFonts w:ascii="Times New Roman" w:hAnsi="Times New Roman" w:cs="Times New Roman"/>
          <w:sz w:val="24"/>
          <w:szCs w:val="24"/>
        </w:rPr>
        <w:t xml:space="preserve"> day</w:t>
      </w:r>
      <w:r w:rsidR="00202AF6">
        <w:rPr>
          <w:rFonts w:ascii="Times New Roman" w:hAnsi="Times New Roman" w:cs="Times New Roman"/>
          <w:sz w:val="24"/>
          <w:szCs w:val="24"/>
        </w:rPr>
        <w:t>s</w:t>
      </w:r>
      <w:r w:rsidRPr="002569E0">
        <w:rPr>
          <w:rFonts w:ascii="Times New Roman" w:hAnsi="Times New Roman" w:cs="Times New Roman"/>
          <w:sz w:val="24"/>
          <w:szCs w:val="24"/>
        </w:rPr>
        <w:t xml:space="preserve"> 14 and 30, and a </w:t>
      </w:r>
      <w:proofErr w:type="spellStart"/>
      <w:r w:rsidRPr="002569E0">
        <w:rPr>
          <w:rFonts w:ascii="Times New Roman" w:hAnsi="Times New Roman" w:cs="Times New Roman"/>
          <w:sz w:val="24"/>
          <w:szCs w:val="24"/>
        </w:rPr>
        <w:t>subanalysis</w:t>
      </w:r>
      <w:proofErr w:type="spellEnd"/>
      <w:r w:rsidRPr="002569E0">
        <w:rPr>
          <w:rFonts w:ascii="Times New Roman" w:hAnsi="Times New Roman" w:cs="Times New Roman"/>
          <w:sz w:val="24"/>
          <w:szCs w:val="24"/>
        </w:rPr>
        <w:t xml:space="preserve"> was conducted for the incidence of the protocol-specified significant rash (</w:t>
      </w:r>
      <w:r w:rsidRPr="002569E0">
        <w:rPr>
          <w:rFonts w:asciiTheme="majorBidi" w:hAnsiTheme="majorBidi" w:cstheme="majorBidi"/>
          <w:sz w:val="24"/>
          <w:szCs w:val="24"/>
        </w:rPr>
        <w:t>NOL</w:t>
      </w:r>
      <w:r w:rsidR="00202AF6">
        <w:rPr>
          <w:rFonts w:asciiTheme="majorBidi" w:hAnsiTheme="majorBidi" w:cstheme="majorBidi"/>
          <w:sz w:val="24"/>
          <w:szCs w:val="24"/>
        </w:rPr>
        <w:t xml:space="preserve"> </w:t>
      </w:r>
      <w:r w:rsidRPr="002569E0">
        <w:rPr>
          <w:rFonts w:asciiTheme="majorBidi" w:hAnsiTheme="majorBidi" w:cstheme="majorBidi"/>
          <w:sz w:val="24"/>
          <w:szCs w:val="24"/>
        </w:rPr>
        <w:t>≥10)</w:t>
      </w:r>
      <w:r w:rsidRPr="002569E0">
        <w:rPr>
          <w:rFonts w:ascii="Times New Roman" w:hAnsi="Times New Roman" w:cs="Times New Roman"/>
          <w:sz w:val="24"/>
          <w:szCs w:val="24"/>
        </w:rPr>
        <w:t xml:space="preserve"> at the same time points.</w:t>
      </w:r>
    </w:p>
    <w:p w14:paraId="73EC524E" w14:textId="26EF7E47" w:rsidR="00C7089E" w:rsidRPr="002569E0" w:rsidRDefault="00C7089E" w:rsidP="00C708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9E0">
        <w:rPr>
          <w:rFonts w:ascii="Times New Roman" w:hAnsi="Times New Roman" w:cs="Times New Roman"/>
          <w:sz w:val="24"/>
          <w:szCs w:val="24"/>
        </w:rPr>
        <w:t>As this was a proof-of-concept study</w:t>
      </w:r>
      <w:r w:rsidR="00202AF6">
        <w:rPr>
          <w:rFonts w:ascii="Times New Roman" w:hAnsi="Times New Roman" w:cs="Times New Roman"/>
          <w:sz w:val="24"/>
          <w:szCs w:val="24"/>
        </w:rPr>
        <w:t>,</w:t>
      </w:r>
      <w:r w:rsidRPr="002569E0">
        <w:rPr>
          <w:rFonts w:ascii="Times New Roman" w:hAnsi="Times New Roman" w:cs="Times New Roman"/>
          <w:sz w:val="24"/>
          <w:szCs w:val="24"/>
        </w:rPr>
        <w:t xml:space="preserve"> we applied a per-protocol analysis (rather than intention-to-treat analysis). Nevertheless, we provide detailed information on patients who discontinued the study protocol before day 30.</w:t>
      </w:r>
    </w:p>
    <w:p w14:paraId="4C1E7CA3" w14:textId="4CCC267C" w:rsidR="00C7089E" w:rsidRPr="002569E0" w:rsidRDefault="00C7089E" w:rsidP="00C708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69E0">
        <w:rPr>
          <w:rFonts w:ascii="Times New Roman" w:hAnsi="Times New Roman" w:cs="Times New Roman"/>
          <w:sz w:val="24"/>
          <w:szCs w:val="24"/>
        </w:rPr>
        <w:t>The study was designed according to the hypothesis that in the control group (AQUA) the incidence of papulopustular rash (end points) will be 80%, and in the treatment group (CHL-PRED) will be 45%, with greater than 0.8 power and 0.05 significance, leading to sample size</w:t>
      </w:r>
      <w:r w:rsidR="00202AF6">
        <w:rPr>
          <w:rFonts w:ascii="Times New Roman" w:hAnsi="Times New Roman" w:cs="Times New Roman"/>
          <w:sz w:val="24"/>
          <w:szCs w:val="24"/>
        </w:rPr>
        <w:t>s</w:t>
      </w:r>
      <w:r w:rsidRPr="002569E0">
        <w:rPr>
          <w:rFonts w:ascii="Times New Roman" w:hAnsi="Times New Roman" w:cs="Times New Roman"/>
          <w:sz w:val="24"/>
          <w:szCs w:val="24"/>
        </w:rPr>
        <w:t xml:space="preserve"> of 30 patients in each treatment arm.</w:t>
      </w:r>
    </w:p>
    <w:p w14:paraId="5E99E6A4" w14:textId="20DC4F0D" w:rsidR="00FC4555" w:rsidRPr="00202AF6" w:rsidRDefault="00C7089E" w:rsidP="00202A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69E0">
        <w:rPr>
          <w:rFonts w:ascii="Times New Roman" w:hAnsi="Times New Roman" w:cs="Times New Roman"/>
          <w:sz w:val="24"/>
          <w:szCs w:val="24"/>
        </w:rPr>
        <w:t>For analysis of continuous end</w:t>
      </w:r>
      <w:r w:rsidR="00202AF6">
        <w:rPr>
          <w:rFonts w:ascii="Times New Roman" w:hAnsi="Times New Roman" w:cs="Times New Roman"/>
          <w:sz w:val="24"/>
          <w:szCs w:val="24"/>
        </w:rPr>
        <w:t xml:space="preserve"> </w:t>
      </w:r>
      <w:r w:rsidRPr="002569E0">
        <w:rPr>
          <w:rFonts w:ascii="Times New Roman" w:hAnsi="Times New Roman" w:cs="Times New Roman"/>
          <w:sz w:val="24"/>
          <w:szCs w:val="24"/>
        </w:rPr>
        <w:t xml:space="preserve">points, a </w:t>
      </w:r>
      <w:r w:rsidR="00202AF6" w:rsidRPr="002569E0">
        <w:rPr>
          <w:rFonts w:ascii="Times New Roman" w:hAnsi="Times New Roman" w:cs="Times New Roman"/>
          <w:sz w:val="24"/>
          <w:szCs w:val="24"/>
        </w:rPr>
        <w:t>general linear m</w:t>
      </w:r>
      <w:r w:rsidRPr="002569E0">
        <w:rPr>
          <w:rFonts w:ascii="Times New Roman" w:hAnsi="Times New Roman" w:cs="Times New Roman"/>
          <w:sz w:val="24"/>
          <w:szCs w:val="24"/>
        </w:rPr>
        <w:t>odel was used, and for dichotomous end</w:t>
      </w:r>
      <w:r w:rsidR="00202AF6">
        <w:rPr>
          <w:rFonts w:ascii="Times New Roman" w:hAnsi="Times New Roman" w:cs="Times New Roman"/>
          <w:sz w:val="24"/>
          <w:szCs w:val="24"/>
        </w:rPr>
        <w:t xml:space="preserve"> </w:t>
      </w:r>
      <w:r w:rsidRPr="002569E0">
        <w:rPr>
          <w:rFonts w:ascii="Times New Roman" w:hAnsi="Times New Roman" w:cs="Times New Roman"/>
          <w:sz w:val="24"/>
          <w:szCs w:val="24"/>
        </w:rPr>
        <w:t xml:space="preserve">points, </w:t>
      </w:r>
      <w:r w:rsidR="00202AF6">
        <w:rPr>
          <w:rFonts w:ascii="Times New Roman" w:hAnsi="Times New Roman" w:cs="Times New Roman"/>
          <w:sz w:val="24"/>
          <w:szCs w:val="24"/>
        </w:rPr>
        <w:t xml:space="preserve">a </w:t>
      </w:r>
      <w:r w:rsidRPr="002569E0">
        <w:rPr>
          <w:rFonts w:ascii="Times New Roman" w:hAnsi="Times New Roman" w:cs="Times New Roman"/>
          <w:sz w:val="24"/>
          <w:szCs w:val="24"/>
        </w:rPr>
        <w:t xml:space="preserve">logistic procedure was used. A correlation measure between the 2 scoring systems was calculated. All analyses were performed with SAS version 9.4 (SAS </w:t>
      </w:r>
      <w:r w:rsidR="00202AF6" w:rsidRPr="002569E0">
        <w:rPr>
          <w:rFonts w:ascii="Times New Roman" w:hAnsi="Times New Roman" w:cs="Times New Roman"/>
          <w:sz w:val="24"/>
          <w:szCs w:val="24"/>
        </w:rPr>
        <w:t xml:space="preserve">Institute </w:t>
      </w:r>
      <w:r w:rsidRPr="002569E0">
        <w:rPr>
          <w:rFonts w:ascii="Times New Roman" w:hAnsi="Times New Roman" w:cs="Times New Roman"/>
          <w:sz w:val="24"/>
          <w:szCs w:val="24"/>
        </w:rPr>
        <w:t>Inc., 2016).</w:t>
      </w:r>
      <w:r w:rsidRPr="002569E0">
        <w:rPr>
          <w:rFonts w:ascii="Times New Roman" w:hAnsi="Times New Roman" w:cs="Times New Roman"/>
          <w:sz w:val="24"/>
          <w:szCs w:val="24"/>
        </w:rPr>
        <w:br/>
      </w:r>
    </w:p>
    <w:sectPr w:rsidR="00FC4555" w:rsidRPr="00202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9E"/>
    <w:rsid w:val="00202AF6"/>
    <w:rsid w:val="0031297C"/>
    <w:rsid w:val="00A71181"/>
    <w:rsid w:val="00C7089E"/>
    <w:rsid w:val="00F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7D6CB"/>
  <w15:chartTrackingRefBased/>
  <w15:docId w15:val="{3CA002FE-E9C7-4D05-BF27-A0581899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89E"/>
    <w:pPr>
      <w:spacing w:after="200" w:line="276" w:lineRule="auto"/>
    </w:pPr>
    <w:rPr>
      <w:rFonts w:ascii="Calibri" w:eastAsia="Times New Roman" w:hAnsi="Calibri" w:cs="Arial"/>
      <w:lang w:val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3</cp:revision>
  <dcterms:created xsi:type="dcterms:W3CDTF">2020-10-01T09:51:00Z</dcterms:created>
  <dcterms:modified xsi:type="dcterms:W3CDTF">2020-11-19T10:49:00Z</dcterms:modified>
</cp:coreProperties>
</file>