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307C7" w14:textId="77777777" w:rsidR="00E37116" w:rsidRPr="003C50C7" w:rsidRDefault="00E37116" w:rsidP="00E37116">
      <w:pPr>
        <w:pStyle w:val="NormalWeb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3C50C7">
        <w:rPr>
          <w:rFonts w:ascii="Calibri" w:hAnsi="Calibri" w:cs="Calibri"/>
          <w:b/>
          <w:bCs/>
          <w:sz w:val="22"/>
          <w:szCs w:val="22"/>
        </w:rPr>
        <w:t>Methodology</w:t>
      </w:r>
    </w:p>
    <w:p w14:paraId="4D7BE2E8" w14:textId="1F46521D" w:rsidR="00E37116" w:rsidRPr="003C50C7" w:rsidRDefault="00E37116" w:rsidP="00E37116">
      <w:pPr>
        <w:pStyle w:val="NormalWeb"/>
        <w:spacing w:line="276" w:lineRule="auto"/>
        <w:rPr>
          <w:rFonts w:ascii="Calibri" w:hAnsi="Calibri" w:cs="Calibri"/>
          <w:sz w:val="22"/>
          <w:szCs w:val="22"/>
        </w:rPr>
      </w:pPr>
      <w:r w:rsidRPr="003C50C7">
        <w:rPr>
          <w:rFonts w:ascii="Calibri" w:hAnsi="Calibri" w:cs="Calibri"/>
          <w:b/>
          <w:bCs/>
          <w:sz w:val="22"/>
          <w:szCs w:val="22"/>
        </w:rPr>
        <w:t>Study design</w:t>
      </w:r>
      <w:r w:rsidRPr="003C50C7">
        <w:rPr>
          <w:rFonts w:ascii="Calibri" w:hAnsi="Calibri" w:cs="Calibri"/>
          <w:sz w:val="22"/>
          <w:szCs w:val="22"/>
        </w:rPr>
        <w:t>: Cross-sectional observational study</w:t>
      </w:r>
      <w:r w:rsidR="004C5686">
        <w:rPr>
          <w:rFonts w:ascii="Calibri" w:hAnsi="Calibri" w:cs="Calibri"/>
          <w:sz w:val="22"/>
          <w:szCs w:val="22"/>
        </w:rPr>
        <w:t>.</w:t>
      </w:r>
    </w:p>
    <w:p w14:paraId="24BCCAC8" w14:textId="67C8F1A8" w:rsidR="00E37116" w:rsidRPr="003C50C7" w:rsidRDefault="00E37116" w:rsidP="00E37116">
      <w:pPr>
        <w:pStyle w:val="NormalWeb"/>
        <w:spacing w:line="276" w:lineRule="auto"/>
        <w:rPr>
          <w:rFonts w:ascii="Calibri" w:hAnsi="Calibri" w:cs="Calibri"/>
          <w:sz w:val="22"/>
          <w:szCs w:val="22"/>
        </w:rPr>
      </w:pPr>
      <w:r w:rsidRPr="003C50C7">
        <w:rPr>
          <w:rFonts w:ascii="Calibri" w:hAnsi="Calibri" w:cs="Calibri"/>
          <w:b/>
          <w:bCs/>
          <w:sz w:val="22"/>
          <w:szCs w:val="22"/>
        </w:rPr>
        <w:t>Study duration</w:t>
      </w:r>
      <w:r w:rsidRPr="003C50C7">
        <w:rPr>
          <w:rFonts w:ascii="Calibri" w:hAnsi="Calibri" w:cs="Calibri"/>
          <w:sz w:val="22"/>
          <w:szCs w:val="22"/>
        </w:rPr>
        <w:t>: One year</w:t>
      </w:r>
      <w:r w:rsidR="004C5686">
        <w:rPr>
          <w:rFonts w:ascii="Calibri" w:hAnsi="Calibri" w:cs="Calibri"/>
          <w:sz w:val="22"/>
          <w:szCs w:val="22"/>
        </w:rPr>
        <w:t>.</w:t>
      </w:r>
      <w:r w:rsidRPr="003C50C7">
        <w:rPr>
          <w:rFonts w:ascii="Calibri" w:hAnsi="Calibri" w:cs="Calibri"/>
          <w:sz w:val="22"/>
          <w:szCs w:val="22"/>
        </w:rPr>
        <w:t xml:space="preserve"> </w:t>
      </w:r>
    </w:p>
    <w:p w14:paraId="79BC0EBA" w14:textId="61C9C3C1" w:rsidR="00E37116" w:rsidRPr="003C50C7" w:rsidRDefault="00E37116" w:rsidP="00E37116">
      <w:pPr>
        <w:pStyle w:val="NormalWeb"/>
        <w:spacing w:line="276" w:lineRule="auto"/>
        <w:rPr>
          <w:rFonts w:ascii="Calibri" w:hAnsi="Calibri" w:cs="Calibri"/>
          <w:sz w:val="22"/>
          <w:szCs w:val="22"/>
        </w:rPr>
      </w:pPr>
      <w:r w:rsidRPr="003C50C7">
        <w:rPr>
          <w:rFonts w:ascii="Calibri" w:hAnsi="Calibri" w:cs="Calibri"/>
          <w:b/>
          <w:bCs/>
          <w:sz w:val="22"/>
          <w:szCs w:val="22"/>
        </w:rPr>
        <w:t>Study center</w:t>
      </w:r>
      <w:r w:rsidRPr="003C50C7">
        <w:rPr>
          <w:rFonts w:ascii="Calibri" w:hAnsi="Calibri" w:cs="Calibri"/>
          <w:sz w:val="22"/>
          <w:szCs w:val="22"/>
        </w:rPr>
        <w:t>: SMS Medical College and Hospital, Jaipur, India</w:t>
      </w:r>
      <w:r w:rsidR="004C5686">
        <w:rPr>
          <w:rFonts w:ascii="Calibri" w:hAnsi="Calibri" w:cs="Calibri"/>
          <w:sz w:val="22"/>
          <w:szCs w:val="22"/>
        </w:rPr>
        <w:t>.</w:t>
      </w:r>
    </w:p>
    <w:p w14:paraId="3E8DFEFD" w14:textId="77777777" w:rsidR="00E37116" w:rsidRPr="003C50C7" w:rsidRDefault="00E37116" w:rsidP="00E37116">
      <w:pPr>
        <w:pStyle w:val="NormalWeb"/>
        <w:spacing w:line="276" w:lineRule="auto"/>
        <w:rPr>
          <w:rFonts w:ascii="Calibri" w:hAnsi="Calibri" w:cs="Calibri"/>
          <w:sz w:val="22"/>
          <w:szCs w:val="22"/>
        </w:rPr>
      </w:pPr>
      <w:r w:rsidRPr="003C50C7">
        <w:rPr>
          <w:rFonts w:ascii="Calibri" w:hAnsi="Calibri" w:cs="Calibri"/>
          <w:b/>
          <w:bCs/>
          <w:sz w:val="22"/>
          <w:szCs w:val="22"/>
        </w:rPr>
        <w:t>Ethics:</w:t>
      </w:r>
      <w:r w:rsidRPr="003C50C7">
        <w:rPr>
          <w:rFonts w:ascii="Calibri" w:hAnsi="Calibri" w:cs="Calibri"/>
          <w:sz w:val="22"/>
          <w:szCs w:val="22"/>
        </w:rPr>
        <w:t xml:space="preserve"> The study was approved by the Institutional Ethics committee and written informed consent was obtained from all subjects before recruitment.</w:t>
      </w:r>
    </w:p>
    <w:p w14:paraId="687C0ED8" w14:textId="4C1D5CA3" w:rsidR="00E37116" w:rsidRPr="003C50C7" w:rsidRDefault="00E37116" w:rsidP="00E37116">
      <w:pPr>
        <w:pStyle w:val="NormalWeb"/>
        <w:spacing w:line="276" w:lineRule="auto"/>
        <w:rPr>
          <w:rFonts w:ascii="Calibri" w:hAnsi="Calibri" w:cs="Calibri"/>
          <w:sz w:val="22"/>
          <w:szCs w:val="22"/>
        </w:rPr>
      </w:pPr>
      <w:r w:rsidRPr="003C50C7">
        <w:rPr>
          <w:rFonts w:ascii="Calibri" w:hAnsi="Calibri" w:cs="Calibri"/>
          <w:b/>
          <w:bCs/>
          <w:sz w:val="22"/>
          <w:szCs w:val="22"/>
        </w:rPr>
        <w:t>Subjects</w:t>
      </w:r>
      <w:r w:rsidRPr="003C50C7">
        <w:rPr>
          <w:rFonts w:ascii="Calibri" w:hAnsi="Calibri" w:cs="Calibri"/>
          <w:sz w:val="22"/>
          <w:szCs w:val="22"/>
        </w:rPr>
        <w:t xml:space="preserve">: Thirty women </w:t>
      </w:r>
      <w:r w:rsidR="004C5686">
        <w:rPr>
          <w:rFonts w:ascii="Calibri" w:hAnsi="Calibri" w:cs="Calibri"/>
          <w:sz w:val="22"/>
          <w:szCs w:val="22"/>
        </w:rPr>
        <w:t>of</w:t>
      </w:r>
      <w:r w:rsidRPr="003C50C7">
        <w:rPr>
          <w:rFonts w:ascii="Calibri" w:hAnsi="Calibri" w:cs="Calibri"/>
          <w:sz w:val="22"/>
          <w:szCs w:val="22"/>
        </w:rPr>
        <w:t xml:space="preserve"> reproductive age (15</w:t>
      </w:r>
      <w:r w:rsidR="004C5686">
        <w:rPr>
          <w:rFonts w:ascii="Calibri" w:hAnsi="Calibri" w:cs="Calibri"/>
          <w:sz w:val="22"/>
          <w:szCs w:val="22"/>
        </w:rPr>
        <w:t>–</w:t>
      </w:r>
      <w:r w:rsidRPr="003C50C7">
        <w:rPr>
          <w:rFonts w:ascii="Calibri" w:hAnsi="Calibri" w:cs="Calibri"/>
          <w:sz w:val="22"/>
          <w:szCs w:val="22"/>
        </w:rPr>
        <w:t>45 years) with HAIR-AN syndrome were recruited in Group A, and</w:t>
      </w:r>
      <w:r w:rsidR="004C5686" w:rsidRPr="003C50C7">
        <w:rPr>
          <w:rFonts w:ascii="Calibri" w:hAnsi="Calibri" w:cs="Calibri"/>
          <w:sz w:val="22"/>
          <w:szCs w:val="22"/>
        </w:rPr>
        <w:t xml:space="preserve"> 30</w:t>
      </w:r>
      <w:r w:rsidRPr="003C50C7">
        <w:rPr>
          <w:rFonts w:ascii="Calibri" w:hAnsi="Calibri" w:cs="Calibri"/>
          <w:sz w:val="22"/>
          <w:szCs w:val="22"/>
        </w:rPr>
        <w:t xml:space="preserve"> BMI</w:t>
      </w:r>
      <w:r w:rsidR="004C5686">
        <w:rPr>
          <w:rFonts w:ascii="Calibri" w:hAnsi="Calibri" w:cs="Calibri"/>
          <w:sz w:val="22"/>
          <w:szCs w:val="22"/>
        </w:rPr>
        <w:t>-</w:t>
      </w:r>
      <w:r w:rsidRPr="003C50C7">
        <w:rPr>
          <w:rFonts w:ascii="Calibri" w:hAnsi="Calibri" w:cs="Calibri"/>
          <w:sz w:val="22"/>
          <w:szCs w:val="22"/>
        </w:rPr>
        <w:t xml:space="preserve">matched women of same age group with PCOS were recruited in Group B. HAIR-AN syndrome was diagnosed on </w:t>
      </w:r>
      <w:r w:rsidR="004C5686">
        <w:rPr>
          <w:rFonts w:ascii="Calibri" w:hAnsi="Calibri" w:cs="Calibri"/>
          <w:sz w:val="22"/>
          <w:szCs w:val="22"/>
        </w:rPr>
        <w:t xml:space="preserve">the </w:t>
      </w:r>
      <w:r w:rsidRPr="003C50C7">
        <w:rPr>
          <w:rFonts w:ascii="Calibri" w:hAnsi="Calibri" w:cs="Calibri"/>
          <w:sz w:val="22"/>
          <w:szCs w:val="22"/>
        </w:rPr>
        <w:t xml:space="preserve">basis of </w:t>
      </w:r>
      <w:r w:rsidR="004C5686">
        <w:rPr>
          <w:rFonts w:ascii="Calibri" w:hAnsi="Calibri" w:cs="Calibri"/>
          <w:sz w:val="22"/>
          <w:szCs w:val="22"/>
        </w:rPr>
        <w:t xml:space="preserve">the </w:t>
      </w:r>
      <w:r w:rsidRPr="003C50C7">
        <w:rPr>
          <w:rFonts w:ascii="Calibri" w:hAnsi="Calibri" w:cs="Calibri"/>
          <w:sz w:val="22"/>
          <w:szCs w:val="22"/>
        </w:rPr>
        <w:t xml:space="preserve">clinical </w:t>
      </w:r>
      <w:proofErr w:type="spellStart"/>
      <w:r w:rsidRPr="003C50C7">
        <w:rPr>
          <w:rFonts w:ascii="Calibri" w:hAnsi="Calibri" w:cs="Calibri"/>
          <w:sz w:val="22"/>
          <w:szCs w:val="22"/>
        </w:rPr>
        <w:t>triad</w:t>
      </w:r>
      <w:proofErr w:type="spellEnd"/>
      <w:r w:rsidRPr="003C50C7">
        <w:rPr>
          <w:rFonts w:ascii="Calibri" w:hAnsi="Calibri" w:cs="Calibri"/>
          <w:sz w:val="22"/>
          <w:szCs w:val="22"/>
        </w:rPr>
        <w:t xml:space="preserve"> of hyperandrogenism, insulin resistance</w:t>
      </w:r>
      <w:r w:rsidR="004C5686">
        <w:rPr>
          <w:rFonts w:ascii="Calibri" w:hAnsi="Calibri" w:cs="Calibri"/>
          <w:sz w:val="22"/>
          <w:szCs w:val="22"/>
        </w:rPr>
        <w:t>,</w:t>
      </w:r>
      <w:r w:rsidRPr="003C50C7">
        <w:rPr>
          <w:rFonts w:ascii="Calibri" w:hAnsi="Calibri" w:cs="Calibri"/>
          <w:sz w:val="22"/>
          <w:szCs w:val="22"/>
        </w:rPr>
        <w:t xml:space="preserve"> and acanthosis nigricans.</w:t>
      </w:r>
      <w:r w:rsidRPr="003C50C7">
        <w:rPr>
          <w:rFonts w:ascii="Calibri" w:hAnsi="Calibri" w:cs="Calibri"/>
          <w:sz w:val="22"/>
          <w:szCs w:val="22"/>
          <w:vertAlign w:val="superscript"/>
        </w:rPr>
        <w:t xml:space="preserve">  </w:t>
      </w:r>
      <w:r w:rsidRPr="003C50C7">
        <w:rPr>
          <w:rFonts w:ascii="Calibri" w:hAnsi="Calibri" w:cs="Calibri"/>
          <w:sz w:val="22"/>
          <w:szCs w:val="22"/>
        </w:rPr>
        <w:t xml:space="preserve">PCOS was diagnosed as per </w:t>
      </w:r>
      <w:r w:rsidR="004C5686">
        <w:rPr>
          <w:rFonts w:ascii="Calibri" w:hAnsi="Calibri" w:cs="Calibri"/>
          <w:sz w:val="22"/>
          <w:szCs w:val="22"/>
        </w:rPr>
        <w:t xml:space="preserve">the </w:t>
      </w:r>
      <w:r w:rsidRPr="003C50C7">
        <w:rPr>
          <w:rFonts w:ascii="Calibri" w:hAnsi="Calibri" w:cs="Calibri"/>
          <w:sz w:val="22"/>
          <w:szCs w:val="22"/>
        </w:rPr>
        <w:t xml:space="preserve">Rotterdam criteria. Hyperprolactinemia, </w:t>
      </w:r>
      <w:r w:rsidR="004C5686" w:rsidRPr="003C50C7">
        <w:rPr>
          <w:rFonts w:ascii="Calibri" w:hAnsi="Calibri" w:cs="Calibri"/>
          <w:sz w:val="22"/>
          <w:szCs w:val="22"/>
        </w:rPr>
        <w:t>c</w:t>
      </w:r>
      <w:r w:rsidR="004C5686">
        <w:rPr>
          <w:rFonts w:ascii="Calibri" w:hAnsi="Calibri" w:cs="Calibri"/>
          <w:sz w:val="22"/>
          <w:szCs w:val="22"/>
        </w:rPr>
        <w:t>ongenital adrenal h</w:t>
      </w:r>
      <w:r>
        <w:rPr>
          <w:rFonts w:ascii="Calibri" w:hAnsi="Calibri" w:cs="Calibri"/>
          <w:sz w:val="22"/>
          <w:szCs w:val="22"/>
        </w:rPr>
        <w:t>yperplasia</w:t>
      </w:r>
      <w:r w:rsidRPr="003C50C7">
        <w:rPr>
          <w:rFonts w:ascii="Calibri" w:hAnsi="Calibri" w:cs="Calibri"/>
          <w:sz w:val="22"/>
          <w:szCs w:val="22"/>
        </w:rPr>
        <w:t>, C</w:t>
      </w:r>
      <w:r>
        <w:rPr>
          <w:rFonts w:ascii="Calibri" w:hAnsi="Calibri" w:cs="Calibri"/>
          <w:sz w:val="22"/>
          <w:szCs w:val="22"/>
        </w:rPr>
        <w:t>ushing syndrome</w:t>
      </w:r>
      <w:r w:rsidR="004C5686">
        <w:rPr>
          <w:rFonts w:ascii="Calibri" w:hAnsi="Calibri" w:cs="Calibri"/>
          <w:sz w:val="22"/>
          <w:szCs w:val="22"/>
        </w:rPr>
        <w:t>,</w:t>
      </w:r>
      <w:r w:rsidRPr="003C50C7">
        <w:rPr>
          <w:rFonts w:ascii="Calibri" w:hAnsi="Calibri" w:cs="Calibri"/>
          <w:sz w:val="22"/>
          <w:szCs w:val="22"/>
        </w:rPr>
        <w:t xml:space="preserve"> or virilizing adrenal/gonadal tumor was ruled out prior to recruitment. Women with </w:t>
      </w:r>
      <w:r w:rsidR="004C5686">
        <w:rPr>
          <w:rFonts w:ascii="Calibri" w:hAnsi="Calibri" w:cs="Calibri"/>
          <w:sz w:val="22"/>
          <w:szCs w:val="22"/>
        </w:rPr>
        <w:t xml:space="preserve">a </w:t>
      </w:r>
      <w:r w:rsidRPr="003C50C7">
        <w:rPr>
          <w:rFonts w:ascii="Calibri" w:hAnsi="Calibri" w:cs="Calibri"/>
          <w:sz w:val="22"/>
          <w:szCs w:val="22"/>
        </w:rPr>
        <w:t xml:space="preserve">history of using oral contraceptives or other drugs altering </w:t>
      </w:r>
      <w:r w:rsidR="004C5686">
        <w:rPr>
          <w:rFonts w:ascii="Calibri" w:hAnsi="Calibri" w:cs="Calibri"/>
          <w:sz w:val="22"/>
          <w:szCs w:val="22"/>
        </w:rPr>
        <w:t xml:space="preserve">the </w:t>
      </w:r>
      <w:r w:rsidRPr="003C50C7">
        <w:rPr>
          <w:rFonts w:ascii="Calibri" w:hAnsi="Calibri" w:cs="Calibri"/>
          <w:sz w:val="22"/>
          <w:szCs w:val="22"/>
        </w:rPr>
        <w:t xml:space="preserve">glucose and insulin metabolism within </w:t>
      </w:r>
      <w:r w:rsidR="004C5686">
        <w:rPr>
          <w:rFonts w:ascii="Calibri" w:hAnsi="Calibri" w:cs="Calibri"/>
          <w:sz w:val="22"/>
          <w:szCs w:val="22"/>
        </w:rPr>
        <w:t xml:space="preserve">the </w:t>
      </w:r>
      <w:r w:rsidRPr="003C50C7">
        <w:rPr>
          <w:rFonts w:ascii="Calibri" w:hAnsi="Calibri" w:cs="Calibri"/>
          <w:sz w:val="22"/>
          <w:szCs w:val="22"/>
        </w:rPr>
        <w:t>last 3 month</w:t>
      </w:r>
      <w:r w:rsidR="004C5686">
        <w:rPr>
          <w:rFonts w:ascii="Calibri" w:hAnsi="Calibri" w:cs="Calibri"/>
          <w:sz w:val="22"/>
          <w:szCs w:val="22"/>
        </w:rPr>
        <w:t>s</w:t>
      </w:r>
      <w:r w:rsidRPr="003C50C7">
        <w:rPr>
          <w:rFonts w:ascii="Calibri" w:hAnsi="Calibri" w:cs="Calibri"/>
          <w:sz w:val="22"/>
          <w:szCs w:val="22"/>
        </w:rPr>
        <w:t xml:space="preserve"> were excluded.</w:t>
      </w:r>
    </w:p>
    <w:p w14:paraId="7A5253A0" w14:textId="77777777" w:rsidR="00E37116" w:rsidRPr="003C50C7" w:rsidRDefault="00E37116" w:rsidP="00E37116">
      <w:pPr>
        <w:pStyle w:val="Body"/>
        <w:spacing w:line="276" w:lineRule="auto"/>
        <w:rPr>
          <w:rFonts w:eastAsia="Times New Roman"/>
          <w:b/>
          <w:bCs/>
          <w:sz w:val="22"/>
          <w:szCs w:val="22"/>
        </w:rPr>
      </w:pPr>
      <w:r w:rsidRPr="003C50C7">
        <w:rPr>
          <w:b/>
          <w:bCs/>
          <w:sz w:val="22"/>
          <w:szCs w:val="22"/>
        </w:rPr>
        <w:t xml:space="preserve">Clinical Evaluation: </w:t>
      </w:r>
    </w:p>
    <w:p w14:paraId="435F1530" w14:textId="24BAA53D" w:rsidR="00E37116" w:rsidRPr="003C50C7" w:rsidRDefault="004C5686" w:rsidP="00E37116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3C50C7">
        <w:rPr>
          <w:sz w:val="22"/>
          <w:szCs w:val="22"/>
        </w:rPr>
        <w:t xml:space="preserve">detailed </w:t>
      </w:r>
      <w:r w:rsidR="00E37116" w:rsidRPr="003C50C7">
        <w:rPr>
          <w:sz w:val="22"/>
          <w:szCs w:val="22"/>
        </w:rPr>
        <w:t>clinical evaluation of patients including age, height, weight, BMI, severity of acne, hirsutism, acanthosis nigricans</w:t>
      </w:r>
      <w:r>
        <w:rPr>
          <w:sz w:val="22"/>
          <w:szCs w:val="22"/>
        </w:rPr>
        <w:t>,</w:t>
      </w:r>
      <w:r w:rsidR="00E37116" w:rsidRPr="003C50C7">
        <w:rPr>
          <w:sz w:val="22"/>
          <w:szCs w:val="22"/>
        </w:rPr>
        <w:t xml:space="preserve"> and menstrual irregularity was </w:t>
      </w:r>
      <w:r>
        <w:rPr>
          <w:sz w:val="22"/>
          <w:szCs w:val="22"/>
        </w:rPr>
        <w:t>conducted</w:t>
      </w:r>
      <w:r w:rsidR="00E37116" w:rsidRPr="003C50C7">
        <w:rPr>
          <w:sz w:val="22"/>
          <w:szCs w:val="22"/>
        </w:rPr>
        <w:t xml:space="preserve">. Hirsutism was evaluated using </w:t>
      </w:r>
      <w:r>
        <w:rPr>
          <w:sz w:val="22"/>
          <w:szCs w:val="22"/>
        </w:rPr>
        <w:t xml:space="preserve">the </w:t>
      </w:r>
      <w:proofErr w:type="spellStart"/>
      <w:r w:rsidR="00E37116" w:rsidRPr="003C50C7">
        <w:rPr>
          <w:sz w:val="22"/>
          <w:szCs w:val="22"/>
        </w:rPr>
        <w:t>Ferriman</w:t>
      </w:r>
      <w:proofErr w:type="spellEnd"/>
      <w:r>
        <w:rPr>
          <w:sz w:val="22"/>
          <w:szCs w:val="22"/>
        </w:rPr>
        <w:t>-</w:t>
      </w:r>
      <w:r w:rsidR="00E37116" w:rsidRPr="003C50C7">
        <w:rPr>
          <w:sz w:val="22"/>
          <w:szCs w:val="22"/>
        </w:rPr>
        <w:t>Gallwey score and a score</w:t>
      </w:r>
      <w:r>
        <w:rPr>
          <w:sz w:val="22"/>
          <w:szCs w:val="22"/>
        </w:rPr>
        <w:t xml:space="preserve"> of</w:t>
      </w:r>
      <w:r w:rsidR="00E37116" w:rsidRPr="003C50C7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E37116" w:rsidRPr="003C50C7">
        <w:rPr>
          <w:sz w:val="22"/>
          <w:szCs w:val="22"/>
        </w:rPr>
        <w:t>8 was taken as diagnostic of hirsutism</w:t>
      </w:r>
      <w:r>
        <w:rPr>
          <w:sz w:val="22"/>
          <w:szCs w:val="22"/>
        </w:rPr>
        <w:t xml:space="preserve"> </w:t>
      </w:r>
      <w:r w:rsidR="00E37116" w:rsidRPr="003C50C7">
        <w:rPr>
          <w:sz w:val="22"/>
          <w:szCs w:val="22"/>
        </w:rPr>
        <w:t>[41]</w:t>
      </w:r>
      <w:r>
        <w:rPr>
          <w:sz w:val="22"/>
          <w:szCs w:val="22"/>
        </w:rPr>
        <w:t>.</w:t>
      </w:r>
      <w:r w:rsidR="00E37116" w:rsidRPr="003C50C7">
        <w:rPr>
          <w:sz w:val="22"/>
          <w:szCs w:val="22"/>
        </w:rPr>
        <w:t xml:space="preserve"> Acne was graded as mild, moderate</w:t>
      </w:r>
      <w:r>
        <w:rPr>
          <w:sz w:val="22"/>
          <w:szCs w:val="22"/>
        </w:rPr>
        <w:t>,</w:t>
      </w:r>
      <w:r w:rsidR="00E37116" w:rsidRPr="003C50C7">
        <w:rPr>
          <w:sz w:val="22"/>
          <w:szCs w:val="22"/>
        </w:rPr>
        <w:t xml:space="preserve"> and severe as described by </w:t>
      </w:r>
      <w:proofErr w:type="spellStart"/>
      <w:r w:rsidR="00E37116" w:rsidRPr="003C50C7">
        <w:rPr>
          <w:sz w:val="22"/>
          <w:szCs w:val="22"/>
        </w:rPr>
        <w:t>Pochi</w:t>
      </w:r>
      <w:proofErr w:type="spellEnd"/>
      <w:r w:rsidR="00E37116" w:rsidRPr="003C50C7">
        <w:rPr>
          <w:sz w:val="22"/>
          <w:szCs w:val="22"/>
        </w:rPr>
        <w:t xml:space="preserve"> et al.</w:t>
      </w:r>
      <w:r>
        <w:rPr>
          <w:sz w:val="22"/>
          <w:szCs w:val="22"/>
        </w:rPr>
        <w:t xml:space="preserve"> </w:t>
      </w:r>
      <w:r w:rsidR="00E37116" w:rsidRPr="003C50C7">
        <w:rPr>
          <w:sz w:val="22"/>
          <w:szCs w:val="22"/>
        </w:rPr>
        <w:t>[42]</w:t>
      </w:r>
      <w:r>
        <w:rPr>
          <w:sz w:val="22"/>
          <w:szCs w:val="22"/>
        </w:rPr>
        <w:t>.</w:t>
      </w:r>
      <w:r w:rsidR="00E37116" w:rsidRPr="003C50C7">
        <w:rPr>
          <w:sz w:val="22"/>
          <w:szCs w:val="22"/>
          <w:vertAlign w:val="superscript"/>
        </w:rPr>
        <w:t xml:space="preserve"> </w:t>
      </w:r>
      <w:r w:rsidR="00E37116" w:rsidRPr="003C50C7">
        <w:rPr>
          <w:sz w:val="22"/>
          <w:szCs w:val="22"/>
        </w:rPr>
        <w:t xml:space="preserve">Acanthosis nigricans was </w:t>
      </w:r>
      <w:r>
        <w:rPr>
          <w:sz w:val="22"/>
          <w:szCs w:val="22"/>
        </w:rPr>
        <w:t>graded</w:t>
      </w:r>
      <w:r w:rsidRPr="003C50C7">
        <w:rPr>
          <w:sz w:val="22"/>
          <w:szCs w:val="22"/>
        </w:rPr>
        <w:t xml:space="preserve"> </w:t>
      </w:r>
      <w:r w:rsidR="00E37116" w:rsidRPr="003C50C7">
        <w:rPr>
          <w:sz w:val="22"/>
          <w:szCs w:val="22"/>
        </w:rPr>
        <w:t>as per Burke et al.</w:t>
      </w:r>
      <w:r>
        <w:rPr>
          <w:sz w:val="22"/>
          <w:szCs w:val="22"/>
        </w:rPr>
        <w:t xml:space="preserve"> </w:t>
      </w:r>
      <w:r w:rsidR="00E37116" w:rsidRPr="003C50C7">
        <w:rPr>
          <w:sz w:val="22"/>
          <w:szCs w:val="22"/>
        </w:rPr>
        <w:t>[43]</w:t>
      </w:r>
      <w:r>
        <w:rPr>
          <w:sz w:val="22"/>
          <w:szCs w:val="22"/>
        </w:rPr>
        <w:t>.</w:t>
      </w:r>
    </w:p>
    <w:p w14:paraId="31BCBA37" w14:textId="2232DEA8" w:rsidR="00E37116" w:rsidRPr="003C50C7" w:rsidRDefault="00E37116" w:rsidP="00E37116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C50C7">
        <w:rPr>
          <w:sz w:val="22"/>
          <w:szCs w:val="22"/>
        </w:rPr>
        <w:t>Baseline blood samples were drawn after overnight fasting. Serum levels of follicle stimulating hormone, luteinizing hormone, prolactin, testosterone, dehydroepiandrosterone sulphate, 17-hydroxy progesterone, cortisol, fasting plasma glucose</w:t>
      </w:r>
      <w:r w:rsidR="004C5686">
        <w:rPr>
          <w:sz w:val="22"/>
          <w:szCs w:val="22"/>
        </w:rPr>
        <w:t>,</w:t>
      </w:r>
      <w:r w:rsidRPr="003C50C7">
        <w:rPr>
          <w:sz w:val="22"/>
          <w:szCs w:val="22"/>
        </w:rPr>
        <w:t xml:space="preserve"> and insulin were determined. </w:t>
      </w:r>
    </w:p>
    <w:p w14:paraId="30409969" w14:textId="26120030" w:rsidR="00E37116" w:rsidRDefault="00E37116" w:rsidP="00E37116">
      <w:pPr>
        <w:pStyle w:val="Body"/>
        <w:numPr>
          <w:ilvl w:val="0"/>
          <w:numId w:val="4"/>
        </w:numPr>
        <w:spacing w:after="160" w:line="276" w:lineRule="auto"/>
        <w:rPr>
          <w:sz w:val="22"/>
          <w:szCs w:val="22"/>
        </w:rPr>
      </w:pPr>
      <w:r w:rsidRPr="003C50C7">
        <w:rPr>
          <w:sz w:val="22"/>
          <w:szCs w:val="22"/>
        </w:rPr>
        <w:t>Patients in both group</w:t>
      </w:r>
      <w:r w:rsidR="004C5686">
        <w:rPr>
          <w:sz w:val="22"/>
          <w:szCs w:val="22"/>
        </w:rPr>
        <w:t>s</w:t>
      </w:r>
      <w:r w:rsidRPr="003C50C7">
        <w:rPr>
          <w:sz w:val="22"/>
          <w:szCs w:val="22"/>
        </w:rPr>
        <w:t xml:space="preserve"> were assessed for serum levels of adiponectin, leptin, TNF</w:t>
      </w:r>
      <w:r w:rsidR="004C5686">
        <w:rPr>
          <w:sz w:val="22"/>
          <w:szCs w:val="22"/>
        </w:rPr>
        <w:t>-</w:t>
      </w:r>
      <w:r w:rsidR="004C5686" w:rsidRPr="004C5686">
        <w:rPr>
          <w:sz w:val="22"/>
          <w:szCs w:val="22"/>
        </w:rPr>
        <w:t>α</w:t>
      </w:r>
      <w:r w:rsidR="004C5686">
        <w:rPr>
          <w:sz w:val="22"/>
          <w:szCs w:val="22"/>
        </w:rPr>
        <w:t>,</w:t>
      </w:r>
      <w:r w:rsidRPr="003C50C7">
        <w:rPr>
          <w:sz w:val="22"/>
          <w:szCs w:val="22"/>
        </w:rPr>
        <w:t xml:space="preserve"> </w:t>
      </w:r>
      <w:proofErr w:type="gramStart"/>
      <w:r w:rsidRPr="003C50C7">
        <w:rPr>
          <w:sz w:val="22"/>
          <w:szCs w:val="22"/>
        </w:rPr>
        <w:t>and  IL</w:t>
      </w:r>
      <w:proofErr w:type="gramEnd"/>
      <w:r w:rsidRPr="003C50C7">
        <w:rPr>
          <w:sz w:val="22"/>
          <w:szCs w:val="22"/>
        </w:rPr>
        <w:t>-6.</w:t>
      </w:r>
    </w:p>
    <w:p w14:paraId="394A2B49" w14:textId="04DB1293" w:rsidR="00E37116" w:rsidRPr="007B1D5B" w:rsidRDefault="004C5686" w:rsidP="00E37116">
      <w:pPr>
        <w:pStyle w:val="Body"/>
        <w:numPr>
          <w:ilvl w:val="0"/>
          <w:numId w:val="4"/>
        </w:num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methods </w:t>
      </w:r>
      <w:r w:rsidR="00E37116">
        <w:rPr>
          <w:sz w:val="22"/>
          <w:szCs w:val="22"/>
        </w:rPr>
        <w:t xml:space="preserve">are summarized in a flowchart as shown in Figure 1. </w:t>
      </w:r>
    </w:p>
    <w:p w14:paraId="6D6B56B3" w14:textId="687E9249" w:rsidR="00E37116" w:rsidRPr="00266D45" w:rsidRDefault="00E37116" w:rsidP="00E37116">
      <w:pPr>
        <w:pStyle w:val="Body"/>
        <w:spacing w:after="160" w:line="276" w:lineRule="auto"/>
        <w:rPr>
          <w:sz w:val="22"/>
          <w:szCs w:val="22"/>
        </w:rPr>
      </w:pPr>
      <w:r w:rsidRPr="00266D45">
        <w:rPr>
          <w:b/>
          <w:bCs/>
          <w:sz w:val="22"/>
          <w:szCs w:val="22"/>
        </w:rPr>
        <w:t>Laboratory measurements</w:t>
      </w:r>
      <w:r w:rsidRPr="00266D45">
        <w:rPr>
          <w:sz w:val="22"/>
          <w:szCs w:val="22"/>
        </w:rPr>
        <w:t xml:space="preserve">: Biochemical parameters like serum glucose, </w:t>
      </w:r>
      <w:r w:rsidR="004C5686">
        <w:rPr>
          <w:sz w:val="22"/>
          <w:szCs w:val="22"/>
        </w:rPr>
        <w:t xml:space="preserve">the </w:t>
      </w:r>
      <w:r w:rsidRPr="00266D45">
        <w:rPr>
          <w:sz w:val="22"/>
          <w:szCs w:val="22"/>
        </w:rPr>
        <w:t>lipid profile, triglycerides, LDL, HDL</w:t>
      </w:r>
      <w:r w:rsidR="004C5686">
        <w:rPr>
          <w:sz w:val="22"/>
          <w:szCs w:val="22"/>
        </w:rPr>
        <w:t>,</w:t>
      </w:r>
      <w:r w:rsidRPr="00266D45">
        <w:rPr>
          <w:sz w:val="22"/>
          <w:szCs w:val="22"/>
        </w:rPr>
        <w:t xml:space="preserve"> and VLDL were measured on </w:t>
      </w:r>
      <w:r w:rsidR="004C5686">
        <w:rPr>
          <w:sz w:val="22"/>
          <w:szCs w:val="22"/>
        </w:rPr>
        <w:t xml:space="preserve">a </w:t>
      </w:r>
      <w:proofErr w:type="spellStart"/>
      <w:r w:rsidRPr="00266D45">
        <w:rPr>
          <w:sz w:val="22"/>
          <w:szCs w:val="22"/>
        </w:rPr>
        <w:t>Kopran</w:t>
      </w:r>
      <w:proofErr w:type="spellEnd"/>
      <w:r w:rsidRPr="00266D45">
        <w:rPr>
          <w:sz w:val="22"/>
          <w:szCs w:val="22"/>
        </w:rPr>
        <w:t xml:space="preserve"> AU/400 fully automated analyzer. Serum hormone levels were measured by chemiluminescent immunoassay (ADVIA Centaur XP). Serum insulin was measured using a chemiluminescent immunometric assay (</w:t>
      </w:r>
      <w:proofErr w:type="spellStart"/>
      <w:r w:rsidRPr="00266D45">
        <w:rPr>
          <w:sz w:val="22"/>
          <w:szCs w:val="22"/>
        </w:rPr>
        <w:t>Immulite</w:t>
      </w:r>
      <w:proofErr w:type="spellEnd"/>
      <w:r w:rsidRPr="00266D45">
        <w:rPr>
          <w:sz w:val="22"/>
          <w:szCs w:val="22"/>
        </w:rPr>
        <w:t xml:space="preserve"> 2000 </w:t>
      </w:r>
      <w:proofErr w:type="gramStart"/>
      <w:r w:rsidRPr="00266D45">
        <w:rPr>
          <w:sz w:val="22"/>
          <w:szCs w:val="22"/>
        </w:rPr>
        <w:t>machine</w:t>
      </w:r>
      <w:r w:rsidR="004C5686">
        <w:rPr>
          <w:sz w:val="22"/>
          <w:szCs w:val="22"/>
        </w:rPr>
        <w:t>;</w:t>
      </w:r>
      <w:proofErr w:type="gramEnd"/>
      <w:r w:rsidRPr="00266D45">
        <w:rPr>
          <w:sz w:val="22"/>
          <w:szCs w:val="22"/>
        </w:rPr>
        <w:t xml:space="preserve"> sensitivity</w:t>
      </w:r>
      <w:r w:rsidR="004C5686">
        <w:rPr>
          <w:sz w:val="22"/>
          <w:szCs w:val="22"/>
        </w:rPr>
        <w:t xml:space="preserve"> </w:t>
      </w:r>
      <w:r w:rsidRPr="00266D45">
        <w:rPr>
          <w:sz w:val="22"/>
          <w:szCs w:val="22"/>
        </w:rPr>
        <w:t xml:space="preserve">0.5 </w:t>
      </w:r>
      <w:proofErr w:type="spellStart"/>
      <w:r w:rsidRPr="00266D45">
        <w:rPr>
          <w:sz w:val="22"/>
          <w:szCs w:val="22"/>
        </w:rPr>
        <w:t>mU</w:t>
      </w:r>
      <w:proofErr w:type="spellEnd"/>
      <w:r w:rsidRPr="00266D45">
        <w:rPr>
          <w:sz w:val="22"/>
          <w:szCs w:val="22"/>
        </w:rPr>
        <w:t>/</w:t>
      </w:r>
      <w:r w:rsidR="004C5686" w:rsidRPr="00266D45">
        <w:rPr>
          <w:sz w:val="22"/>
          <w:szCs w:val="22"/>
        </w:rPr>
        <w:t>L</w:t>
      </w:r>
      <w:r w:rsidRPr="00266D45">
        <w:rPr>
          <w:sz w:val="22"/>
          <w:szCs w:val="22"/>
        </w:rPr>
        <w:t>, CV%</w:t>
      </w:r>
      <w:r w:rsidR="004C5686">
        <w:rPr>
          <w:sz w:val="22"/>
          <w:szCs w:val="22"/>
        </w:rPr>
        <w:t xml:space="preserve"> </w:t>
      </w:r>
      <w:r w:rsidRPr="00266D45">
        <w:rPr>
          <w:sz w:val="22"/>
          <w:szCs w:val="22"/>
        </w:rPr>
        <w:t xml:space="preserve">7.5). Leptin (Lab </w:t>
      </w:r>
      <w:r w:rsidR="004C5686" w:rsidRPr="00266D45">
        <w:rPr>
          <w:sz w:val="22"/>
          <w:szCs w:val="22"/>
        </w:rPr>
        <w:t xml:space="preserve">Systems </w:t>
      </w:r>
      <w:r w:rsidRPr="00266D45">
        <w:rPr>
          <w:sz w:val="22"/>
          <w:szCs w:val="22"/>
        </w:rPr>
        <w:t>Diagnostic Oy, Finland</w:t>
      </w:r>
      <w:r w:rsidR="004C5686">
        <w:rPr>
          <w:sz w:val="22"/>
          <w:szCs w:val="22"/>
        </w:rPr>
        <w:t>;</w:t>
      </w:r>
      <w:r w:rsidRPr="00266D45">
        <w:rPr>
          <w:sz w:val="22"/>
          <w:szCs w:val="22"/>
        </w:rPr>
        <w:t xml:space="preserve"> sensitivity</w:t>
      </w:r>
      <w:r w:rsidR="004C5686">
        <w:rPr>
          <w:sz w:val="22"/>
          <w:szCs w:val="22"/>
        </w:rPr>
        <w:t xml:space="preserve"> </w:t>
      </w:r>
      <w:r w:rsidRPr="00266D45">
        <w:rPr>
          <w:sz w:val="22"/>
          <w:szCs w:val="22"/>
        </w:rPr>
        <w:t xml:space="preserve">&lt;62.5 </w:t>
      </w:r>
      <w:proofErr w:type="spellStart"/>
      <w:r w:rsidRPr="00266D45">
        <w:rPr>
          <w:sz w:val="22"/>
          <w:szCs w:val="22"/>
        </w:rPr>
        <w:t>pg</w:t>
      </w:r>
      <w:proofErr w:type="spellEnd"/>
      <w:r w:rsidRPr="00266D45">
        <w:rPr>
          <w:sz w:val="22"/>
          <w:szCs w:val="22"/>
        </w:rPr>
        <w:t>/m</w:t>
      </w:r>
      <w:r w:rsidR="004C5686" w:rsidRPr="00266D45">
        <w:rPr>
          <w:sz w:val="22"/>
          <w:szCs w:val="22"/>
        </w:rPr>
        <w:t>L</w:t>
      </w:r>
      <w:r w:rsidRPr="00266D45">
        <w:rPr>
          <w:sz w:val="22"/>
          <w:szCs w:val="22"/>
        </w:rPr>
        <w:t>, CV%</w:t>
      </w:r>
      <w:r w:rsidR="004C5686">
        <w:rPr>
          <w:sz w:val="22"/>
          <w:szCs w:val="22"/>
        </w:rPr>
        <w:t xml:space="preserve"> </w:t>
      </w:r>
      <w:r w:rsidRPr="00266D45">
        <w:rPr>
          <w:sz w:val="22"/>
          <w:szCs w:val="22"/>
        </w:rPr>
        <w:t xml:space="preserve">&lt;12), </w:t>
      </w:r>
      <w:r w:rsidR="004C5686" w:rsidRPr="00266D45">
        <w:rPr>
          <w:sz w:val="22"/>
          <w:szCs w:val="22"/>
        </w:rPr>
        <w:t xml:space="preserve">adiponectin </w:t>
      </w:r>
      <w:r w:rsidRPr="00266D45">
        <w:rPr>
          <w:sz w:val="22"/>
          <w:szCs w:val="22"/>
        </w:rPr>
        <w:t xml:space="preserve">(Lab </w:t>
      </w:r>
      <w:r w:rsidR="004C5686" w:rsidRPr="00266D45">
        <w:rPr>
          <w:sz w:val="22"/>
          <w:szCs w:val="22"/>
        </w:rPr>
        <w:t xml:space="preserve">Systems </w:t>
      </w:r>
      <w:r w:rsidRPr="00266D45">
        <w:rPr>
          <w:sz w:val="22"/>
          <w:szCs w:val="22"/>
        </w:rPr>
        <w:t>Diagnostic Oy</w:t>
      </w:r>
      <w:r w:rsidR="00865BDB">
        <w:rPr>
          <w:sz w:val="22"/>
          <w:szCs w:val="22"/>
        </w:rPr>
        <w:t>;</w:t>
      </w:r>
      <w:r w:rsidRPr="00266D45">
        <w:rPr>
          <w:sz w:val="22"/>
          <w:szCs w:val="22"/>
        </w:rPr>
        <w:t xml:space="preserve"> sensitivity</w:t>
      </w:r>
      <w:r w:rsidR="004C5686">
        <w:rPr>
          <w:sz w:val="22"/>
          <w:szCs w:val="22"/>
        </w:rPr>
        <w:t xml:space="preserve"> </w:t>
      </w:r>
      <w:r w:rsidRPr="00266D45">
        <w:rPr>
          <w:sz w:val="22"/>
          <w:szCs w:val="22"/>
        </w:rPr>
        <w:t>0.185 ng/m</w:t>
      </w:r>
      <w:r w:rsidR="004C5686" w:rsidRPr="00266D45">
        <w:rPr>
          <w:sz w:val="22"/>
          <w:szCs w:val="22"/>
        </w:rPr>
        <w:t>L</w:t>
      </w:r>
      <w:r w:rsidRPr="00266D45">
        <w:rPr>
          <w:sz w:val="22"/>
          <w:szCs w:val="22"/>
        </w:rPr>
        <w:t>, CV%</w:t>
      </w:r>
      <w:r w:rsidR="004C5686">
        <w:rPr>
          <w:sz w:val="22"/>
          <w:szCs w:val="22"/>
        </w:rPr>
        <w:t xml:space="preserve"> </w:t>
      </w:r>
      <w:r w:rsidRPr="00266D45">
        <w:rPr>
          <w:sz w:val="22"/>
          <w:szCs w:val="22"/>
        </w:rPr>
        <w:t xml:space="preserve">&lt;10), IL-6 (Lab </w:t>
      </w:r>
      <w:r w:rsidR="00865BDB" w:rsidRPr="00266D45">
        <w:rPr>
          <w:sz w:val="22"/>
          <w:szCs w:val="22"/>
        </w:rPr>
        <w:t xml:space="preserve">Systems </w:t>
      </w:r>
      <w:r w:rsidRPr="00266D45">
        <w:rPr>
          <w:sz w:val="22"/>
          <w:szCs w:val="22"/>
        </w:rPr>
        <w:t>Diagnostic Oy)</w:t>
      </w:r>
      <w:r w:rsidR="00865BDB">
        <w:rPr>
          <w:sz w:val="22"/>
          <w:szCs w:val="22"/>
        </w:rPr>
        <w:t>,</w:t>
      </w:r>
      <w:r w:rsidRPr="00266D45">
        <w:rPr>
          <w:sz w:val="22"/>
          <w:szCs w:val="22"/>
        </w:rPr>
        <w:t xml:space="preserve"> and TNF-α (Lab </w:t>
      </w:r>
      <w:r w:rsidR="00865BDB" w:rsidRPr="00266D45">
        <w:rPr>
          <w:sz w:val="22"/>
          <w:szCs w:val="22"/>
        </w:rPr>
        <w:t xml:space="preserve">Systems </w:t>
      </w:r>
      <w:r w:rsidRPr="00266D45">
        <w:rPr>
          <w:sz w:val="22"/>
          <w:szCs w:val="22"/>
        </w:rPr>
        <w:t>Diagnostic Oy) w</w:t>
      </w:r>
      <w:r w:rsidR="00865BDB">
        <w:rPr>
          <w:sz w:val="22"/>
          <w:szCs w:val="22"/>
        </w:rPr>
        <w:t>ere</w:t>
      </w:r>
      <w:r w:rsidRPr="00266D45">
        <w:rPr>
          <w:sz w:val="22"/>
          <w:szCs w:val="22"/>
        </w:rPr>
        <w:t xml:space="preserve"> estimated by </w:t>
      </w:r>
      <w:r w:rsidR="00865BDB">
        <w:rPr>
          <w:sz w:val="22"/>
          <w:szCs w:val="22"/>
        </w:rPr>
        <w:t xml:space="preserve">the </w:t>
      </w:r>
      <w:r w:rsidRPr="00266D45">
        <w:rPr>
          <w:sz w:val="22"/>
          <w:szCs w:val="22"/>
        </w:rPr>
        <w:t>ELISA method. Insulin resistance was calculated using the homeostasis model assessment insulin resistance index (HOMA</w:t>
      </w:r>
      <w:r w:rsidR="00865BDB">
        <w:rPr>
          <w:sz w:val="22"/>
          <w:szCs w:val="22"/>
        </w:rPr>
        <w:t>-</w:t>
      </w:r>
      <w:r w:rsidRPr="00266D45">
        <w:rPr>
          <w:sz w:val="22"/>
          <w:szCs w:val="22"/>
        </w:rPr>
        <w:t>IR) score</w:t>
      </w:r>
      <w:r w:rsidR="00865BDB">
        <w:rPr>
          <w:sz w:val="22"/>
          <w:szCs w:val="22"/>
        </w:rPr>
        <w:t>:</w:t>
      </w:r>
      <w:r w:rsidRPr="00266D45">
        <w:rPr>
          <w:sz w:val="22"/>
          <w:szCs w:val="22"/>
        </w:rPr>
        <w:t xml:space="preserve"> </w:t>
      </w:r>
      <w:proofErr w:type="gramStart"/>
      <w:r w:rsidRPr="00266D45">
        <w:rPr>
          <w:sz w:val="22"/>
          <w:szCs w:val="22"/>
        </w:rPr>
        <w:t>FBG(</w:t>
      </w:r>
      <w:proofErr w:type="gramEnd"/>
      <w:r w:rsidRPr="00266D45">
        <w:rPr>
          <w:sz w:val="22"/>
          <w:szCs w:val="22"/>
        </w:rPr>
        <w:t>mg/d</w:t>
      </w:r>
      <w:r w:rsidR="00865BDB" w:rsidRPr="00266D45">
        <w:rPr>
          <w:sz w:val="22"/>
          <w:szCs w:val="22"/>
        </w:rPr>
        <w:t>L</w:t>
      </w:r>
      <w:r w:rsidRPr="00266D45">
        <w:rPr>
          <w:sz w:val="22"/>
          <w:szCs w:val="22"/>
        </w:rPr>
        <w:t>) x fasting Insulin</w:t>
      </w:r>
      <w:r w:rsidR="00865BDB">
        <w:rPr>
          <w:sz w:val="22"/>
          <w:szCs w:val="22"/>
        </w:rPr>
        <w:t xml:space="preserve"> </w:t>
      </w:r>
      <w:r w:rsidRPr="00266D45">
        <w:rPr>
          <w:sz w:val="22"/>
          <w:szCs w:val="22"/>
        </w:rPr>
        <w:t>(</w:t>
      </w:r>
      <w:proofErr w:type="spellStart"/>
      <w:r w:rsidRPr="00266D45">
        <w:rPr>
          <w:sz w:val="22"/>
          <w:szCs w:val="22"/>
        </w:rPr>
        <w:t>mU</w:t>
      </w:r>
      <w:proofErr w:type="spellEnd"/>
      <w:r w:rsidRPr="00266D45">
        <w:rPr>
          <w:sz w:val="22"/>
          <w:szCs w:val="22"/>
        </w:rPr>
        <w:t>/L)/405. A HOMA-IR cut-off of 2.5 was taken as normal</w:t>
      </w:r>
      <w:r w:rsidR="00865BDB">
        <w:rPr>
          <w:sz w:val="22"/>
          <w:szCs w:val="22"/>
        </w:rPr>
        <w:t xml:space="preserve"> </w:t>
      </w:r>
      <w:r w:rsidRPr="00266D45">
        <w:rPr>
          <w:sz w:val="22"/>
          <w:szCs w:val="22"/>
        </w:rPr>
        <w:t>[44]</w:t>
      </w:r>
      <w:r w:rsidR="00865BDB">
        <w:rPr>
          <w:sz w:val="22"/>
          <w:szCs w:val="22"/>
        </w:rPr>
        <w:t>.</w:t>
      </w:r>
    </w:p>
    <w:p w14:paraId="49EA004C" w14:textId="5BB80F12" w:rsidR="00E37116" w:rsidRPr="00266D45" w:rsidRDefault="00E37116" w:rsidP="00E37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 w:rsidRPr="00266D45">
        <w:rPr>
          <w:rFonts w:ascii="Calibri" w:hAnsi="Calibri" w:cs="Calibri"/>
          <w:b/>
          <w:bCs/>
          <w:sz w:val="22"/>
          <w:szCs w:val="22"/>
        </w:rPr>
        <w:t>Statistical analysis</w:t>
      </w:r>
      <w:r w:rsidRPr="00266D45">
        <w:rPr>
          <w:rFonts w:ascii="Calibri" w:hAnsi="Calibri" w:cs="Calibri"/>
          <w:sz w:val="22"/>
          <w:szCs w:val="22"/>
        </w:rPr>
        <w:t xml:space="preserve">: Quantitative variables </w:t>
      </w:r>
      <w:r w:rsidR="00865BDB">
        <w:rPr>
          <w:rFonts w:ascii="Calibri" w:hAnsi="Calibri" w:cs="Calibri"/>
          <w:sz w:val="22"/>
          <w:szCs w:val="22"/>
        </w:rPr>
        <w:t>a</w:t>
      </w:r>
      <w:r w:rsidR="00865BDB" w:rsidRPr="00266D45">
        <w:rPr>
          <w:rFonts w:ascii="Calibri" w:hAnsi="Calibri" w:cs="Calibri"/>
          <w:sz w:val="22"/>
          <w:szCs w:val="22"/>
        </w:rPr>
        <w:t xml:space="preserve">re </w:t>
      </w:r>
      <w:r w:rsidRPr="00266D45">
        <w:rPr>
          <w:rFonts w:ascii="Calibri" w:hAnsi="Calibri" w:cs="Calibri"/>
          <w:sz w:val="22"/>
          <w:szCs w:val="22"/>
        </w:rPr>
        <w:t xml:space="preserve">expressed as </w:t>
      </w:r>
      <w:r w:rsidR="00865BDB">
        <w:rPr>
          <w:rFonts w:ascii="Calibri" w:hAnsi="Calibri" w:cs="Calibri"/>
          <w:sz w:val="22"/>
          <w:szCs w:val="22"/>
        </w:rPr>
        <w:t xml:space="preserve">the </w:t>
      </w:r>
      <w:r w:rsidR="00865BDB" w:rsidRPr="00266D45">
        <w:rPr>
          <w:rFonts w:ascii="Calibri" w:hAnsi="Calibri" w:cs="Calibri"/>
          <w:sz w:val="22"/>
          <w:szCs w:val="22"/>
        </w:rPr>
        <w:t xml:space="preserve">mean </w:t>
      </w:r>
      <w:r w:rsidRPr="00266D45">
        <w:rPr>
          <w:rFonts w:ascii="Calibri" w:hAnsi="Calibri" w:cs="Calibri"/>
          <w:sz w:val="22"/>
          <w:szCs w:val="22"/>
        </w:rPr>
        <w:t xml:space="preserve">± SD and the qualitative variables </w:t>
      </w:r>
      <w:r w:rsidR="00865BDB">
        <w:rPr>
          <w:rFonts w:ascii="Calibri" w:hAnsi="Calibri" w:cs="Calibri"/>
          <w:sz w:val="22"/>
          <w:szCs w:val="22"/>
        </w:rPr>
        <w:t>a</w:t>
      </w:r>
      <w:r w:rsidR="00865BDB" w:rsidRPr="00266D45">
        <w:rPr>
          <w:rFonts w:ascii="Calibri" w:hAnsi="Calibri" w:cs="Calibri"/>
          <w:sz w:val="22"/>
          <w:szCs w:val="22"/>
        </w:rPr>
        <w:t xml:space="preserve">re </w:t>
      </w:r>
      <w:r w:rsidRPr="00266D45">
        <w:rPr>
          <w:rFonts w:ascii="Calibri" w:hAnsi="Calibri" w:cs="Calibri"/>
          <w:sz w:val="22"/>
          <w:szCs w:val="22"/>
        </w:rPr>
        <w:t>expressed in percentage</w:t>
      </w:r>
      <w:r w:rsidR="00865BDB">
        <w:rPr>
          <w:rFonts w:ascii="Calibri" w:hAnsi="Calibri" w:cs="Calibri"/>
          <w:sz w:val="22"/>
          <w:szCs w:val="22"/>
        </w:rPr>
        <w:t>s</w:t>
      </w:r>
      <w:r w:rsidRPr="00266D45">
        <w:rPr>
          <w:rFonts w:ascii="Calibri" w:hAnsi="Calibri" w:cs="Calibri"/>
          <w:sz w:val="22"/>
          <w:szCs w:val="22"/>
        </w:rPr>
        <w:t xml:space="preserve"> and proportion</w:t>
      </w:r>
      <w:r w:rsidR="00865BDB">
        <w:rPr>
          <w:rFonts w:ascii="Calibri" w:hAnsi="Calibri" w:cs="Calibri"/>
          <w:sz w:val="22"/>
          <w:szCs w:val="22"/>
        </w:rPr>
        <w:t>s</w:t>
      </w:r>
      <w:r w:rsidRPr="00266D45">
        <w:rPr>
          <w:rFonts w:ascii="Calibri" w:hAnsi="Calibri" w:cs="Calibri"/>
          <w:sz w:val="22"/>
          <w:szCs w:val="22"/>
        </w:rPr>
        <w:t xml:space="preserve">. Analysis was done using </w:t>
      </w:r>
      <w:r w:rsidR="00865BDB">
        <w:rPr>
          <w:rFonts w:ascii="Calibri" w:hAnsi="Calibri" w:cs="Calibri"/>
          <w:sz w:val="22"/>
          <w:szCs w:val="22"/>
        </w:rPr>
        <w:t xml:space="preserve">the </w:t>
      </w:r>
      <w:r w:rsidRPr="00266D45">
        <w:rPr>
          <w:rFonts w:ascii="Calibri" w:hAnsi="Calibri" w:cs="Calibri"/>
          <w:sz w:val="22"/>
          <w:szCs w:val="22"/>
        </w:rPr>
        <w:t xml:space="preserve">SPSS version 23.0 (IBM SPSS Statistics Inc., Chicago, Illinois, USA) software program. Categorical variables were compared using </w:t>
      </w:r>
      <w:r w:rsidR="00865BDB">
        <w:rPr>
          <w:rFonts w:ascii="Calibri" w:hAnsi="Calibri" w:cs="Calibri"/>
          <w:sz w:val="22"/>
          <w:szCs w:val="22"/>
        </w:rPr>
        <w:t xml:space="preserve">the </w:t>
      </w:r>
      <w:r w:rsidR="00865BDB" w:rsidRPr="00865BDB">
        <w:rPr>
          <w:rFonts w:ascii="Calibri" w:hAnsi="Calibri" w:cs="Calibri"/>
          <w:sz w:val="22"/>
          <w:szCs w:val="22"/>
        </w:rPr>
        <w:t>χ</w:t>
      </w:r>
      <w:r w:rsidR="00865BDB" w:rsidRPr="00BE6E66">
        <w:rPr>
          <w:rFonts w:ascii="Calibri" w:hAnsi="Calibri" w:cs="Calibri"/>
          <w:sz w:val="22"/>
          <w:szCs w:val="22"/>
          <w:vertAlign w:val="superscript"/>
        </w:rPr>
        <w:t>2</w:t>
      </w:r>
      <w:r w:rsidRPr="00266D45">
        <w:rPr>
          <w:rFonts w:ascii="Calibri" w:hAnsi="Calibri" w:cs="Calibri"/>
          <w:sz w:val="22"/>
          <w:szCs w:val="22"/>
        </w:rPr>
        <w:t xml:space="preserve"> test. All values were not normally distributed (assessed using </w:t>
      </w:r>
      <w:r w:rsidR="00865BDB">
        <w:rPr>
          <w:rFonts w:ascii="Calibri" w:hAnsi="Calibri" w:cs="Calibri"/>
          <w:sz w:val="22"/>
          <w:szCs w:val="22"/>
        </w:rPr>
        <w:t xml:space="preserve">the </w:t>
      </w:r>
      <w:r w:rsidRPr="00266D45">
        <w:rPr>
          <w:rFonts w:ascii="Calibri" w:hAnsi="Calibri" w:cs="Calibri"/>
          <w:sz w:val="22"/>
          <w:szCs w:val="22"/>
        </w:rPr>
        <w:t>Shapiro</w:t>
      </w:r>
      <w:r w:rsidR="00865BDB">
        <w:rPr>
          <w:rFonts w:ascii="Calibri" w:hAnsi="Calibri" w:cs="Calibri"/>
          <w:sz w:val="22"/>
          <w:szCs w:val="22"/>
        </w:rPr>
        <w:t>-</w:t>
      </w:r>
      <w:r w:rsidRPr="00266D45">
        <w:rPr>
          <w:rFonts w:ascii="Calibri" w:hAnsi="Calibri" w:cs="Calibri"/>
          <w:sz w:val="22"/>
          <w:szCs w:val="22"/>
        </w:rPr>
        <w:t xml:space="preserve">Wilk test and visual histogram and box plots), </w:t>
      </w:r>
      <w:r w:rsidR="00865BDB">
        <w:rPr>
          <w:rFonts w:ascii="Calibri" w:hAnsi="Calibri" w:cs="Calibri"/>
          <w:sz w:val="22"/>
          <w:szCs w:val="22"/>
        </w:rPr>
        <w:t xml:space="preserve">the </w:t>
      </w:r>
      <w:r w:rsidRPr="00266D45">
        <w:rPr>
          <w:rFonts w:ascii="Calibri" w:hAnsi="Calibri" w:cs="Calibri"/>
          <w:sz w:val="22"/>
          <w:szCs w:val="22"/>
        </w:rPr>
        <w:t>Mann-Whitney</w:t>
      </w:r>
      <w:r w:rsidR="00865BDB">
        <w:rPr>
          <w:rFonts w:ascii="Calibri" w:hAnsi="Calibri" w:cs="Calibri"/>
          <w:sz w:val="22"/>
          <w:szCs w:val="22"/>
        </w:rPr>
        <w:t xml:space="preserve"> </w:t>
      </w:r>
      <w:r w:rsidRPr="00266D45">
        <w:rPr>
          <w:rFonts w:ascii="Calibri" w:hAnsi="Calibri" w:cs="Calibri"/>
          <w:sz w:val="22"/>
          <w:szCs w:val="22"/>
        </w:rPr>
        <w:t xml:space="preserve">U test was used for comparison of </w:t>
      </w:r>
      <w:r w:rsidRPr="00266D45">
        <w:rPr>
          <w:rFonts w:ascii="Calibri" w:hAnsi="Calibri" w:cs="Calibri"/>
          <w:sz w:val="22"/>
          <w:szCs w:val="22"/>
        </w:rPr>
        <w:lastRenderedPageBreak/>
        <w:t>numerical data</w:t>
      </w:r>
      <w:r w:rsidR="00865BDB">
        <w:rPr>
          <w:rFonts w:ascii="Calibri" w:hAnsi="Calibri" w:cs="Calibri"/>
          <w:sz w:val="22"/>
          <w:szCs w:val="22"/>
        </w:rPr>
        <w:t>,</w:t>
      </w:r>
      <w:r w:rsidRPr="00266D45">
        <w:rPr>
          <w:rFonts w:ascii="Calibri" w:hAnsi="Calibri" w:cs="Calibri"/>
          <w:sz w:val="22"/>
          <w:szCs w:val="22"/>
        </w:rPr>
        <w:t xml:space="preserve"> and correlations were derived using Spearman’s coefficient (rho). Statistical significance was assigned at </w:t>
      </w:r>
      <w:r w:rsidR="00865BDB">
        <w:rPr>
          <w:rFonts w:ascii="Calibri" w:hAnsi="Calibri" w:cs="Calibri"/>
          <w:sz w:val="22"/>
          <w:szCs w:val="22"/>
        </w:rPr>
        <w:t xml:space="preserve">a </w:t>
      </w:r>
      <w:r w:rsidRPr="00BE6E66">
        <w:rPr>
          <w:rFonts w:ascii="Calibri" w:hAnsi="Calibri" w:cs="Calibri"/>
          <w:i/>
          <w:iCs/>
          <w:sz w:val="22"/>
          <w:szCs w:val="22"/>
        </w:rPr>
        <w:t>p</w:t>
      </w:r>
      <w:r w:rsidR="00865BDB">
        <w:rPr>
          <w:rFonts w:ascii="Calibri" w:hAnsi="Calibri" w:cs="Calibri"/>
          <w:sz w:val="22"/>
          <w:szCs w:val="22"/>
        </w:rPr>
        <w:t xml:space="preserve"> </w:t>
      </w:r>
      <w:r w:rsidRPr="00266D45">
        <w:rPr>
          <w:rFonts w:ascii="Calibri" w:hAnsi="Calibri" w:cs="Calibri"/>
          <w:sz w:val="22"/>
          <w:szCs w:val="22"/>
        </w:rPr>
        <w:t xml:space="preserve">value </w:t>
      </w:r>
      <w:r w:rsidR="00865BDB">
        <w:rPr>
          <w:rFonts w:ascii="Calibri" w:hAnsi="Calibri" w:cs="Calibri"/>
          <w:sz w:val="22"/>
          <w:szCs w:val="22"/>
        </w:rPr>
        <w:t>&lt;</w:t>
      </w:r>
      <w:r w:rsidRPr="00266D45">
        <w:rPr>
          <w:rFonts w:ascii="Calibri" w:hAnsi="Calibri" w:cs="Calibri"/>
          <w:sz w:val="22"/>
          <w:szCs w:val="22"/>
        </w:rPr>
        <w:t>0.05.</w:t>
      </w:r>
    </w:p>
    <w:p w14:paraId="765D0D02" w14:textId="77777777" w:rsidR="001226AA" w:rsidRDefault="001226AA"/>
    <w:sectPr w:rsidR="001226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4D7"/>
    <w:multiLevelType w:val="hybridMultilevel"/>
    <w:tmpl w:val="FC8290A4"/>
    <w:numStyleLink w:val="ImportedStyle2"/>
  </w:abstractNum>
  <w:abstractNum w:abstractNumId="1" w15:restartNumberingAfterBreak="0">
    <w:nsid w:val="02FA6C7B"/>
    <w:multiLevelType w:val="hybridMultilevel"/>
    <w:tmpl w:val="FC8290A4"/>
    <w:styleLink w:val="ImportedStyle2"/>
    <w:lvl w:ilvl="0" w:tplc="7214CE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60D3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4CFF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85A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8290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DEB7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84C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8E8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2AF8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442"/>
    <w:multiLevelType w:val="hybridMultilevel"/>
    <w:tmpl w:val="79285DD0"/>
    <w:styleLink w:val="ImportedStyle1"/>
    <w:lvl w:ilvl="0" w:tplc="5CAA80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FE84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2091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8E9C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406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BABA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F4F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0ED3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F470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4A875B8"/>
    <w:multiLevelType w:val="hybridMultilevel"/>
    <w:tmpl w:val="79285DD0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16"/>
    <w:rsid w:val="001226AA"/>
    <w:rsid w:val="004C5686"/>
    <w:rsid w:val="00865BDB"/>
    <w:rsid w:val="00BE6E66"/>
    <w:rsid w:val="00E3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D3EF"/>
  <w15:chartTrackingRefBased/>
  <w15:docId w15:val="{7B161373-E211-4CF7-896B-0E7F6480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1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371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rsid w:val="00E3711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E371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E37116"/>
    <w:pPr>
      <w:numPr>
        <w:numId w:val="1"/>
      </w:numPr>
    </w:pPr>
  </w:style>
  <w:style w:type="numbering" w:customStyle="1" w:styleId="ImportedStyle2">
    <w:name w:val="Imported Style 2"/>
    <w:rsid w:val="00E37116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86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Richard Pelham</cp:lastModifiedBy>
  <cp:revision>3</cp:revision>
  <dcterms:created xsi:type="dcterms:W3CDTF">2020-11-12T15:27:00Z</dcterms:created>
  <dcterms:modified xsi:type="dcterms:W3CDTF">2021-01-12T14:48:00Z</dcterms:modified>
</cp:coreProperties>
</file>