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32" w:type="dxa"/>
        <w:tblInd w:w="-910" w:type="dxa"/>
        <w:tblLook w:val="04A0" w:firstRow="1" w:lastRow="0" w:firstColumn="1" w:lastColumn="0" w:noHBand="0" w:noVBand="1"/>
      </w:tblPr>
      <w:tblGrid>
        <w:gridCol w:w="1973"/>
        <w:gridCol w:w="1767"/>
        <w:gridCol w:w="1767"/>
        <w:gridCol w:w="1774"/>
        <w:gridCol w:w="1780"/>
        <w:gridCol w:w="1771"/>
      </w:tblGrid>
      <w:tr w:rsidR="00135E21" w:rsidRPr="003B7813" w:rsidTr="004A63F7">
        <w:tc>
          <w:tcPr>
            <w:tcW w:w="1973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b/>
                <w:bCs/>
                <w:sz w:val="17"/>
                <w:szCs w:val="17"/>
                <w:lang w:val="en-US" w:eastAsia="de-CH"/>
              </w:rPr>
              <w:t>First author, year of publication</w:t>
            </w:r>
          </w:p>
        </w:tc>
        <w:tc>
          <w:tcPr>
            <w:tcW w:w="1767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b/>
                <w:bCs/>
                <w:sz w:val="17"/>
                <w:szCs w:val="17"/>
                <w:lang w:val="en-US" w:eastAsia="de-CH"/>
              </w:rPr>
              <w:t>Sturm 2011</w:t>
            </w:r>
          </w:p>
        </w:tc>
        <w:tc>
          <w:tcPr>
            <w:tcW w:w="1767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b/>
                <w:bCs/>
                <w:sz w:val="17"/>
                <w:szCs w:val="17"/>
                <w:lang w:val="en-US" w:eastAsia="de-CH"/>
              </w:rPr>
              <w:t>Jones 2014</w:t>
            </w:r>
          </w:p>
        </w:tc>
        <w:tc>
          <w:tcPr>
            <w:tcW w:w="1774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b/>
                <w:bCs/>
                <w:sz w:val="17"/>
                <w:szCs w:val="17"/>
                <w:lang w:val="en-US" w:eastAsia="de-CH"/>
              </w:rPr>
              <w:t>Hathibelagal 2015</w:t>
            </w:r>
          </w:p>
        </w:tc>
        <w:tc>
          <w:tcPr>
            <w:tcW w:w="1780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b/>
                <w:bCs/>
                <w:sz w:val="17"/>
                <w:szCs w:val="17"/>
                <w:lang w:val="en-US" w:eastAsia="de-CH"/>
              </w:rPr>
              <w:t>Barsingerhorn 2019</w:t>
            </w:r>
          </w:p>
        </w:tc>
        <w:tc>
          <w:tcPr>
            <w:tcW w:w="1771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b/>
                <w:bCs/>
                <w:sz w:val="17"/>
                <w:szCs w:val="17"/>
                <w:lang w:val="en-US" w:eastAsia="de-CH"/>
              </w:rPr>
              <w:t>Vrabic 2020</w:t>
            </w:r>
          </w:p>
        </w:tc>
      </w:tr>
      <w:tr w:rsidR="00135E21" w:rsidRPr="003B7813" w:rsidTr="004A63F7">
        <w:tc>
          <w:tcPr>
            <w:tcW w:w="1973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b/>
                <w:bCs/>
                <w:sz w:val="17"/>
                <w:szCs w:val="17"/>
                <w:lang w:val="en-US" w:eastAsia="de-CH"/>
              </w:rPr>
              <w:t>PARTICIPANTS</w:t>
            </w:r>
          </w:p>
        </w:tc>
        <w:tc>
          <w:tcPr>
            <w:tcW w:w="1767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9 adults aged 23</w:t>
            </w:r>
            <w:r w:rsidRPr="003B7813">
              <w:rPr>
                <w:rFonts w:asciiTheme="minorHAnsi" w:hAnsiTheme="minorHAnsi" w:cstheme="minorHAnsi"/>
                <w:noProof/>
                <w:color w:val="000000"/>
                <w:sz w:val="17"/>
                <w:szCs w:val="17"/>
                <w:lang w:val="en-GB"/>
              </w:rPr>
              <w:t xml:space="preserve">–35 years with no ophthalmic </w:t>
            </w: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deficit other than refractive error.</w:t>
            </w:r>
          </w:p>
        </w:tc>
        <w:tc>
          <w:tcPr>
            <w:tcW w:w="1767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30 infants aged 2</w:t>
            </w:r>
            <w:r w:rsidRPr="003B7813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–</w:t>
            </w: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12 months with no known visual problems or medical condition, 8 adults aged 21.6</w:t>
            </w:r>
            <w:r w:rsidRPr="003B7813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–</w:t>
            </w: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39.9 years with normal or corrected-normal vision.</w:t>
            </w:r>
          </w:p>
        </w:tc>
        <w:tc>
          <w:tcPr>
            <w:tcW w:w="1774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sl-SI"/>
              </w:rPr>
            </w:pPr>
            <w:r w:rsidRPr="003B7813">
              <w:rPr>
                <w:rFonts w:asciiTheme="minorHAnsi" w:hAnsiTheme="minorHAnsi" w:cstheme="minorHAnsi"/>
                <w:sz w:val="17"/>
                <w:szCs w:val="17"/>
                <w:lang w:val="sl-SI"/>
              </w:rPr>
              <w:t>20 infants aged 3.2</w:t>
            </w:r>
            <w:r w:rsidRPr="003B7813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–</w:t>
            </w:r>
            <w:r w:rsidRPr="003B7813">
              <w:rPr>
                <w:rFonts w:asciiTheme="minorHAnsi" w:hAnsiTheme="minorHAnsi" w:cstheme="minorHAnsi"/>
                <w:sz w:val="17"/>
                <w:szCs w:val="17"/>
                <w:lang w:val="sl-SI"/>
              </w:rPr>
              <w:t>11 months with no known major medical problems, 15 adults aged 22</w:t>
            </w:r>
            <w:r w:rsidRPr="003B7813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–</w:t>
            </w:r>
            <w:r w:rsidRPr="003B7813">
              <w:rPr>
                <w:rFonts w:asciiTheme="minorHAnsi" w:hAnsiTheme="minorHAnsi" w:cstheme="minorHAnsi"/>
                <w:sz w:val="17"/>
                <w:szCs w:val="17"/>
                <w:lang w:val="sl-SI"/>
              </w:rPr>
              <w:t>47 years with uncorrected myopia.</w:t>
            </w:r>
          </w:p>
        </w:tc>
        <w:tc>
          <w:tcPr>
            <w:tcW w:w="1780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88 children with normal vision aged 6</w:t>
            </w:r>
            <w:r w:rsidRPr="003B7813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–</w:t>
            </w: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12 years, 34 children with visual impairment (either cerebral, congenital or acquitted</w:t>
            </w:r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)</w:t>
            </w: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 xml:space="preserve"> aged 6</w:t>
            </w:r>
            <w:r w:rsidRPr="003B7813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–</w:t>
            </w: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12 years</w:t>
            </w:r>
          </w:p>
        </w:tc>
        <w:tc>
          <w:tcPr>
            <w:tcW w:w="1771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36 healthy children aged 5 months</w:t>
            </w:r>
            <w:r w:rsidRPr="003B7813">
              <w:rPr>
                <w:rFonts w:asciiTheme="minorHAnsi" w:hAnsiTheme="minorHAnsi" w:cstheme="minorHAnsi"/>
                <w:noProof/>
                <w:sz w:val="17"/>
                <w:szCs w:val="17"/>
                <w:lang w:val="en-GB"/>
              </w:rPr>
              <w:t>–16 years whith no ophthalmic deficit other than corrected refractive error.</w:t>
            </w:r>
          </w:p>
        </w:tc>
      </w:tr>
      <w:tr w:rsidR="00135E21" w:rsidRPr="003B7813" w:rsidTr="004A63F7">
        <w:tc>
          <w:tcPr>
            <w:tcW w:w="1973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b/>
                <w:bCs/>
                <w:sz w:val="17"/>
                <w:szCs w:val="17"/>
                <w:lang w:val="en-US" w:eastAsia="de-CH"/>
              </w:rPr>
              <w:t>STANDARD TEST</w:t>
            </w:r>
          </w:p>
        </w:tc>
        <w:tc>
          <w:tcPr>
            <w:tcW w:w="1767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Teller acuity cards</w:t>
            </w:r>
          </w:p>
        </w:tc>
        <w:tc>
          <w:tcPr>
            <w:tcW w:w="1767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Keeler acuity cards</w:t>
            </w:r>
          </w:p>
        </w:tc>
        <w:tc>
          <w:tcPr>
            <w:tcW w:w="1774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Teller acuity cards</w:t>
            </w:r>
          </w:p>
        </w:tc>
        <w:tc>
          <w:tcPr>
            <w:tcW w:w="1780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/</w:t>
            </w:r>
          </w:p>
        </w:tc>
        <w:tc>
          <w:tcPr>
            <w:tcW w:w="1771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Keeler acuity cards</w:t>
            </w:r>
            <w:r w:rsidR="0054173A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, Lea symbols</w:t>
            </w:r>
          </w:p>
        </w:tc>
      </w:tr>
      <w:tr w:rsidR="00135E21" w:rsidRPr="003B7813" w:rsidTr="004A63F7">
        <w:tc>
          <w:tcPr>
            <w:tcW w:w="1973" w:type="dxa"/>
          </w:tcPr>
          <w:p w:rsidR="00135E21" w:rsidRPr="00B3373D" w:rsidRDefault="00135E21" w:rsidP="00DE09B8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7"/>
                <w:szCs w:val="17"/>
                <w:lang w:val="en-US" w:eastAsia="de-CH"/>
              </w:rPr>
            </w:pPr>
            <w:r w:rsidRPr="00B3373D">
              <w:rPr>
                <w:rFonts w:asciiTheme="minorHAnsi" w:eastAsia="Times New Roman" w:hAnsiTheme="minorHAnsi" w:cstheme="minorHAnsi"/>
                <w:b/>
                <w:bCs/>
                <w:sz w:val="17"/>
                <w:szCs w:val="17"/>
                <w:lang w:val="en-US" w:eastAsia="de-CH"/>
              </w:rPr>
              <w:t>GAZE TRACKING TEST</w:t>
            </w:r>
          </w:p>
          <w:p w:rsidR="00135E21" w:rsidRPr="00DE09B8" w:rsidRDefault="00135E21" w:rsidP="00DE09B8">
            <w:pPr>
              <w:pStyle w:val="ListParagraph"/>
              <w:adjustRightInd w:val="0"/>
              <w:snapToGrid w:val="0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</w:p>
          <w:p w:rsidR="00135E21" w:rsidRPr="00DE09B8" w:rsidRDefault="00135E21" w:rsidP="00DE09B8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DE09B8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 xml:space="preserve">Remote gaze/eye tracking system; frequency of operating </w:t>
            </w:r>
          </w:p>
        </w:tc>
        <w:tc>
          <w:tcPr>
            <w:tcW w:w="1767" w:type="dxa"/>
          </w:tcPr>
          <w:p w:rsidR="00135E21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</w:p>
          <w:p w:rsidR="00135E21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</w:p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Vision 2020; El-Mar Inc, Toronto, Canada; 30 Hz</w:t>
            </w:r>
          </w:p>
        </w:tc>
        <w:tc>
          <w:tcPr>
            <w:tcW w:w="1767" w:type="dxa"/>
          </w:tcPr>
          <w:p w:rsidR="00135E21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</w:p>
          <w:p w:rsidR="00135E21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</w:p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Tobii TX120; Tobii Technology AB; Danderyd, Sweden; 60 Hz</w:t>
            </w:r>
          </w:p>
        </w:tc>
        <w:tc>
          <w:tcPr>
            <w:tcW w:w="1774" w:type="dxa"/>
          </w:tcPr>
          <w:p w:rsidR="00135E21" w:rsidRDefault="00135E21" w:rsidP="004A63F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eastAsiaTheme="minorHAnsi" w:hAnsiTheme="minorHAnsi" w:cstheme="minorHAnsi"/>
                <w:sz w:val="17"/>
                <w:szCs w:val="17"/>
                <w:lang w:val="en-GB" w:bidi="he-IL"/>
              </w:rPr>
            </w:pPr>
          </w:p>
          <w:p w:rsidR="00135E21" w:rsidRDefault="00135E21" w:rsidP="004A63F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eastAsiaTheme="minorHAnsi" w:hAnsiTheme="minorHAnsi" w:cstheme="minorHAnsi"/>
                <w:sz w:val="17"/>
                <w:szCs w:val="17"/>
                <w:lang w:val="en-GB" w:bidi="he-IL"/>
              </w:rPr>
            </w:pPr>
          </w:p>
          <w:p w:rsidR="00135E21" w:rsidRPr="003B7813" w:rsidRDefault="00135E21" w:rsidP="004A63F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eastAsiaTheme="minorHAnsi" w:hAnsiTheme="minorHAnsi" w:cstheme="minorHAnsi"/>
                <w:sz w:val="17"/>
                <w:szCs w:val="17"/>
                <w:lang w:val="en-GB" w:bidi="he-IL"/>
              </w:rPr>
            </w:pPr>
            <w:r w:rsidRPr="003B7813">
              <w:rPr>
                <w:rFonts w:asciiTheme="minorHAnsi" w:eastAsiaTheme="minorHAnsi" w:hAnsiTheme="minorHAnsi" w:cstheme="minorHAnsi"/>
                <w:sz w:val="17"/>
                <w:szCs w:val="17"/>
                <w:lang w:val="en-GB" w:bidi="he-IL"/>
              </w:rPr>
              <w:t>7 infrared light</w:t>
            </w:r>
          </w:p>
          <w:p w:rsidR="00135E21" w:rsidRPr="003B7813" w:rsidRDefault="00030563" w:rsidP="004A63F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eastAsiaTheme="minorHAnsi" w:hAnsiTheme="minorHAnsi" w:cstheme="minorHAnsi"/>
                <w:sz w:val="17"/>
                <w:szCs w:val="17"/>
                <w:lang w:val="en-GB" w:bidi="he-IL"/>
              </w:rPr>
            </w:pPr>
            <w:r>
              <w:rPr>
                <w:rFonts w:asciiTheme="minorHAnsi" w:eastAsiaTheme="minorHAnsi" w:hAnsiTheme="minorHAnsi" w:cstheme="minorHAnsi"/>
                <w:sz w:val="17"/>
                <w:szCs w:val="17"/>
                <w:lang w:val="en-GB" w:bidi="he-IL"/>
              </w:rPr>
              <w:t>s</w:t>
            </w:r>
            <w:r w:rsidR="00135E21" w:rsidRPr="003B7813">
              <w:rPr>
                <w:rFonts w:asciiTheme="minorHAnsi" w:eastAsiaTheme="minorHAnsi" w:hAnsiTheme="minorHAnsi" w:cstheme="minorHAnsi"/>
                <w:sz w:val="17"/>
                <w:szCs w:val="17"/>
                <w:lang w:val="en-GB" w:bidi="he-IL"/>
              </w:rPr>
              <w:t>ources (3 of which were used), 2 video cameras (Point Grey Grasshopper 20S4MC)</w:t>
            </w:r>
          </w:p>
        </w:tc>
        <w:tc>
          <w:tcPr>
            <w:tcW w:w="1780" w:type="dxa"/>
          </w:tcPr>
          <w:p w:rsidR="00135E21" w:rsidRDefault="00135E21" w:rsidP="004A63F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  <w:p w:rsidR="00135E21" w:rsidRDefault="00135E21" w:rsidP="004A63F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  <w:p w:rsidR="00135E21" w:rsidRPr="003B7813" w:rsidRDefault="00135E21" w:rsidP="004A63F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 w:rsidRPr="003B7813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Stereoscopic eye tracking system with </w:t>
            </w: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2</w:t>
            </w:r>
            <w:r w:rsidRPr="003B7813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 USB 3.0 cameras and</w:t>
            </w: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 2 </w:t>
            </w:r>
            <w:r w:rsidRPr="003B7813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infrared light sources in a fully calibrated configuration with respect to the stimulus screen 300 Hz – 500 Hz</w:t>
            </w:r>
          </w:p>
        </w:tc>
        <w:tc>
          <w:tcPr>
            <w:tcW w:w="1771" w:type="dxa"/>
          </w:tcPr>
          <w:p w:rsidR="00135E21" w:rsidRDefault="00135E21" w:rsidP="004A63F7">
            <w:pPr>
              <w:adjustRightInd w:val="0"/>
              <w:snapToGrid w:val="0"/>
              <w:spacing w:after="0" w:line="240" w:lineRule="auto"/>
              <w:rPr>
                <w:rFonts w:cs="Calibri"/>
                <w:noProof/>
                <w:color w:val="000000"/>
                <w:sz w:val="17"/>
                <w:szCs w:val="17"/>
                <w:lang w:val="en-GB" w:bidi="he-IL"/>
              </w:rPr>
            </w:pPr>
          </w:p>
          <w:p w:rsidR="00135E21" w:rsidRDefault="00135E21" w:rsidP="004A63F7">
            <w:pPr>
              <w:adjustRightInd w:val="0"/>
              <w:snapToGrid w:val="0"/>
              <w:spacing w:after="0" w:line="240" w:lineRule="auto"/>
              <w:rPr>
                <w:rFonts w:cs="Calibri"/>
                <w:noProof/>
                <w:color w:val="000000"/>
                <w:sz w:val="17"/>
                <w:szCs w:val="17"/>
                <w:lang w:val="en-GB" w:bidi="he-IL"/>
              </w:rPr>
            </w:pPr>
          </w:p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cs="Calibri"/>
                <w:noProof/>
                <w:color w:val="000000"/>
                <w:sz w:val="17"/>
                <w:szCs w:val="17"/>
                <w:lang w:val="en-GB" w:bidi="he-IL"/>
              </w:rPr>
            </w:pPr>
            <w:r w:rsidRPr="003B7813">
              <w:rPr>
                <w:rFonts w:cs="Calibri"/>
                <w:noProof/>
                <w:color w:val="000000"/>
                <w:sz w:val="17"/>
                <w:szCs w:val="17"/>
                <w:lang w:val="en-GB" w:bidi="he-IL"/>
              </w:rPr>
              <w:t>Tobii Pro X3-120, Tobii AB, Stoc</w:t>
            </w:r>
            <w:r w:rsidR="00030563">
              <w:rPr>
                <w:rFonts w:cs="Calibri"/>
                <w:noProof/>
                <w:color w:val="000000"/>
                <w:sz w:val="17"/>
                <w:szCs w:val="17"/>
                <w:lang w:val="en-GB" w:bidi="he-IL"/>
              </w:rPr>
              <w:t>k</w:t>
            </w:r>
            <w:r w:rsidRPr="003B7813">
              <w:rPr>
                <w:rFonts w:cs="Calibri"/>
                <w:noProof/>
                <w:color w:val="000000"/>
                <w:sz w:val="17"/>
                <w:szCs w:val="17"/>
                <w:lang w:val="en-GB" w:bidi="he-IL"/>
              </w:rPr>
              <w:t xml:space="preserve">holm, Sweden; </w:t>
            </w:r>
            <w:r w:rsidRPr="003B7813">
              <w:rPr>
                <w:rFonts w:cstheme="minorHAnsi"/>
                <w:sz w:val="17"/>
                <w:szCs w:val="17"/>
                <w:lang w:val="en-US" w:eastAsia="de-CH"/>
              </w:rPr>
              <w:t>120 Hz</w:t>
            </w:r>
          </w:p>
        </w:tc>
      </w:tr>
      <w:tr w:rsidR="00135E21" w:rsidRPr="003B7813" w:rsidTr="004A63F7">
        <w:tc>
          <w:tcPr>
            <w:tcW w:w="1973" w:type="dxa"/>
          </w:tcPr>
          <w:p w:rsidR="00135E21" w:rsidRPr="00DE09B8" w:rsidRDefault="00135E21" w:rsidP="00DE09B8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DE09B8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Viewing distance</w:t>
            </w:r>
          </w:p>
        </w:tc>
        <w:tc>
          <w:tcPr>
            <w:tcW w:w="1767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83 cm</w:t>
            </w:r>
          </w:p>
        </w:tc>
        <w:tc>
          <w:tcPr>
            <w:tcW w:w="1767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84 cm</w:t>
            </w:r>
          </w:p>
        </w:tc>
        <w:tc>
          <w:tcPr>
            <w:tcW w:w="1774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Infants &lt;6 months 70 cm, infants &gt; 6 months 120 cm, adults 210 cm</w:t>
            </w:r>
          </w:p>
        </w:tc>
        <w:tc>
          <w:tcPr>
            <w:tcW w:w="1780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65 cm</w:t>
            </w:r>
          </w:p>
        </w:tc>
        <w:tc>
          <w:tcPr>
            <w:tcW w:w="1771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65 cm</w:t>
            </w:r>
          </w:p>
        </w:tc>
      </w:tr>
      <w:tr w:rsidR="00135E21" w:rsidRPr="003B7813" w:rsidTr="004A63F7">
        <w:tc>
          <w:tcPr>
            <w:tcW w:w="1973" w:type="dxa"/>
          </w:tcPr>
          <w:p w:rsidR="00135E21" w:rsidRPr="00DE09B8" w:rsidRDefault="00135E21" w:rsidP="00DE09B8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DE09B8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Digital stimuli details</w:t>
            </w:r>
          </w:p>
        </w:tc>
        <w:tc>
          <w:tcPr>
            <w:tcW w:w="1767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3 uniform gray fields and one field with black-and-white square wave grating. Frequency range: 1.5</w:t>
            </w:r>
            <w:r w:rsidRPr="003B7813">
              <w:rPr>
                <w:rFonts w:asciiTheme="minorHAnsi" w:hAnsiTheme="minorHAnsi" w:cstheme="minorHAnsi"/>
                <w:noProof/>
                <w:color w:val="000000"/>
                <w:sz w:val="17"/>
                <w:szCs w:val="17"/>
                <w:lang w:val="en-GB"/>
              </w:rPr>
              <w:t>–35.1 cpd.</w:t>
            </w:r>
          </w:p>
        </w:tc>
        <w:tc>
          <w:tcPr>
            <w:tcW w:w="1767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Horizontal Gabor patches: stationary sine-wave gratings, modulated by a Gaussian window. Frequency range: 0.61</w:t>
            </w:r>
            <w:r w:rsidRPr="003B7813">
              <w:rPr>
                <w:rFonts w:asciiTheme="minorHAnsi" w:hAnsiTheme="minorHAnsi" w:cstheme="minorHAnsi"/>
                <w:noProof/>
                <w:color w:val="000000"/>
                <w:sz w:val="17"/>
                <w:szCs w:val="17"/>
                <w:lang w:val="en-GB"/>
              </w:rPr>
              <w:t>–</w:t>
            </w:r>
            <w:r w:rsidRPr="003B7813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15.3 cpd.</w:t>
            </w:r>
          </w:p>
        </w:tc>
        <w:tc>
          <w:tcPr>
            <w:tcW w:w="1774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Horizontal square-wave gratings. Frequency range in adults: 0.58</w:t>
            </w:r>
            <w:r w:rsidRPr="003B7813">
              <w:rPr>
                <w:rFonts w:asciiTheme="minorHAnsi" w:hAnsiTheme="minorHAnsi" w:cstheme="minorHAnsi"/>
                <w:noProof/>
                <w:color w:val="000000"/>
                <w:sz w:val="17"/>
                <w:szCs w:val="17"/>
                <w:lang w:val="en-GB"/>
              </w:rPr>
              <w:t>–</w:t>
            </w: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37 cpd, children: 0.2</w:t>
            </w:r>
            <w:r w:rsidRPr="003B7813">
              <w:rPr>
                <w:rFonts w:asciiTheme="minorHAnsi" w:hAnsiTheme="minorHAnsi" w:cstheme="minorHAnsi"/>
                <w:noProof/>
                <w:color w:val="000000"/>
                <w:sz w:val="17"/>
                <w:szCs w:val="17"/>
                <w:lang w:val="en-GB"/>
              </w:rPr>
              <w:t>–</w:t>
            </w: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12.5 cpd.</w:t>
            </w:r>
          </w:p>
        </w:tc>
        <w:tc>
          <w:tcPr>
            <w:tcW w:w="1780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3 uniform gray fields and one field with black-and-white square wave grating. Frequencies showed: 1.05, 2.11 and 7.02 cpd.</w:t>
            </w:r>
          </w:p>
        </w:tc>
        <w:tc>
          <w:tcPr>
            <w:tcW w:w="1771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1 uniform gray field, 1 circular field with vertical square-wave gratings. Frequency range 0.29</w:t>
            </w:r>
            <w:r w:rsidRPr="003B7813">
              <w:rPr>
                <w:rFonts w:asciiTheme="minorHAnsi" w:hAnsiTheme="minorHAnsi" w:cstheme="minorHAnsi"/>
                <w:noProof/>
                <w:color w:val="000000"/>
                <w:sz w:val="17"/>
                <w:szCs w:val="17"/>
                <w:lang w:val="en-GB"/>
              </w:rPr>
              <w:t>–14.5 cpd.</w:t>
            </w:r>
          </w:p>
        </w:tc>
      </w:tr>
      <w:tr w:rsidR="00135E21" w:rsidRPr="003B7813" w:rsidTr="004A63F7">
        <w:tc>
          <w:tcPr>
            <w:tcW w:w="1973" w:type="dxa"/>
          </w:tcPr>
          <w:p w:rsidR="00135E21" w:rsidRPr="00DE09B8" w:rsidRDefault="00135E21" w:rsidP="00DE09B8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DE09B8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Gaze tracking- controlled test</w:t>
            </w:r>
          </w:p>
        </w:tc>
        <w:tc>
          <w:tcPr>
            <w:tcW w:w="1767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Four</w:t>
            </w:r>
            <w:r w:rsidR="0003056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-</w:t>
            </w: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alternative forced-choice test</w:t>
            </w:r>
          </w:p>
        </w:tc>
        <w:tc>
          <w:tcPr>
            <w:tcW w:w="1767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33</w:t>
            </w:r>
            <w:r w:rsidR="0003056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-</w:t>
            </w: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alternative forced-choice test</w:t>
            </w:r>
          </w:p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</w:p>
        </w:tc>
        <w:tc>
          <w:tcPr>
            <w:tcW w:w="1774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Four</w:t>
            </w:r>
            <w:r w:rsidR="0003056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-</w:t>
            </w: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alternative forced-choice test</w:t>
            </w:r>
          </w:p>
        </w:tc>
        <w:tc>
          <w:tcPr>
            <w:tcW w:w="1780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Four</w:t>
            </w:r>
            <w:r w:rsidR="0003056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-</w:t>
            </w: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alternative forced-choice test</w:t>
            </w:r>
          </w:p>
        </w:tc>
        <w:tc>
          <w:tcPr>
            <w:tcW w:w="1771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Two</w:t>
            </w:r>
            <w:r w:rsidR="0003056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-</w:t>
            </w: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alternative forced-choice test</w:t>
            </w:r>
          </w:p>
        </w:tc>
      </w:tr>
      <w:tr w:rsidR="00135E21" w:rsidRPr="003B7813" w:rsidTr="004A63F7">
        <w:tc>
          <w:tcPr>
            <w:tcW w:w="1973" w:type="dxa"/>
          </w:tcPr>
          <w:p w:rsidR="00135E21" w:rsidRPr="00DE09B8" w:rsidRDefault="00135E21" w:rsidP="00DE09B8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DE09B8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Determination of visual acuity on gaze tracking- controlled test</w:t>
            </w:r>
          </w:p>
        </w:tc>
        <w:tc>
          <w:tcPr>
            <w:tcW w:w="1767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 xml:space="preserve">Conditional probability density functions of the relative fixation time. </w:t>
            </w:r>
          </w:p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</w:p>
        </w:tc>
        <w:tc>
          <w:tcPr>
            <w:tcW w:w="1767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 xml:space="preserve">Absolute fixation time criterion </w:t>
            </w:r>
            <w:r w:rsidRPr="003B7813">
              <w:rPr>
                <w:rFonts w:asciiTheme="minorHAnsi" w:hAnsiTheme="minorHAnsi" w:cstheme="minorHAnsi"/>
                <w:noProof/>
                <w:color w:val="000000"/>
                <w:sz w:val="17"/>
                <w:szCs w:val="17"/>
                <w:lang w:val="en-GB"/>
              </w:rPr>
              <w:t xml:space="preserve">– </w:t>
            </w: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at least 10 gaze samples (167 ms) within the target area to consider grating as resolved</w:t>
            </w:r>
          </w:p>
        </w:tc>
        <w:tc>
          <w:tcPr>
            <w:tcW w:w="1774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 xml:space="preserve">Relative fixation time criterion (percentage of time fixating above </w:t>
            </w:r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 xml:space="preserve">the </w:t>
            </w: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target area).</w:t>
            </w:r>
          </w:p>
        </w:tc>
        <w:tc>
          <w:tcPr>
            <w:tcW w:w="1780" w:type="dxa"/>
          </w:tcPr>
          <w:p w:rsidR="00135E21" w:rsidRPr="003B7813" w:rsidRDefault="00135E21" w:rsidP="004A63F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 w:rsidRPr="003B7813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(1) primary saccade</w:t>
            </w:r>
          </w:p>
          <w:p w:rsidR="00135E21" w:rsidRPr="003B7813" w:rsidRDefault="00135E21" w:rsidP="004A63F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 w:rsidRPr="003B7813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ends on target (2) gaze 50% of the presentation time on target, and (3) a combination of method 1 and 2</w:t>
            </w:r>
          </w:p>
        </w:tc>
        <w:tc>
          <w:tcPr>
            <w:tcW w:w="1771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 xml:space="preserve">Relative fixation time criterion (percentage of time fixating above </w:t>
            </w:r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 xml:space="preserve">the </w:t>
            </w: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target area).</w:t>
            </w:r>
          </w:p>
        </w:tc>
      </w:tr>
      <w:tr w:rsidR="00135E21" w:rsidRPr="003B7813" w:rsidTr="004A63F7">
        <w:tc>
          <w:tcPr>
            <w:tcW w:w="1973" w:type="dxa"/>
          </w:tcPr>
          <w:p w:rsidR="00135E21" w:rsidRPr="00DE09B8" w:rsidRDefault="00135E21" w:rsidP="00DE09B8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DE09B8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Attention grabber</w:t>
            </w:r>
          </w:p>
        </w:tc>
        <w:tc>
          <w:tcPr>
            <w:tcW w:w="1767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/</w:t>
            </w:r>
          </w:p>
        </w:tc>
        <w:tc>
          <w:tcPr>
            <w:tcW w:w="1767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Cartoons every three trials.</w:t>
            </w:r>
          </w:p>
        </w:tc>
        <w:tc>
          <w:tcPr>
            <w:tcW w:w="1774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Cartoon videos between stimuli to maintain the infant’s attention.</w:t>
            </w:r>
          </w:p>
        </w:tc>
        <w:tc>
          <w:tcPr>
            <w:tcW w:w="1780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High-contrast fixation dot at the center of the screen before each trial.</w:t>
            </w:r>
          </w:p>
        </w:tc>
        <w:tc>
          <w:tcPr>
            <w:tcW w:w="1771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Cartoons every three trials.</w:t>
            </w:r>
          </w:p>
        </w:tc>
      </w:tr>
      <w:tr w:rsidR="00135E21" w:rsidRPr="003B7813" w:rsidTr="004A63F7">
        <w:tc>
          <w:tcPr>
            <w:tcW w:w="1973" w:type="dxa"/>
          </w:tcPr>
          <w:p w:rsidR="00135E21" w:rsidRPr="00DE09B8" w:rsidRDefault="00135E21" w:rsidP="00DE09B8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DE09B8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Testing time</w:t>
            </w:r>
          </w:p>
        </w:tc>
        <w:tc>
          <w:tcPr>
            <w:tcW w:w="1767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 xml:space="preserve">210 s </w:t>
            </w:r>
          </w:p>
        </w:tc>
        <w:tc>
          <w:tcPr>
            <w:tcW w:w="1767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median test duration  101 s</w:t>
            </w:r>
          </w:p>
        </w:tc>
        <w:tc>
          <w:tcPr>
            <w:tcW w:w="1774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/</w:t>
            </w:r>
          </w:p>
        </w:tc>
        <w:tc>
          <w:tcPr>
            <w:tcW w:w="1780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/</w:t>
            </w:r>
          </w:p>
        </w:tc>
        <w:tc>
          <w:tcPr>
            <w:tcW w:w="1771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204 s</w:t>
            </w:r>
          </w:p>
        </w:tc>
      </w:tr>
      <w:tr w:rsidR="00135E21" w:rsidRPr="003B7813" w:rsidTr="004A63F7">
        <w:tc>
          <w:tcPr>
            <w:tcW w:w="1973" w:type="dxa"/>
          </w:tcPr>
          <w:p w:rsidR="00135E21" w:rsidRPr="00DE09B8" w:rsidRDefault="00135E21" w:rsidP="00DE09B8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DE09B8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Testability</w:t>
            </w:r>
          </w:p>
        </w:tc>
        <w:tc>
          <w:tcPr>
            <w:tcW w:w="1767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100%</w:t>
            </w:r>
          </w:p>
        </w:tc>
        <w:tc>
          <w:tcPr>
            <w:tcW w:w="1767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97%</w:t>
            </w:r>
          </w:p>
        </w:tc>
        <w:tc>
          <w:tcPr>
            <w:tcW w:w="1774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95%</w:t>
            </w:r>
            <w:r w:rsidRPr="003B7813">
              <w:rPr>
                <w:rFonts w:asciiTheme="minorHAnsi" w:hAnsiTheme="minorHAnsi" w:cstheme="minorHAnsi"/>
                <w:noProof/>
                <w:color w:val="000000"/>
                <w:sz w:val="17"/>
                <w:szCs w:val="17"/>
                <w:lang w:val="en-GB"/>
              </w:rPr>
              <w:t>–100%</w:t>
            </w:r>
          </w:p>
        </w:tc>
        <w:tc>
          <w:tcPr>
            <w:tcW w:w="1780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Visually impaired children 38%, children with normal vision 64%</w:t>
            </w:r>
          </w:p>
        </w:tc>
        <w:tc>
          <w:tcPr>
            <w:tcW w:w="1771" w:type="dxa"/>
          </w:tcPr>
          <w:p w:rsidR="00135E21" w:rsidRPr="003B7813" w:rsidRDefault="00135E21" w:rsidP="004A63F7">
            <w:pPr>
              <w:adjustRightInd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</w:pPr>
            <w:r w:rsidRPr="003B7813">
              <w:rPr>
                <w:rFonts w:asciiTheme="minorHAnsi" w:eastAsia="Times New Roman" w:hAnsiTheme="minorHAnsi" w:cstheme="minorHAnsi"/>
                <w:sz w:val="17"/>
                <w:szCs w:val="17"/>
                <w:lang w:val="en-US" w:eastAsia="de-CH"/>
              </w:rPr>
              <w:t>97%</w:t>
            </w:r>
          </w:p>
        </w:tc>
      </w:tr>
    </w:tbl>
    <w:p w:rsidR="00135E21" w:rsidRDefault="00135E21"/>
    <w:sectPr w:rsidR="00135E21" w:rsidSect="009426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6518" w:rsidRDefault="002F6518" w:rsidP="00030563">
      <w:pPr>
        <w:spacing w:after="0" w:line="240" w:lineRule="auto"/>
      </w:pPr>
      <w:r>
        <w:separator/>
      </w:r>
    </w:p>
  </w:endnote>
  <w:endnote w:type="continuationSeparator" w:id="0">
    <w:p w:rsidR="002F6518" w:rsidRDefault="002F6518" w:rsidP="0003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6518" w:rsidRDefault="002F6518" w:rsidP="00030563">
      <w:pPr>
        <w:spacing w:after="0" w:line="240" w:lineRule="auto"/>
      </w:pPr>
      <w:r>
        <w:separator/>
      </w:r>
    </w:p>
  </w:footnote>
  <w:footnote w:type="continuationSeparator" w:id="0">
    <w:p w:rsidR="002F6518" w:rsidRDefault="002F6518" w:rsidP="0003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97ACE"/>
    <w:multiLevelType w:val="hybridMultilevel"/>
    <w:tmpl w:val="0868D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F42F0"/>
    <w:multiLevelType w:val="hybridMultilevel"/>
    <w:tmpl w:val="7EE0ECFE"/>
    <w:lvl w:ilvl="0" w:tplc="AECC5930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21"/>
    <w:rsid w:val="00030563"/>
    <w:rsid w:val="00135E21"/>
    <w:rsid w:val="002F6518"/>
    <w:rsid w:val="003D5625"/>
    <w:rsid w:val="0054173A"/>
    <w:rsid w:val="00942648"/>
    <w:rsid w:val="00B3373D"/>
    <w:rsid w:val="00D639D6"/>
    <w:rsid w:val="00D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A8B2894-8A1C-6A41-9126-9A2C872B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21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E21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63"/>
    <w:rPr>
      <w:rFonts w:ascii="Calibri" w:eastAsia="Calibri" w:hAnsi="Calibri" w:cs="Times New Roman"/>
      <w:sz w:val="22"/>
      <w:szCs w:val="22"/>
      <w:lang w:val="de-CH" w:bidi="ar-SA"/>
    </w:rPr>
  </w:style>
  <w:style w:type="paragraph" w:styleId="Footer">
    <w:name w:val="footer"/>
    <w:basedOn w:val="Normal"/>
    <w:link w:val="FooterChar"/>
    <w:uiPriority w:val="99"/>
    <w:unhideWhenUsed/>
    <w:rsid w:val="00030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63"/>
    <w:rPr>
      <w:rFonts w:ascii="Calibri" w:eastAsia="Calibri" w:hAnsi="Calibri" w:cs="Times New Roman"/>
      <w:sz w:val="22"/>
      <w:szCs w:val="22"/>
      <w:lang w:val="de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B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B8"/>
    <w:rPr>
      <w:rFonts w:ascii="Times New Roman" w:eastAsia="Calibri" w:hAnsi="Times New Roman" w:cs="Times New Roman"/>
      <w:sz w:val="18"/>
      <w:szCs w:val="18"/>
      <w:lang w:val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Manca Pompe</cp:lastModifiedBy>
  <cp:revision>2</cp:revision>
  <dcterms:created xsi:type="dcterms:W3CDTF">2020-07-05T07:48:00Z</dcterms:created>
  <dcterms:modified xsi:type="dcterms:W3CDTF">2020-07-05T07:48:00Z</dcterms:modified>
</cp:coreProperties>
</file>