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F464" w14:textId="77777777" w:rsidR="00D319C1" w:rsidRDefault="00D319C1" w:rsidP="00D319C1">
      <w:pPr>
        <w:pStyle w:val="Caption"/>
      </w:pPr>
      <w:bookmarkStart w:id="0" w:name="_GoBack"/>
      <w:bookmarkEnd w:id="0"/>
    </w:p>
    <w:p w14:paraId="0FC96770" w14:textId="77777777" w:rsidR="00D319C1" w:rsidRDefault="00D319C1" w:rsidP="00D319C1">
      <w:pPr>
        <w:pStyle w:val="Caption"/>
      </w:pPr>
      <w:r w:rsidRPr="00DA241C">
        <w:t>Supplementary Table 1.</w:t>
      </w:r>
      <w:r>
        <w:t xml:space="preserve"> </w:t>
      </w:r>
      <w:r w:rsidRPr="00DD7A5C">
        <w:t>Estimated measurement differences between reperfusion biopsies (needle) and procurement biopsies (wedge), controlled for ischemia times and pump.</w:t>
      </w:r>
    </w:p>
    <w:tbl>
      <w:tblPr>
        <w:tblW w:w="92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73"/>
        <w:gridCol w:w="1273"/>
        <w:gridCol w:w="1274"/>
        <w:gridCol w:w="1273"/>
        <w:gridCol w:w="1273"/>
        <w:gridCol w:w="1274"/>
      </w:tblGrid>
      <w:tr w:rsidR="00D319C1" w:rsidRPr="00D640A9" w14:paraId="3E0F7829" w14:textId="77777777" w:rsidTr="001C37C3">
        <w:trPr>
          <w:trHeight w:val="288"/>
          <w:jc w:val="center"/>
        </w:trPr>
        <w:tc>
          <w:tcPr>
            <w:tcW w:w="162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3C91F5A0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4688CEF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Glomerulosclerosis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0978E3C1" w14:textId="77777777" w:rsidR="00D319C1" w:rsidRPr="00D640A9" w:rsidRDefault="00D319C1" w:rsidP="001C37C3">
            <w:pPr>
              <w:pStyle w:val="table"/>
              <w:jc w:val="center"/>
            </w:pPr>
            <w:r w:rsidRPr="00175B4F">
              <w:t>Interstitial</w:t>
            </w:r>
            <w:r w:rsidRPr="00D640A9">
              <w:t xml:space="preserve"> fibrosis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7DC6068D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Tubular atrophy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30F64C3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Arterial intimal fibrosis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73D63FD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Arteriolar hyalinosis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7D5B9927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Acute tubular injury</w:t>
            </w:r>
          </w:p>
        </w:tc>
      </w:tr>
      <w:tr w:rsidR="00D319C1" w:rsidRPr="00D640A9" w14:paraId="1CD01E95" w14:textId="77777777" w:rsidTr="001C37C3">
        <w:trPr>
          <w:trHeight w:val="288"/>
          <w:jc w:val="center"/>
        </w:trPr>
        <w:tc>
          <w:tcPr>
            <w:tcW w:w="162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728194A2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02FFF96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(1)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C6D1DB1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(2)</w:t>
            </w:r>
          </w:p>
        </w:tc>
        <w:tc>
          <w:tcPr>
            <w:tcW w:w="127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119076A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(3)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383E279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(4)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438129D7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(5)</w:t>
            </w:r>
          </w:p>
        </w:tc>
        <w:tc>
          <w:tcPr>
            <w:tcW w:w="127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4D2EF093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(6)</w:t>
            </w:r>
          </w:p>
        </w:tc>
      </w:tr>
      <w:tr w:rsidR="00D319C1" w:rsidRPr="00D640A9" w14:paraId="54FDF769" w14:textId="77777777" w:rsidTr="001C37C3">
        <w:trPr>
          <w:trHeight w:val="288"/>
          <w:jc w:val="center"/>
        </w:trPr>
        <w:tc>
          <w:tcPr>
            <w:tcW w:w="1620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noWrap/>
            <w:hideMark/>
          </w:tcPr>
          <w:p w14:paraId="7731F22C" w14:textId="77777777" w:rsidR="00D319C1" w:rsidRPr="00D640A9" w:rsidRDefault="00D319C1" w:rsidP="001C37C3">
            <w:pPr>
              <w:pStyle w:val="table"/>
            </w:pPr>
            <w:r w:rsidRPr="00D640A9">
              <w:t>Reperfusion biopsy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2247D17" w14:textId="77777777" w:rsidR="00D319C1" w:rsidRPr="00D640A9" w:rsidRDefault="00D319C1" w:rsidP="001C37C3">
            <w:pPr>
              <w:pStyle w:val="table"/>
              <w:jc w:val="center"/>
            </w:pPr>
            <w:r>
              <w:t>-0.153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CDFC5FA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0.08</w:t>
            </w:r>
            <w:r>
              <w:t>4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FBAF3DF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0.02</w:t>
            </w:r>
            <w:r>
              <w:t>4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2A62A5" w14:textId="77777777" w:rsidR="00D319C1" w:rsidRPr="00F54D7E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54D7E">
              <w:rPr>
                <w:b/>
                <w:bCs/>
              </w:rPr>
              <w:t>2.</w:t>
            </w:r>
            <w:r>
              <w:rPr>
                <w:b/>
                <w:bCs/>
              </w:rPr>
              <w:t>086</w:t>
            </w:r>
            <w:r w:rsidRPr="00F54D7E">
              <w:rPr>
                <w:b/>
                <w:bCs/>
              </w:rPr>
              <w:t>***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F1702FE" w14:textId="77777777" w:rsidR="00D319C1" w:rsidRPr="00F54D7E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54D7E">
              <w:rPr>
                <w:b/>
                <w:bCs/>
              </w:rPr>
              <w:t>1.8</w:t>
            </w:r>
            <w:r>
              <w:rPr>
                <w:b/>
                <w:bCs/>
              </w:rPr>
              <w:t>04</w:t>
            </w:r>
            <w:r w:rsidRPr="00F54D7E">
              <w:rPr>
                <w:b/>
                <w:bCs/>
              </w:rPr>
              <w:t>***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0DACD2D" w14:textId="77777777" w:rsidR="00D319C1" w:rsidRPr="00F54D7E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54D7E">
              <w:rPr>
                <w:b/>
                <w:bCs/>
              </w:rPr>
              <w:t>3.7</w:t>
            </w:r>
            <w:r>
              <w:rPr>
                <w:b/>
                <w:bCs/>
              </w:rPr>
              <w:t>88</w:t>
            </w:r>
            <w:r w:rsidRPr="00F54D7E">
              <w:rPr>
                <w:b/>
                <w:bCs/>
              </w:rPr>
              <w:t>***</w:t>
            </w:r>
          </w:p>
        </w:tc>
      </w:tr>
      <w:tr w:rsidR="00D319C1" w:rsidRPr="00D640A9" w14:paraId="507B995C" w14:textId="77777777" w:rsidTr="001C37C3">
        <w:trPr>
          <w:trHeight w:val="288"/>
          <w:jc w:val="center"/>
        </w:trPr>
        <w:tc>
          <w:tcPr>
            <w:tcW w:w="1620" w:type="dxa"/>
            <w:vMerge/>
            <w:shd w:val="clear" w:color="auto" w:fill="auto"/>
            <w:noWrap/>
            <w:hideMark/>
          </w:tcPr>
          <w:p w14:paraId="2E095C99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832312D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(1.2</w:t>
            </w:r>
            <w:r>
              <w:t>58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8954BC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16</w:t>
            </w:r>
            <w:r w:rsidRPr="00D640A9">
              <w:t>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2893FF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</w:t>
            </w:r>
            <w:r>
              <w:t>501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66736B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49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0AA60AC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33</w:t>
            </w:r>
            <w:r w:rsidRPr="00D640A9">
              <w:t>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4B72B1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(0.6</w:t>
            </w:r>
            <w:r>
              <w:t>69</w:t>
            </w:r>
            <w:r w:rsidRPr="00D640A9">
              <w:t>)</w:t>
            </w:r>
          </w:p>
        </w:tc>
      </w:tr>
      <w:tr w:rsidR="00D319C1" w:rsidRPr="00D640A9" w14:paraId="0407F6FB" w14:textId="77777777" w:rsidTr="001C37C3">
        <w:trPr>
          <w:trHeight w:val="288"/>
          <w:jc w:val="center"/>
        </w:trPr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30B74CF1" w14:textId="77777777" w:rsidR="00D319C1" w:rsidRPr="00D640A9" w:rsidRDefault="00D319C1" w:rsidP="001C37C3">
            <w:pPr>
              <w:pStyle w:val="table"/>
            </w:pPr>
            <w:r w:rsidRPr="00D640A9">
              <w:t xml:space="preserve">Cold </w:t>
            </w:r>
            <w:r>
              <w:br/>
            </w:r>
            <w:r w:rsidRPr="00D640A9">
              <w:t>ischemia time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30F9052" w14:textId="77777777" w:rsidR="00D319C1" w:rsidRPr="0011649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116495">
              <w:rPr>
                <w:b/>
                <w:bCs/>
              </w:rPr>
              <w:t>−0.004*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7205A4E" w14:textId="77777777" w:rsidR="00D319C1" w:rsidRPr="0011649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116495">
              <w:rPr>
                <w:b/>
                <w:bCs/>
              </w:rPr>
              <w:t>−0.001*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F3524DF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0.001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4D47B3C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6887DA5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0.002*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D48FC6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0.001</w:t>
            </w:r>
          </w:p>
        </w:tc>
      </w:tr>
      <w:tr w:rsidR="00D319C1" w:rsidRPr="00D640A9" w14:paraId="082583F5" w14:textId="77777777" w:rsidTr="001C37C3">
        <w:trPr>
          <w:trHeight w:val="288"/>
          <w:jc w:val="center"/>
        </w:trPr>
        <w:tc>
          <w:tcPr>
            <w:tcW w:w="1620" w:type="dxa"/>
            <w:vMerge/>
            <w:shd w:val="clear" w:color="auto" w:fill="auto"/>
            <w:noWrap/>
            <w:hideMark/>
          </w:tcPr>
          <w:p w14:paraId="409A9C74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670DA7F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(0.002)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27AF123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(0.001)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818BA1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</w:t>
            </w:r>
            <w:r>
              <w:t>1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51D67701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(0.001)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BA04133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(0.001)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DF2013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(0.001)</w:t>
            </w:r>
          </w:p>
        </w:tc>
      </w:tr>
      <w:tr w:rsidR="00D319C1" w:rsidRPr="00D640A9" w14:paraId="6FC60FDB" w14:textId="77777777" w:rsidTr="001C37C3">
        <w:trPr>
          <w:trHeight w:val="288"/>
          <w:jc w:val="center"/>
        </w:trPr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224413D7" w14:textId="77777777" w:rsidR="00D319C1" w:rsidRPr="00D640A9" w:rsidRDefault="00D319C1" w:rsidP="001C37C3">
            <w:pPr>
              <w:pStyle w:val="table"/>
            </w:pPr>
            <w:r w:rsidRPr="00D640A9">
              <w:t>Pump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8B9DDAC" w14:textId="77777777" w:rsidR="00D319C1" w:rsidRPr="0011649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116495">
              <w:rPr>
                <w:b/>
                <w:bCs/>
              </w:rPr>
              <w:t>3.417*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D79DCA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</w:t>
            </w:r>
            <w:r>
              <w:t>487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7131CAE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</w:t>
            </w:r>
            <w:r>
              <w:t>143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3401E9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0.62</w:t>
            </w:r>
            <w: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0DE28FD4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0.4</w:t>
            </w:r>
            <w:r>
              <w:t>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7B46CFD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</w:t>
            </w:r>
            <w:r>
              <w:t>193</w:t>
            </w:r>
          </w:p>
        </w:tc>
      </w:tr>
      <w:tr w:rsidR="00D319C1" w:rsidRPr="00D640A9" w14:paraId="64345ADC" w14:textId="77777777" w:rsidTr="001C37C3">
        <w:trPr>
          <w:trHeight w:val="288"/>
          <w:jc w:val="center"/>
        </w:trPr>
        <w:tc>
          <w:tcPr>
            <w:tcW w:w="1620" w:type="dxa"/>
            <w:vMerge/>
            <w:shd w:val="clear" w:color="auto" w:fill="auto"/>
            <w:noWrap/>
            <w:hideMark/>
          </w:tcPr>
          <w:p w14:paraId="1C5B3E9F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37E0930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(1.</w:t>
            </w:r>
            <w:r>
              <w:t>501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53375D1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(0.4</w:t>
            </w:r>
            <w:r>
              <w:t>76</w:t>
            </w:r>
            <w:r w:rsidRPr="00D640A9">
              <w:t>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3BA4AC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29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5293AD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68</w:t>
            </w:r>
            <w:r w:rsidRPr="00D640A9">
              <w:t>)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39C33A93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56</w:t>
            </w:r>
            <w:r w:rsidRPr="00D640A9">
              <w:t>)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1AAE58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(0.5</w:t>
            </w:r>
            <w:r>
              <w:t>47</w:t>
            </w:r>
            <w:r w:rsidRPr="00D640A9">
              <w:t>)</w:t>
            </w:r>
          </w:p>
        </w:tc>
      </w:tr>
      <w:tr w:rsidR="00D319C1" w:rsidRPr="00D640A9" w14:paraId="605B0F3A" w14:textId="77777777" w:rsidTr="001C37C3">
        <w:trPr>
          <w:trHeight w:val="288"/>
          <w:jc w:val="center"/>
        </w:trPr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478E9C90" w14:textId="77777777" w:rsidR="00D319C1" w:rsidRPr="00D640A9" w:rsidRDefault="00D319C1" w:rsidP="001C37C3">
            <w:pPr>
              <w:pStyle w:val="table"/>
            </w:pPr>
            <w:r w:rsidRPr="00D640A9">
              <w:t>Warm ischemia time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51916B4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0.03</w:t>
            </w:r>
            <w:r>
              <w:t>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6E88E1C9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0.010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44AD987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0.00</w:t>
            </w:r>
            <w: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1687CD1D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0.025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72D4866F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0.037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36334E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0.01</w:t>
            </w:r>
            <w:r>
              <w:t>4</w:t>
            </w:r>
          </w:p>
        </w:tc>
      </w:tr>
      <w:tr w:rsidR="00D319C1" w:rsidRPr="00D640A9" w14:paraId="500432FB" w14:textId="77777777" w:rsidTr="001C37C3">
        <w:trPr>
          <w:trHeight w:val="288"/>
          <w:jc w:val="center"/>
        </w:trPr>
        <w:tc>
          <w:tcPr>
            <w:tcW w:w="162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640062" w14:textId="77777777" w:rsidR="00D319C1" w:rsidRPr="00D640A9" w:rsidRDefault="00D319C1" w:rsidP="001C37C3">
            <w:pPr>
              <w:pStyle w:val="table"/>
            </w:pPr>
          </w:p>
        </w:tc>
        <w:tc>
          <w:tcPr>
            <w:tcW w:w="1273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76F810D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(0.06</w:t>
            </w:r>
            <w:r>
              <w:t>8</w:t>
            </w:r>
            <w:r w:rsidRPr="00D640A9">
              <w:t>)</w:t>
            </w:r>
          </w:p>
        </w:tc>
        <w:tc>
          <w:tcPr>
            <w:tcW w:w="1273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BB69435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(0.017)</w:t>
            </w:r>
          </w:p>
        </w:tc>
        <w:tc>
          <w:tcPr>
            <w:tcW w:w="1274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6608FD8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(0.018)</w:t>
            </w:r>
          </w:p>
        </w:tc>
        <w:tc>
          <w:tcPr>
            <w:tcW w:w="1273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7B1C19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(0.03</w:t>
            </w:r>
            <w:r>
              <w:t>2</w:t>
            </w:r>
            <w:r w:rsidRPr="00D640A9">
              <w:t>)</w:t>
            </w:r>
          </w:p>
        </w:tc>
        <w:tc>
          <w:tcPr>
            <w:tcW w:w="1273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AF1C19F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(0.02</w:t>
            </w:r>
            <w:r>
              <w:t>7</w:t>
            </w:r>
            <w:r w:rsidRPr="00D640A9">
              <w:t>)</w:t>
            </w:r>
          </w:p>
        </w:tc>
        <w:tc>
          <w:tcPr>
            <w:tcW w:w="1274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9DE91A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(0.023)</w:t>
            </w:r>
          </w:p>
        </w:tc>
      </w:tr>
      <w:tr w:rsidR="00D319C1" w:rsidRPr="00D640A9" w14:paraId="0E5217A5" w14:textId="77777777" w:rsidTr="001C37C3">
        <w:trPr>
          <w:trHeight w:val="288"/>
          <w:jc w:val="center"/>
        </w:trPr>
        <w:tc>
          <w:tcPr>
            <w:tcW w:w="162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4C24AB4A" w14:textId="77777777" w:rsidR="00D319C1" w:rsidRPr="00D640A9" w:rsidRDefault="00D319C1" w:rsidP="001C37C3">
            <w:pPr>
              <w:pStyle w:val="table"/>
            </w:pPr>
            <w:r w:rsidRPr="00D640A9">
              <w:t>N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35CC0323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7</w:t>
            </w:r>
            <w:r>
              <w:t>6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6EA1139A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7</w:t>
            </w:r>
            <w:r>
              <w:t>6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3479FC7F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7</w:t>
            </w:r>
            <w:r>
              <w:t>4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46D87039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7</w:t>
            </w:r>
            <w:r>
              <w:t>5</w:t>
            </w:r>
          </w:p>
        </w:tc>
        <w:tc>
          <w:tcPr>
            <w:tcW w:w="1273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78561D9C" w14:textId="77777777" w:rsidR="00D319C1" w:rsidRPr="00D640A9" w:rsidRDefault="00D319C1" w:rsidP="001C37C3">
            <w:pPr>
              <w:pStyle w:val="table"/>
              <w:jc w:val="center"/>
            </w:pPr>
            <w:r w:rsidRPr="00D640A9">
              <w:t>7</w:t>
            </w:r>
            <w:r>
              <w:t>3</w:t>
            </w:r>
          </w:p>
        </w:tc>
        <w:tc>
          <w:tcPr>
            <w:tcW w:w="127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center"/>
            <w:hideMark/>
          </w:tcPr>
          <w:p w14:paraId="1ABAE0E3" w14:textId="77777777" w:rsidR="00D319C1" w:rsidRPr="00D640A9" w:rsidRDefault="00D319C1" w:rsidP="001C37C3">
            <w:pPr>
              <w:pStyle w:val="table"/>
              <w:jc w:val="center"/>
            </w:pPr>
            <w:r>
              <w:t>69</w:t>
            </w:r>
          </w:p>
        </w:tc>
      </w:tr>
      <w:tr w:rsidR="00D319C1" w:rsidRPr="00D640A9" w14:paraId="1C9AD6B5" w14:textId="77777777" w:rsidTr="001C37C3">
        <w:trPr>
          <w:trHeight w:val="288"/>
          <w:jc w:val="center"/>
        </w:trPr>
        <w:tc>
          <w:tcPr>
            <w:tcW w:w="162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E61CABD" w14:textId="77777777" w:rsidR="00D319C1" w:rsidRPr="00D640A9" w:rsidRDefault="00D319C1" w:rsidP="001C37C3">
            <w:pPr>
              <w:pStyle w:val="table"/>
            </w:pPr>
            <w:r w:rsidRPr="00D640A9">
              <w:t>logL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8AB9E8A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2</w:t>
            </w:r>
            <w:r>
              <w:t>35.885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EDBA92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5</w:t>
            </w:r>
            <w:r>
              <w:t>1.813</w:t>
            </w:r>
          </w:p>
        </w:tc>
        <w:tc>
          <w:tcPr>
            <w:tcW w:w="127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1B53D9" w14:textId="77777777" w:rsidR="00D319C1" w:rsidRPr="00D640A9" w:rsidRDefault="00D319C1" w:rsidP="001C37C3">
            <w:pPr>
              <w:pStyle w:val="table"/>
              <w:jc w:val="center"/>
            </w:pPr>
            <w:r>
              <w:t>−</w:t>
            </w:r>
            <w:r w:rsidRPr="00D640A9">
              <w:t>4</w:t>
            </w:r>
            <w:r>
              <w:t>5.964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6C7962" w14:textId="77777777" w:rsidR="00D319C1" w:rsidRPr="00D640A9" w:rsidRDefault="00D319C1" w:rsidP="001C37C3">
            <w:pPr>
              <w:pStyle w:val="table"/>
              <w:jc w:val="center"/>
            </w:pPr>
            <w:r>
              <w:t>−69.962</w:t>
            </w:r>
          </w:p>
        </w:tc>
        <w:tc>
          <w:tcPr>
            <w:tcW w:w="1273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8797E5D" w14:textId="77777777" w:rsidR="00D319C1" w:rsidRPr="00D640A9" w:rsidRDefault="00D319C1" w:rsidP="001C37C3">
            <w:pPr>
              <w:pStyle w:val="table"/>
              <w:jc w:val="center"/>
            </w:pPr>
            <w:r>
              <w:t>−66.884</w:t>
            </w:r>
          </w:p>
        </w:tc>
        <w:tc>
          <w:tcPr>
            <w:tcW w:w="127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7F1A6DA" w14:textId="77777777" w:rsidR="00D319C1" w:rsidRPr="00D640A9" w:rsidRDefault="00D319C1" w:rsidP="001C37C3">
            <w:pPr>
              <w:pStyle w:val="table"/>
              <w:jc w:val="center"/>
            </w:pPr>
            <w:r>
              <w:t>−67.531</w:t>
            </w:r>
          </w:p>
        </w:tc>
      </w:tr>
    </w:tbl>
    <w:p w14:paraId="7B2BAB9A" w14:textId="77777777" w:rsidR="00D319C1" w:rsidRDefault="00D319C1" w:rsidP="00D319C1">
      <w:pPr>
        <w:pStyle w:val="tablenote"/>
      </w:pPr>
      <w:r w:rsidRPr="00530905">
        <w:rPr>
          <w:i/>
          <w:iCs/>
        </w:rPr>
        <w:t>Note</w:t>
      </w:r>
      <w:r w:rsidRPr="00530905">
        <w:t>: The table shows estimated coefficients from Tobit regression (column 1</w:t>
      </w:r>
      <w:r>
        <w:t>, constant omitted</w:t>
      </w:r>
      <w:r w:rsidRPr="00530905">
        <w:t>), logistic regression (column 3</w:t>
      </w:r>
      <w:r>
        <w:t>, constant omitted</w:t>
      </w:r>
      <w:r w:rsidRPr="00530905">
        <w:t>), and ordered logit regressions (columns 2</w:t>
      </w:r>
      <w:r>
        <w:t xml:space="preserve">, </w:t>
      </w:r>
      <w:r w:rsidRPr="00530905">
        <w:t>4</w:t>
      </w:r>
      <w:r>
        <w:t xml:space="preserve">, 5, and </w:t>
      </w:r>
      <w:r w:rsidRPr="00530905">
        <w:t>6). The first row shows estimated coefficients on a dummy that takes on value 1 for reperfusion biopsies and 0 for procurement biopsies. Values in parentheses represent standard errors corrected for clusters on the case level. Asterisks represent p-values: *p&lt;0.05, **p&lt;0.01, ***p&lt;0.001.</w:t>
      </w:r>
    </w:p>
    <w:p w14:paraId="55632895" w14:textId="77777777" w:rsidR="00D319C1" w:rsidRDefault="00D319C1" w:rsidP="00D319C1">
      <w:pPr>
        <w:pStyle w:val="Caption"/>
        <w:jc w:val="both"/>
      </w:pPr>
    </w:p>
    <w:p w14:paraId="5818BCDC" w14:textId="77777777" w:rsidR="00D319C1" w:rsidRDefault="00D319C1" w:rsidP="00D319C1">
      <w:pPr>
        <w:pStyle w:val="Caption"/>
      </w:pPr>
    </w:p>
    <w:p w14:paraId="481230DE" w14:textId="77777777" w:rsidR="00D319C1" w:rsidRDefault="00D319C1" w:rsidP="00D319C1"/>
    <w:p w14:paraId="7CE99288" w14:textId="77777777" w:rsidR="00D319C1" w:rsidRDefault="00D319C1" w:rsidP="00D319C1"/>
    <w:p w14:paraId="27A75C1A" w14:textId="77777777" w:rsidR="00D319C1" w:rsidRDefault="00D319C1" w:rsidP="00D319C1"/>
    <w:p w14:paraId="5A850C1D" w14:textId="77777777" w:rsidR="00D319C1" w:rsidRDefault="00D319C1" w:rsidP="00D319C1"/>
    <w:p w14:paraId="3D2E96FE" w14:textId="77777777" w:rsidR="00D319C1" w:rsidRDefault="00D319C1" w:rsidP="00D319C1"/>
    <w:p w14:paraId="3F635BAD" w14:textId="77777777" w:rsidR="00D319C1" w:rsidRDefault="00D319C1" w:rsidP="00D319C1"/>
    <w:p w14:paraId="61C0C7AC" w14:textId="77777777" w:rsidR="00D319C1" w:rsidRDefault="00D319C1" w:rsidP="00D319C1"/>
    <w:p w14:paraId="3BB90ACB" w14:textId="77777777" w:rsidR="00D319C1" w:rsidRDefault="00D319C1" w:rsidP="00D319C1"/>
    <w:p w14:paraId="44DFEA82" w14:textId="77777777" w:rsidR="00D319C1" w:rsidRPr="00536CB9" w:rsidRDefault="00D319C1" w:rsidP="00D319C1"/>
    <w:p w14:paraId="5D34521E" w14:textId="77777777" w:rsidR="00D319C1" w:rsidRDefault="00D319C1" w:rsidP="00D319C1">
      <w:pPr>
        <w:pStyle w:val="Caption"/>
      </w:pPr>
    </w:p>
    <w:p w14:paraId="3B3F4162" w14:textId="77777777" w:rsidR="00D319C1" w:rsidRDefault="00D319C1" w:rsidP="00D319C1">
      <w:pPr>
        <w:pStyle w:val="Caption"/>
      </w:pPr>
    </w:p>
    <w:p w14:paraId="04BC2971" w14:textId="77777777" w:rsidR="00D319C1" w:rsidRDefault="00D319C1" w:rsidP="00D319C1">
      <w:pPr>
        <w:pStyle w:val="Caption"/>
        <w:ind w:left="90"/>
      </w:pPr>
      <w:r w:rsidRPr="00DA241C">
        <w:t>Supplementary Table 2</w:t>
      </w:r>
      <w:r w:rsidRPr="00DA241C">
        <w:rPr>
          <w:noProof/>
        </w:rPr>
        <w:t>.</w:t>
      </w:r>
      <w:r>
        <w:rPr>
          <w:noProof/>
        </w:rPr>
        <w:t xml:space="preserve"> </w:t>
      </w:r>
      <w:r w:rsidRPr="00E168A9">
        <w:rPr>
          <w:noProof/>
        </w:rPr>
        <w:t xml:space="preserve">Tobit regressions of </w:t>
      </w:r>
      <w:r>
        <w:rPr>
          <w:noProof/>
        </w:rPr>
        <w:t xml:space="preserve">GFR on reperfusion components </w:t>
      </w:r>
      <w:r w:rsidRPr="00E168A9">
        <w:rPr>
          <w:noProof/>
        </w:rPr>
        <w:t xml:space="preserve">at </w:t>
      </w:r>
      <w:r>
        <w:rPr>
          <w:noProof/>
        </w:rPr>
        <w:t>one</w:t>
      </w:r>
      <w:r w:rsidRPr="00E168A9">
        <w:rPr>
          <w:noProof/>
        </w:rPr>
        <w:t xml:space="preserve">, </w:t>
      </w:r>
      <w:r>
        <w:rPr>
          <w:noProof/>
        </w:rPr>
        <w:t>three</w:t>
      </w:r>
      <w:r w:rsidRPr="00E168A9">
        <w:rPr>
          <w:noProof/>
        </w:rPr>
        <w:t xml:space="preserve">, </w:t>
      </w:r>
      <w:r>
        <w:rPr>
          <w:noProof/>
        </w:rPr>
        <w:t>six</w:t>
      </w:r>
      <w:r w:rsidRPr="00E168A9">
        <w:rPr>
          <w:noProof/>
        </w:rPr>
        <w:t xml:space="preserve">, </w:t>
      </w:r>
      <w:r>
        <w:rPr>
          <w:noProof/>
        </w:rPr>
        <w:t>twelve</w:t>
      </w:r>
      <w:r w:rsidRPr="00E168A9">
        <w:rPr>
          <w:noProof/>
        </w:rPr>
        <w:t xml:space="preserve"> </w:t>
      </w:r>
      <w:r>
        <w:rPr>
          <w:noProof/>
        </w:rPr>
        <w:t>months</w:t>
      </w:r>
      <w:r w:rsidRPr="00E168A9">
        <w:rPr>
          <w:noProof/>
        </w:rPr>
        <w:t>, and last measurement after transplant.</w:t>
      </w:r>
    </w:p>
    <w:tbl>
      <w:tblPr>
        <w:tblW w:w="9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314"/>
        <w:gridCol w:w="1242"/>
        <w:gridCol w:w="1242"/>
        <w:gridCol w:w="1242"/>
      </w:tblGrid>
      <w:tr w:rsidR="00D319C1" w:rsidRPr="00755535" w14:paraId="6AF1CBEA" w14:textId="77777777" w:rsidTr="001C37C3">
        <w:trPr>
          <w:trHeight w:val="288"/>
          <w:jc w:val="center"/>
        </w:trPr>
        <w:tc>
          <w:tcPr>
            <w:tcW w:w="288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418E898D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6390" w:type="dxa"/>
            <w:gridSpan w:val="5"/>
            <w:tcBorders>
              <w:top w:val="single" w:sz="18" w:space="0" w:color="7F7F7F" w:themeColor="text1" w:themeTint="8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43A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GFR</w:t>
            </w:r>
          </w:p>
        </w:tc>
      </w:tr>
      <w:tr w:rsidR="00D319C1" w:rsidRPr="00755535" w14:paraId="68D07D56" w14:textId="77777777" w:rsidTr="001C37C3">
        <w:trPr>
          <w:trHeight w:val="288"/>
          <w:jc w:val="center"/>
        </w:trPr>
        <w:tc>
          <w:tcPr>
            <w:tcW w:w="288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5928CEB6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D8EFBF4" w14:textId="77777777" w:rsidR="00D319C1" w:rsidRPr="001A2D68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1A2D68">
              <w:t>1 month</w:t>
            </w:r>
          </w:p>
        </w:tc>
        <w:tc>
          <w:tcPr>
            <w:tcW w:w="131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41647F54" w14:textId="77777777" w:rsidR="00D319C1" w:rsidRPr="001A2D68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1A2D68">
              <w:t>3 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4775A27D" w14:textId="77777777" w:rsidR="00D319C1" w:rsidRPr="001A2D68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1A2D68">
              <w:t>6 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6E7819C" w14:textId="77777777" w:rsidR="00D319C1" w:rsidRPr="001A2D68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1A2D68">
              <w:t>12 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A63FC3C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L</w:t>
            </w:r>
            <w:r w:rsidRPr="005E1B4A">
              <w:t>ast</w:t>
            </w:r>
          </w:p>
        </w:tc>
      </w:tr>
      <w:tr w:rsidR="00D319C1" w:rsidRPr="00755535" w14:paraId="3671E336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noWrap/>
          </w:tcPr>
          <w:p w14:paraId="216529AE" w14:textId="77777777" w:rsidR="00D319C1" w:rsidRPr="00755535" w:rsidRDefault="00D319C1" w:rsidP="001C37C3">
            <w:pPr>
              <w:pStyle w:val="table"/>
            </w:pPr>
            <w:r w:rsidRPr="00C33E89">
              <w:t>Glomerulo</w:t>
            </w:r>
            <w:r>
              <w:softHyphen/>
            </w:r>
            <w:r w:rsidRPr="00C33E89">
              <w:t>sclerosis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40FCBF18" w14:textId="77777777" w:rsidR="00D319C1" w:rsidRPr="005E1B4A" w:rsidRDefault="00D319C1" w:rsidP="001C37C3">
            <w:pPr>
              <w:pStyle w:val="table"/>
              <w:jc w:val="center"/>
            </w:pPr>
            <w:r>
              <w:t>0.201</w:t>
            </w:r>
          </w:p>
        </w:tc>
        <w:tc>
          <w:tcPr>
            <w:tcW w:w="131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3B3BCF1D" w14:textId="77777777" w:rsidR="00D319C1" w:rsidRPr="005E1B4A" w:rsidRDefault="00D319C1" w:rsidP="001C37C3">
            <w:pPr>
              <w:pStyle w:val="table"/>
              <w:jc w:val="center"/>
            </w:pPr>
            <w:r>
              <w:t>0.500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00856BBF" w14:textId="77777777" w:rsidR="00D319C1" w:rsidRPr="005E1B4A" w:rsidRDefault="00D319C1" w:rsidP="001C37C3">
            <w:pPr>
              <w:pStyle w:val="table"/>
              <w:jc w:val="center"/>
            </w:pPr>
            <w:r>
              <w:t>−0.098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19833A8F" w14:textId="77777777" w:rsidR="00D319C1" w:rsidRPr="005E1B4A" w:rsidRDefault="00D319C1" w:rsidP="001C37C3">
            <w:pPr>
              <w:pStyle w:val="table"/>
              <w:jc w:val="center"/>
            </w:pPr>
            <w:r>
              <w:t>−0.110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A6A2DF5" w14:textId="77777777" w:rsidR="00D319C1" w:rsidRDefault="00D319C1" w:rsidP="001C37C3">
            <w:pPr>
              <w:pStyle w:val="table"/>
              <w:jc w:val="center"/>
            </w:pPr>
            <w:r>
              <w:t>0.214</w:t>
            </w:r>
          </w:p>
        </w:tc>
      </w:tr>
      <w:tr w:rsidR="00D319C1" w:rsidRPr="00755535" w14:paraId="07111C83" w14:textId="77777777" w:rsidTr="001C37C3">
        <w:trPr>
          <w:trHeight w:val="288"/>
          <w:jc w:val="center"/>
        </w:trPr>
        <w:tc>
          <w:tcPr>
            <w:tcW w:w="2880" w:type="dxa"/>
            <w:vMerge/>
            <w:tcBorders>
              <w:bottom w:val="nil"/>
            </w:tcBorders>
            <w:shd w:val="clear" w:color="auto" w:fill="auto"/>
            <w:noWrap/>
          </w:tcPr>
          <w:p w14:paraId="4A2670A0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B7414" w14:textId="77777777" w:rsidR="00D319C1" w:rsidRPr="005E1B4A" w:rsidRDefault="00D319C1" w:rsidP="001C37C3">
            <w:pPr>
              <w:pStyle w:val="table"/>
              <w:jc w:val="center"/>
            </w:pPr>
            <w:r>
              <w:t>(0.344)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6107D3" w14:textId="77777777" w:rsidR="00D319C1" w:rsidRPr="005E1B4A" w:rsidRDefault="00D319C1" w:rsidP="001C37C3">
            <w:pPr>
              <w:pStyle w:val="table"/>
              <w:jc w:val="center"/>
            </w:pPr>
            <w:r>
              <w:t>(0.356)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75D3FD" w14:textId="77777777" w:rsidR="00D319C1" w:rsidRPr="005E1B4A" w:rsidRDefault="00D319C1" w:rsidP="001C37C3">
            <w:pPr>
              <w:pStyle w:val="table"/>
              <w:jc w:val="center"/>
            </w:pPr>
            <w:r>
              <w:t>(0.333)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525C70" w14:textId="77777777" w:rsidR="00D319C1" w:rsidRPr="005E1B4A" w:rsidRDefault="00D319C1" w:rsidP="001C37C3">
            <w:pPr>
              <w:pStyle w:val="table"/>
              <w:jc w:val="center"/>
            </w:pPr>
            <w:r>
              <w:t>(0.355)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11220" w14:textId="77777777" w:rsidR="00D319C1" w:rsidRDefault="00D319C1" w:rsidP="001C37C3">
            <w:pPr>
              <w:pStyle w:val="table"/>
              <w:jc w:val="center"/>
            </w:pPr>
            <w:r>
              <w:t>(0.380)</w:t>
            </w:r>
          </w:p>
        </w:tc>
      </w:tr>
      <w:tr w:rsidR="00D319C1" w:rsidRPr="00755535" w14:paraId="5800E59F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67F7A9F" w14:textId="77777777" w:rsidR="00D319C1" w:rsidRPr="00755535" w:rsidRDefault="00D319C1" w:rsidP="001C37C3">
            <w:pPr>
              <w:pStyle w:val="table"/>
            </w:pPr>
            <w:r w:rsidRPr="00C33E89">
              <w:t>Int. fibrosis</w:t>
            </w:r>
            <w:r>
              <w:t>/t</w:t>
            </w:r>
            <w:r w:rsidRPr="00C33E89">
              <w:t>ubular atrophy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9005F8" w14:textId="77777777" w:rsidR="00D319C1" w:rsidRPr="005E1B4A" w:rsidRDefault="00D319C1" w:rsidP="001C37C3">
            <w:pPr>
              <w:pStyle w:val="table"/>
              <w:jc w:val="center"/>
            </w:pPr>
            <w:r>
              <w:t>−2.667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41DDA0" w14:textId="77777777" w:rsidR="00D319C1" w:rsidRPr="005E1B4A" w:rsidRDefault="00D319C1" w:rsidP="001C37C3">
            <w:pPr>
              <w:pStyle w:val="table"/>
              <w:jc w:val="center"/>
            </w:pPr>
            <w:r>
              <w:t>−3.350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E0177F" w14:textId="77777777" w:rsidR="00D319C1" w:rsidRPr="005E1B4A" w:rsidRDefault="00D319C1" w:rsidP="001C37C3">
            <w:pPr>
              <w:pStyle w:val="table"/>
              <w:jc w:val="center"/>
            </w:pPr>
            <w:r>
              <w:t>−0.543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F22AD7" w14:textId="77777777" w:rsidR="00D319C1" w:rsidRPr="005E1B4A" w:rsidRDefault="00D319C1" w:rsidP="001C37C3">
            <w:pPr>
              <w:pStyle w:val="table"/>
              <w:jc w:val="center"/>
            </w:pPr>
            <w:r>
              <w:t>−1.763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6273CA" w14:textId="77777777" w:rsidR="00D319C1" w:rsidRDefault="00D319C1" w:rsidP="001C37C3">
            <w:pPr>
              <w:pStyle w:val="table"/>
              <w:jc w:val="center"/>
            </w:pPr>
            <w:r>
              <w:t>−6.266</w:t>
            </w:r>
          </w:p>
        </w:tc>
      </w:tr>
      <w:tr w:rsidR="00D319C1" w:rsidRPr="00755535" w14:paraId="3E113FB2" w14:textId="77777777" w:rsidTr="001C37C3">
        <w:trPr>
          <w:trHeight w:val="288"/>
          <w:jc w:val="center"/>
        </w:trPr>
        <w:tc>
          <w:tcPr>
            <w:tcW w:w="2880" w:type="dxa"/>
            <w:vMerge/>
            <w:tcBorders>
              <w:bottom w:val="nil"/>
            </w:tcBorders>
            <w:shd w:val="clear" w:color="auto" w:fill="auto"/>
            <w:noWrap/>
          </w:tcPr>
          <w:p w14:paraId="3575EB6A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D51582" w14:textId="77777777" w:rsidR="00D319C1" w:rsidRPr="005E1B4A" w:rsidRDefault="00D319C1" w:rsidP="001C37C3">
            <w:pPr>
              <w:pStyle w:val="table"/>
              <w:jc w:val="center"/>
            </w:pPr>
            <w:r>
              <w:t>(4.896)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A6C118" w14:textId="77777777" w:rsidR="00D319C1" w:rsidRPr="005E1B4A" w:rsidRDefault="00D319C1" w:rsidP="001C37C3">
            <w:pPr>
              <w:pStyle w:val="table"/>
              <w:jc w:val="center"/>
            </w:pPr>
            <w:r>
              <w:t>(5.137)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A7748" w14:textId="77777777" w:rsidR="00D319C1" w:rsidRPr="005E1B4A" w:rsidRDefault="00D319C1" w:rsidP="001C37C3">
            <w:pPr>
              <w:pStyle w:val="table"/>
              <w:jc w:val="center"/>
            </w:pPr>
            <w:r>
              <w:t>(4.734)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CEDC86" w14:textId="77777777" w:rsidR="00D319C1" w:rsidRPr="005E1B4A" w:rsidRDefault="00D319C1" w:rsidP="001C37C3">
            <w:pPr>
              <w:pStyle w:val="table"/>
              <w:jc w:val="center"/>
            </w:pPr>
            <w:r>
              <w:t>(5.388)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EED294" w14:textId="77777777" w:rsidR="00D319C1" w:rsidRDefault="00D319C1" w:rsidP="001C37C3">
            <w:pPr>
              <w:pStyle w:val="table"/>
              <w:jc w:val="center"/>
            </w:pPr>
            <w:r>
              <w:t>(5.413)</w:t>
            </w:r>
          </w:p>
        </w:tc>
      </w:tr>
      <w:tr w:rsidR="00D319C1" w:rsidRPr="00755535" w14:paraId="5668437F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6C577E4" w14:textId="77777777" w:rsidR="00D319C1" w:rsidRPr="00755535" w:rsidRDefault="00D319C1" w:rsidP="001C37C3">
            <w:pPr>
              <w:pStyle w:val="table"/>
            </w:pPr>
            <w:r w:rsidRPr="00C33E89">
              <w:t>Arterial intimal fibrosis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9532B4" w14:textId="77777777" w:rsidR="00D319C1" w:rsidRPr="005F11DD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5F11DD">
              <w:rPr>
                <w:b/>
                <w:bCs/>
              </w:rPr>
              <w:t>−</w:t>
            </w:r>
            <w:r>
              <w:rPr>
                <w:b/>
                <w:bCs/>
              </w:rPr>
              <w:t>8.559</w:t>
            </w:r>
            <w:r w:rsidRPr="005F11DD">
              <w:rPr>
                <w:b/>
                <w:bCs/>
              </w:rPr>
              <w:t>*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C70B2C" w14:textId="77777777" w:rsidR="00D319C1" w:rsidRPr="005F11DD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5F11DD">
              <w:rPr>
                <w:b/>
                <w:bCs/>
              </w:rPr>
              <w:t>−</w:t>
            </w:r>
            <w:r>
              <w:rPr>
                <w:b/>
                <w:bCs/>
              </w:rPr>
              <w:t>10.290</w:t>
            </w:r>
            <w:r w:rsidRPr="005F11DD">
              <w:rPr>
                <w:b/>
                <w:bCs/>
              </w:rPr>
              <w:t>**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043A0E" w14:textId="77777777" w:rsidR="00D319C1" w:rsidRPr="005F11DD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5F11DD">
              <w:rPr>
                <w:b/>
                <w:bCs/>
              </w:rPr>
              <w:t>−7.</w:t>
            </w:r>
            <w:r>
              <w:rPr>
                <w:b/>
                <w:bCs/>
              </w:rPr>
              <w:t>977</w:t>
            </w:r>
            <w:r w:rsidRPr="005F11DD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33DEDD" w14:textId="77777777" w:rsidR="00D319C1" w:rsidRPr="005E1B4A" w:rsidRDefault="00D319C1" w:rsidP="001C37C3">
            <w:pPr>
              <w:pStyle w:val="table"/>
              <w:jc w:val="center"/>
            </w:pPr>
            <w:r>
              <w:t>−6.218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F98B77" w14:textId="77777777" w:rsidR="00D319C1" w:rsidRDefault="00D319C1" w:rsidP="001C37C3">
            <w:pPr>
              <w:pStyle w:val="table"/>
              <w:jc w:val="center"/>
            </w:pPr>
            <w:r>
              <w:t>−4.309</w:t>
            </w:r>
          </w:p>
        </w:tc>
      </w:tr>
      <w:tr w:rsidR="00D319C1" w:rsidRPr="00755535" w14:paraId="63DA6A21" w14:textId="77777777" w:rsidTr="001C37C3">
        <w:trPr>
          <w:trHeight w:val="288"/>
          <w:jc w:val="center"/>
        </w:trPr>
        <w:tc>
          <w:tcPr>
            <w:tcW w:w="2880" w:type="dxa"/>
            <w:vMerge/>
            <w:tcBorders>
              <w:bottom w:val="nil"/>
            </w:tcBorders>
            <w:shd w:val="clear" w:color="auto" w:fill="auto"/>
            <w:noWrap/>
          </w:tcPr>
          <w:p w14:paraId="78F25538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BC4FBE" w14:textId="77777777" w:rsidR="00D319C1" w:rsidRPr="005E1B4A" w:rsidRDefault="00D319C1" w:rsidP="001C37C3">
            <w:pPr>
              <w:pStyle w:val="table"/>
              <w:jc w:val="center"/>
            </w:pPr>
            <w:r>
              <w:t>(3.494)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4BCC04" w14:textId="77777777" w:rsidR="00D319C1" w:rsidRPr="005E1B4A" w:rsidRDefault="00D319C1" w:rsidP="001C37C3">
            <w:pPr>
              <w:pStyle w:val="table"/>
              <w:jc w:val="center"/>
            </w:pPr>
            <w:r>
              <w:t>(3.644)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DEA4CB" w14:textId="77777777" w:rsidR="00D319C1" w:rsidRPr="005E1B4A" w:rsidRDefault="00D319C1" w:rsidP="001C37C3">
            <w:pPr>
              <w:pStyle w:val="table"/>
              <w:jc w:val="center"/>
            </w:pPr>
            <w:r>
              <w:t>(3.444)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64FCCE" w14:textId="77777777" w:rsidR="00D319C1" w:rsidRPr="005E1B4A" w:rsidRDefault="00D319C1" w:rsidP="001C37C3">
            <w:pPr>
              <w:pStyle w:val="table"/>
              <w:jc w:val="center"/>
            </w:pPr>
            <w:r>
              <w:t>(3.752)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432476" w14:textId="77777777" w:rsidR="00D319C1" w:rsidRDefault="00D319C1" w:rsidP="001C37C3">
            <w:pPr>
              <w:pStyle w:val="table"/>
              <w:jc w:val="center"/>
            </w:pPr>
            <w:r>
              <w:t>(3.864)</w:t>
            </w:r>
          </w:p>
        </w:tc>
      </w:tr>
      <w:tr w:rsidR="00D319C1" w:rsidRPr="00755535" w14:paraId="6E65F04E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D2654B8" w14:textId="77777777" w:rsidR="00D319C1" w:rsidRPr="00755535" w:rsidRDefault="00D319C1" w:rsidP="001C37C3">
            <w:pPr>
              <w:pStyle w:val="table"/>
            </w:pPr>
            <w:r w:rsidRPr="00C33E89">
              <w:t>Arteriolar hyalinosis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8D03CA" w14:textId="77777777" w:rsidR="00D319C1" w:rsidRPr="005E1B4A" w:rsidRDefault="00D319C1" w:rsidP="001C37C3">
            <w:pPr>
              <w:pStyle w:val="table"/>
              <w:jc w:val="center"/>
            </w:pPr>
            <w:r>
              <w:t>−2.886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D73A46" w14:textId="77777777" w:rsidR="00D319C1" w:rsidRPr="005E1B4A" w:rsidRDefault="00D319C1" w:rsidP="001C37C3">
            <w:pPr>
              <w:pStyle w:val="table"/>
              <w:jc w:val="center"/>
            </w:pPr>
            <w:r>
              <w:t>−0.865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E33366" w14:textId="77777777" w:rsidR="00D319C1" w:rsidRPr="005E1B4A" w:rsidRDefault="00D319C1" w:rsidP="001C37C3">
            <w:pPr>
              <w:pStyle w:val="table"/>
              <w:jc w:val="center"/>
            </w:pPr>
            <w:r>
              <w:t>−1.753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378AB9" w14:textId="77777777" w:rsidR="00D319C1" w:rsidRPr="005E1B4A" w:rsidRDefault="00D319C1" w:rsidP="001C37C3">
            <w:pPr>
              <w:pStyle w:val="table"/>
              <w:jc w:val="center"/>
            </w:pPr>
            <w:r>
              <w:t>−2.976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D1BDAA" w14:textId="77777777" w:rsidR="00D319C1" w:rsidRDefault="00D319C1" w:rsidP="001C37C3">
            <w:pPr>
              <w:pStyle w:val="table"/>
              <w:jc w:val="center"/>
            </w:pPr>
            <w:r>
              <w:t>−5.495</w:t>
            </w:r>
          </w:p>
        </w:tc>
      </w:tr>
      <w:tr w:rsidR="00D319C1" w:rsidRPr="00755535" w14:paraId="17C94546" w14:textId="77777777" w:rsidTr="001C37C3">
        <w:trPr>
          <w:trHeight w:val="288"/>
          <w:jc w:val="center"/>
        </w:trPr>
        <w:tc>
          <w:tcPr>
            <w:tcW w:w="2880" w:type="dxa"/>
            <w:vMerge/>
            <w:tcBorders>
              <w:bottom w:val="nil"/>
            </w:tcBorders>
            <w:shd w:val="clear" w:color="auto" w:fill="auto"/>
            <w:noWrap/>
          </w:tcPr>
          <w:p w14:paraId="57C0E076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700016" w14:textId="77777777" w:rsidR="00D319C1" w:rsidRPr="005E1B4A" w:rsidRDefault="00D319C1" w:rsidP="001C37C3">
            <w:pPr>
              <w:pStyle w:val="table"/>
              <w:jc w:val="center"/>
            </w:pPr>
            <w:r>
              <w:t>(3.150)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C01113" w14:textId="77777777" w:rsidR="00D319C1" w:rsidRPr="005E1B4A" w:rsidRDefault="00D319C1" w:rsidP="001C37C3">
            <w:pPr>
              <w:pStyle w:val="table"/>
              <w:jc w:val="center"/>
            </w:pPr>
            <w:r>
              <w:t>(3.339)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5BF1E0" w14:textId="77777777" w:rsidR="00D319C1" w:rsidRPr="005E1B4A" w:rsidRDefault="00D319C1" w:rsidP="001C37C3">
            <w:pPr>
              <w:pStyle w:val="table"/>
              <w:jc w:val="center"/>
            </w:pPr>
            <w:r>
              <w:t>(3.116)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5AEE7A" w14:textId="77777777" w:rsidR="00D319C1" w:rsidRPr="005E1B4A" w:rsidRDefault="00D319C1" w:rsidP="001C37C3">
            <w:pPr>
              <w:pStyle w:val="table"/>
              <w:jc w:val="center"/>
            </w:pPr>
            <w:r>
              <w:t>(3.424)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7B7877" w14:textId="77777777" w:rsidR="00D319C1" w:rsidRDefault="00D319C1" w:rsidP="001C37C3">
            <w:pPr>
              <w:pStyle w:val="table"/>
              <w:jc w:val="center"/>
            </w:pPr>
            <w:r>
              <w:t>(3.486)</w:t>
            </w:r>
          </w:p>
        </w:tc>
      </w:tr>
      <w:tr w:rsidR="00D319C1" w:rsidRPr="00755535" w14:paraId="52241B99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1F735251" w14:textId="77777777" w:rsidR="00D319C1" w:rsidRPr="00755535" w:rsidRDefault="00D319C1" w:rsidP="001C37C3">
            <w:pPr>
              <w:pStyle w:val="table"/>
              <w:rPr>
                <w:color w:val="000000"/>
              </w:rPr>
            </w:pPr>
            <w:r w:rsidRPr="00C33E89">
              <w:t>Acute tubular injury</w:t>
            </w:r>
          </w:p>
          <w:p w14:paraId="2629B6A2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02A16" w14:textId="77777777" w:rsidR="00D319C1" w:rsidRPr="00755535" w:rsidRDefault="00D319C1" w:rsidP="001C37C3">
            <w:pPr>
              <w:pStyle w:val="table"/>
              <w:jc w:val="center"/>
            </w:pPr>
            <w:r>
              <w:t>3.649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B618B" w14:textId="77777777" w:rsidR="00D319C1" w:rsidRPr="00755535" w:rsidRDefault="00D319C1" w:rsidP="001C37C3">
            <w:pPr>
              <w:pStyle w:val="table"/>
              <w:jc w:val="center"/>
            </w:pPr>
            <w:r>
              <w:t>3.371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9B2EA" w14:textId="77777777" w:rsidR="00D319C1" w:rsidRPr="00755535" w:rsidRDefault="00D319C1" w:rsidP="001C37C3">
            <w:pPr>
              <w:pStyle w:val="table"/>
              <w:jc w:val="center"/>
            </w:pPr>
            <w:r>
              <w:t>-0.310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A1954C" w14:textId="77777777" w:rsidR="00D319C1" w:rsidRPr="00755535" w:rsidRDefault="00D319C1" w:rsidP="001C37C3">
            <w:pPr>
              <w:pStyle w:val="table"/>
              <w:jc w:val="center"/>
            </w:pPr>
            <w:r>
              <w:t>0.118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959BA" w14:textId="77777777" w:rsidR="00D319C1" w:rsidRPr="00755535" w:rsidRDefault="00D319C1" w:rsidP="001C37C3">
            <w:pPr>
              <w:pStyle w:val="table"/>
              <w:jc w:val="center"/>
            </w:pPr>
            <w:r>
              <w:t>1.262</w:t>
            </w:r>
          </w:p>
        </w:tc>
      </w:tr>
      <w:tr w:rsidR="00D319C1" w:rsidRPr="00755535" w14:paraId="579EA57C" w14:textId="77777777" w:rsidTr="001C37C3">
        <w:trPr>
          <w:trHeight w:val="288"/>
          <w:jc w:val="center"/>
        </w:trPr>
        <w:tc>
          <w:tcPr>
            <w:tcW w:w="2880" w:type="dxa"/>
            <w:vMerge/>
            <w:shd w:val="clear" w:color="auto" w:fill="auto"/>
            <w:noWrap/>
            <w:hideMark/>
          </w:tcPr>
          <w:p w14:paraId="4E438D0E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72F13" w14:textId="77777777" w:rsidR="00D319C1" w:rsidRPr="00755535" w:rsidRDefault="00D319C1" w:rsidP="001C37C3">
            <w:pPr>
              <w:pStyle w:val="table"/>
              <w:jc w:val="center"/>
            </w:pPr>
            <w:r>
              <w:t>(3.355)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5AF57" w14:textId="77777777" w:rsidR="00D319C1" w:rsidRPr="00755535" w:rsidRDefault="00D319C1" w:rsidP="001C37C3">
            <w:pPr>
              <w:pStyle w:val="table"/>
              <w:jc w:val="center"/>
            </w:pPr>
            <w:r>
              <w:t>(3.492)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C4625E" w14:textId="77777777" w:rsidR="00D319C1" w:rsidRPr="00755535" w:rsidRDefault="00D319C1" w:rsidP="001C37C3">
            <w:pPr>
              <w:pStyle w:val="table"/>
              <w:jc w:val="center"/>
            </w:pPr>
            <w:r>
              <w:t>(3.178)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E67BF" w14:textId="77777777" w:rsidR="00D319C1" w:rsidRPr="00755535" w:rsidRDefault="00D319C1" w:rsidP="001C37C3">
            <w:pPr>
              <w:pStyle w:val="table"/>
              <w:jc w:val="center"/>
            </w:pPr>
            <w:r>
              <w:t>(3.426)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EDBAF" w14:textId="77777777" w:rsidR="00D319C1" w:rsidRPr="00755535" w:rsidRDefault="00D319C1" w:rsidP="001C37C3">
            <w:pPr>
              <w:pStyle w:val="table"/>
              <w:jc w:val="center"/>
            </w:pPr>
            <w:r>
              <w:t>(3.713)</w:t>
            </w:r>
          </w:p>
        </w:tc>
      </w:tr>
      <w:tr w:rsidR="00D319C1" w:rsidRPr="00755535" w14:paraId="14A61681" w14:textId="77777777" w:rsidTr="001C37C3">
        <w:trPr>
          <w:trHeight w:val="288"/>
          <w:jc w:val="center"/>
        </w:trPr>
        <w:tc>
          <w:tcPr>
            <w:tcW w:w="2880" w:type="dxa"/>
            <w:vMerge w:val="restart"/>
            <w:shd w:val="clear" w:color="auto" w:fill="auto"/>
            <w:noWrap/>
            <w:hideMark/>
          </w:tcPr>
          <w:p w14:paraId="7C3F68E0" w14:textId="77777777" w:rsidR="00D319C1" w:rsidRPr="00755535" w:rsidRDefault="00D319C1" w:rsidP="001C37C3">
            <w:pPr>
              <w:pStyle w:val="table"/>
            </w:pPr>
            <w:r>
              <w:t>Constant</w:t>
            </w:r>
          </w:p>
          <w:p w14:paraId="27A7499F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C01022" w14:textId="77777777" w:rsidR="00D319C1" w:rsidRPr="00755535" w:rsidRDefault="00D319C1" w:rsidP="001C37C3">
            <w:pPr>
              <w:pStyle w:val="table"/>
              <w:jc w:val="center"/>
            </w:pPr>
            <w:r>
              <w:t>49.582***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7E37CB1B" w14:textId="77777777" w:rsidR="00D319C1" w:rsidRPr="00755535" w:rsidRDefault="00D319C1" w:rsidP="001C37C3">
            <w:pPr>
              <w:pStyle w:val="table"/>
              <w:jc w:val="center"/>
            </w:pPr>
            <w:r>
              <w:t>56.655***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D77B415" w14:textId="77777777" w:rsidR="00D319C1" w:rsidRPr="00755535" w:rsidRDefault="00D319C1" w:rsidP="001C37C3">
            <w:pPr>
              <w:pStyle w:val="table"/>
              <w:jc w:val="center"/>
            </w:pPr>
            <w:r>
              <w:t>66.581***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4446B69" w14:textId="77777777" w:rsidR="00D319C1" w:rsidRPr="00755535" w:rsidRDefault="00D319C1" w:rsidP="001C37C3">
            <w:pPr>
              <w:pStyle w:val="table"/>
              <w:jc w:val="center"/>
            </w:pPr>
            <w:r>
              <w:t>63.652***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FD9768F" w14:textId="77777777" w:rsidR="00D319C1" w:rsidRPr="00755535" w:rsidRDefault="00D319C1" w:rsidP="001C37C3">
            <w:pPr>
              <w:pStyle w:val="table"/>
              <w:jc w:val="center"/>
            </w:pPr>
            <w:r>
              <w:t>63.642***</w:t>
            </w:r>
          </w:p>
        </w:tc>
      </w:tr>
      <w:tr w:rsidR="00D319C1" w:rsidRPr="00755535" w14:paraId="3FBCD0AA" w14:textId="77777777" w:rsidTr="001C37C3">
        <w:trPr>
          <w:trHeight w:val="288"/>
          <w:jc w:val="center"/>
        </w:trPr>
        <w:tc>
          <w:tcPr>
            <w:tcW w:w="288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2BA2270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C7F8C7" w14:textId="77777777" w:rsidR="00D319C1" w:rsidRPr="00755535" w:rsidRDefault="00D319C1" w:rsidP="001C37C3">
            <w:pPr>
              <w:pStyle w:val="table"/>
              <w:jc w:val="center"/>
            </w:pPr>
            <w:r>
              <w:t>(9.618)</w:t>
            </w:r>
          </w:p>
        </w:tc>
        <w:tc>
          <w:tcPr>
            <w:tcW w:w="1314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79FDF2F" w14:textId="77777777" w:rsidR="00D319C1" w:rsidRPr="00755535" w:rsidRDefault="00D319C1" w:rsidP="001C37C3">
            <w:pPr>
              <w:pStyle w:val="table"/>
              <w:jc w:val="center"/>
            </w:pPr>
            <w:r>
              <w:t>(9.992)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B41CF57" w14:textId="77777777" w:rsidR="00D319C1" w:rsidRPr="00755535" w:rsidRDefault="00D319C1" w:rsidP="001C37C3">
            <w:pPr>
              <w:pStyle w:val="table"/>
              <w:jc w:val="center"/>
            </w:pPr>
            <w:r>
              <w:t>(9.079)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6BBF819" w14:textId="77777777" w:rsidR="00D319C1" w:rsidRPr="00755535" w:rsidRDefault="00D319C1" w:rsidP="001C37C3">
            <w:pPr>
              <w:pStyle w:val="table"/>
              <w:jc w:val="center"/>
            </w:pPr>
            <w:r>
              <w:t>(9.749)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429B977" w14:textId="77777777" w:rsidR="00D319C1" w:rsidRPr="00755535" w:rsidRDefault="00D319C1" w:rsidP="001C37C3">
            <w:pPr>
              <w:pStyle w:val="table"/>
              <w:jc w:val="center"/>
            </w:pPr>
            <w:r>
              <w:t>(10.647)</w:t>
            </w:r>
          </w:p>
        </w:tc>
      </w:tr>
      <w:tr w:rsidR="00D319C1" w:rsidRPr="00755535" w14:paraId="58F47DF3" w14:textId="77777777" w:rsidTr="001C37C3">
        <w:trPr>
          <w:trHeight w:val="288"/>
          <w:jc w:val="center"/>
        </w:trPr>
        <w:tc>
          <w:tcPr>
            <w:tcW w:w="288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499DD9B5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N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47B5C753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  <w:tc>
          <w:tcPr>
            <w:tcW w:w="131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23AC9B70" w14:textId="77777777" w:rsidR="00D319C1" w:rsidRPr="00755535" w:rsidRDefault="00D319C1" w:rsidP="001C37C3">
            <w:pPr>
              <w:pStyle w:val="table"/>
              <w:jc w:val="center"/>
            </w:pPr>
            <w:r>
              <w:t>82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2FD3DAD3" w14:textId="77777777" w:rsidR="00D319C1" w:rsidRPr="00755535" w:rsidRDefault="00D319C1" w:rsidP="001C37C3">
            <w:pPr>
              <w:pStyle w:val="table"/>
              <w:jc w:val="center"/>
            </w:pPr>
            <w:r>
              <w:t>78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6D7EA0E6" w14:textId="77777777" w:rsidR="00D319C1" w:rsidRPr="00755535" w:rsidRDefault="00D319C1" w:rsidP="001C37C3">
            <w:pPr>
              <w:pStyle w:val="table"/>
              <w:jc w:val="center"/>
            </w:pPr>
            <w:r>
              <w:t>76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2DEF8600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</w:tr>
      <w:tr w:rsidR="00D319C1" w:rsidRPr="00755535" w14:paraId="309BEB16" w14:textId="77777777" w:rsidTr="001C37C3">
        <w:trPr>
          <w:trHeight w:val="288"/>
          <w:jc w:val="center"/>
        </w:trPr>
        <w:tc>
          <w:tcPr>
            <w:tcW w:w="288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690A5D9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logL</w:t>
            </w:r>
          </w:p>
        </w:tc>
        <w:tc>
          <w:tcPr>
            <w:tcW w:w="135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637561D" w14:textId="77777777" w:rsidR="00D319C1" w:rsidRPr="00755535" w:rsidRDefault="00D319C1" w:rsidP="001C37C3">
            <w:pPr>
              <w:pStyle w:val="table"/>
              <w:jc w:val="center"/>
            </w:pPr>
            <w:r>
              <w:t>−364.885</w:t>
            </w:r>
          </w:p>
        </w:tc>
        <w:tc>
          <w:tcPr>
            <w:tcW w:w="131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3EF8008" w14:textId="77777777" w:rsidR="00D319C1" w:rsidRPr="00755535" w:rsidRDefault="00D319C1" w:rsidP="001C37C3">
            <w:pPr>
              <w:pStyle w:val="table"/>
              <w:jc w:val="center"/>
            </w:pPr>
            <w:r>
              <w:t>−358.976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60FA985" w14:textId="77777777" w:rsidR="00D319C1" w:rsidRPr="00755535" w:rsidRDefault="00D319C1" w:rsidP="001C37C3">
            <w:pPr>
              <w:pStyle w:val="table"/>
              <w:jc w:val="center"/>
            </w:pPr>
            <w:r>
              <w:t>−335.368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1E71B78" w14:textId="77777777" w:rsidR="00D319C1" w:rsidRPr="00755535" w:rsidRDefault="00D319C1" w:rsidP="001C37C3">
            <w:pPr>
              <w:pStyle w:val="table"/>
              <w:jc w:val="center"/>
            </w:pPr>
            <w:r>
              <w:t>−332.793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A15C7B9" w14:textId="77777777" w:rsidR="00D319C1" w:rsidRPr="00755535" w:rsidRDefault="00D319C1" w:rsidP="001C37C3">
            <w:pPr>
              <w:pStyle w:val="table"/>
              <w:jc w:val="center"/>
            </w:pPr>
            <w:r>
              <w:t>−376.217</w:t>
            </w:r>
          </w:p>
        </w:tc>
      </w:tr>
    </w:tbl>
    <w:p w14:paraId="68966D9A" w14:textId="77777777" w:rsidR="00D319C1" w:rsidRDefault="00D319C1" w:rsidP="00D319C1">
      <w:pPr>
        <w:pStyle w:val="tablenote"/>
      </w:pPr>
      <w:r w:rsidRPr="00530905">
        <w:rPr>
          <w:i/>
          <w:iCs/>
        </w:rPr>
        <w:t>Note</w:t>
      </w:r>
      <w:r w:rsidRPr="00530905">
        <w:t>: Values in parentheses represent standard errors. Asterisks represent p-values: *p&lt;0.05, **p&lt;0.01, ***p&lt;0.001.</w:t>
      </w:r>
    </w:p>
    <w:p w14:paraId="6DF79924" w14:textId="77777777" w:rsidR="00D319C1" w:rsidRDefault="00D319C1" w:rsidP="00D319C1">
      <w:pPr>
        <w:pStyle w:val="Caption"/>
      </w:pPr>
      <w:bookmarkStart w:id="1" w:name="_Ref37265200"/>
    </w:p>
    <w:p w14:paraId="4EBADF02" w14:textId="77777777" w:rsidR="00D319C1" w:rsidRDefault="00D319C1" w:rsidP="00D319C1">
      <w:pPr>
        <w:pStyle w:val="Caption"/>
      </w:pPr>
    </w:p>
    <w:p w14:paraId="720A1CFA" w14:textId="77777777" w:rsidR="00D319C1" w:rsidRDefault="00D319C1" w:rsidP="00D319C1">
      <w:pPr>
        <w:pStyle w:val="Caption"/>
      </w:pPr>
    </w:p>
    <w:p w14:paraId="09068714" w14:textId="77777777" w:rsidR="00D319C1" w:rsidRDefault="00D319C1" w:rsidP="00D319C1">
      <w:pPr>
        <w:pStyle w:val="Caption"/>
      </w:pPr>
    </w:p>
    <w:p w14:paraId="5A78BF3D" w14:textId="77777777" w:rsidR="00D319C1" w:rsidRDefault="00D319C1" w:rsidP="00D319C1">
      <w:pPr>
        <w:pStyle w:val="Caption"/>
      </w:pPr>
    </w:p>
    <w:p w14:paraId="654D711B" w14:textId="77777777" w:rsidR="00D319C1" w:rsidRDefault="00D319C1" w:rsidP="00D319C1">
      <w:pPr>
        <w:pStyle w:val="Caption"/>
      </w:pPr>
    </w:p>
    <w:p w14:paraId="66F912DD" w14:textId="77777777" w:rsidR="00D319C1" w:rsidRDefault="00D319C1" w:rsidP="00D319C1">
      <w:pPr>
        <w:pStyle w:val="Caption"/>
      </w:pPr>
    </w:p>
    <w:p w14:paraId="7C55A45D" w14:textId="77777777" w:rsidR="00D319C1" w:rsidRDefault="00D319C1" w:rsidP="00D319C1">
      <w:pPr>
        <w:pStyle w:val="Caption"/>
      </w:pPr>
    </w:p>
    <w:p w14:paraId="7C8F7C31" w14:textId="77777777" w:rsidR="00D319C1" w:rsidRDefault="00D319C1" w:rsidP="00D319C1">
      <w:pPr>
        <w:pStyle w:val="Caption"/>
      </w:pPr>
    </w:p>
    <w:p w14:paraId="279C601C" w14:textId="77777777" w:rsidR="00D319C1" w:rsidRDefault="00D319C1" w:rsidP="00D319C1">
      <w:pPr>
        <w:pStyle w:val="Caption"/>
      </w:pPr>
    </w:p>
    <w:p w14:paraId="351FD2D6" w14:textId="77777777" w:rsidR="00D319C1" w:rsidRDefault="00D319C1" w:rsidP="00D319C1">
      <w:pPr>
        <w:pStyle w:val="Caption"/>
      </w:pPr>
    </w:p>
    <w:p w14:paraId="20E82C38" w14:textId="77777777" w:rsidR="00D319C1" w:rsidRDefault="00D319C1" w:rsidP="00D319C1"/>
    <w:p w14:paraId="05F516F8" w14:textId="77777777" w:rsidR="00D319C1" w:rsidRDefault="00D319C1" w:rsidP="00D319C1"/>
    <w:p w14:paraId="267EEB88" w14:textId="77777777" w:rsidR="00D319C1" w:rsidRDefault="00D319C1" w:rsidP="00D319C1"/>
    <w:p w14:paraId="6E1E8629" w14:textId="77777777" w:rsidR="00D319C1" w:rsidRDefault="00D319C1" w:rsidP="00D319C1"/>
    <w:p w14:paraId="240DD738" w14:textId="77777777" w:rsidR="00D319C1" w:rsidRDefault="00D319C1" w:rsidP="00D319C1"/>
    <w:p w14:paraId="420650CA" w14:textId="77777777" w:rsidR="00D319C1" w:rsidRDefault="00D319C1" w:rsidP="00D319C1"/>
    <w:p w14:paraId="0756403C" w14:textId="77777777" w:rsidR="00D319C1" w:rsidRDefault="00D319C1" w:rsidP="00D319C1">
      <w:pPr>
        <w:pStyle w:val="Caption"/>
        <w:jc w:val="both"/>
      </w:pPr>
      <w:bookmarkStart w:id="2" w:name="_Ref37266065"/>
      <w:bookmarkEnd w:id="1"/>
    </w:p>
    <w:p w14:paraId="12EAF206" w14:textId="77777777" w:rsidR="00D319C1" w:rsidRDefault="00D319C1" w:rsidP="00D319C1">
      <w:pPr>
        <w:pStyle w:val="Caption"/>
      </w:pPr>
    </w:p>
    <w:p w14:paraId="5A539ACF" w14:textId="77777777" w:rsidR="00D319C1" w:rsidRDefault="00D319C1" w:rsidP="00D319C1">
      <w:pPr>
        <w:pStyle w:val="Caption"/>
      </w:pPr>
      <w:r w:rsidRPr="00DA241C">
        <w:t>Supplementary Table 3</w:t>
      </w:r>
      <w:r>
        <w:rPr>
          <w:noProof/>
        </w:rPr>
        <w:t xml:space="preserve">. </w:t>
      </w:r>
      <w:r w:rsidRPr="00E168A9">
        <w:rPr>
          <w:noProof/>
        </w:rPr>
        <w:t xml:space="preserve">Tobit regressions of </w:t>
      </w:r>
      <w:r>
        <w:rPr>
          <w:noProof/>
        </w:rPr>
        <w:t xml:space="preserve">GFR on procurement components </w:t>
      </w:r>
      <w:r w:rsidRPr="00E168A9">
        <w:rPr>
          <w:noProof/>
        </w:rPr>
        <w:t xml:space="preserve">at </w:t>
      </w:r>
      <w:r>
        <w:rPr>
          <w:noProof/>
        </w:rPr>
        <w:t>one</w:t>
      </w:r>
      <w:r w:rsidRPr="00E168A9">
        <w:rPr>
          <w:noProof/>
        </w:rPr>
        <w:t xml:space="preserve">, </w:t>
      </w:r>
      <w:r>
        <w:rPr>
          <w:noProof/>
        </w:rPr>
        <w:t>three</w:t>
      </w:r>
      <w:r w:rsidRPr="00E168A9">
        <w:rPr>
          <w:noProof/>
        </w:rPr>
        <w:t xml:space="preserve">, </w:t>
      </w:r>
      <w:r>
        <w:rPr>
          <w:noProof/>
        </w:rPr>
        <w:t>six</w:t>
      </w:r>
      <w:r w:rsidRPr="00E168A9">
        <w:rPr>
          <w:noProof/>
        </w:rPr>
        <w:t xml:space="preserve">, </w:t>
      </w:r>
      <w:r>
        <w:rPr>
          <w:noProof/>
        </w:rPr>
        <w:t>twelve</w:t>
      </w:r>
      <w:r w:rsidRPr="00E168A9">
        <w:rPr>
          <w:noProof/>
        </w:rPr>
        <w:t xml:space="preserve"> </w:t>
      </w:r>
      <w:r>
        <w:rPr>
          <w:noProof/>
        </w:rPr>
        <w:t>months</w:t>
      </w:r>
      <w:r w:rsidRPr="00E168A9">
        <w:rPr>
          <w:noProof/>
        </w:rPr>
        <w:t>, and last measurement after transplant.</w:t>
      </w:r>
    </w:p>
    <w:tbl>
      <w:tblPr>
        <w:tblW w:w="9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242"/>
        <w:gridCol w:w="1242"/>
        <w:gridCol w:w="1242"/>
        <w:gridCol w:w="1242"/>
        <w:gridCol w:w="1242"/>
      </w:tblGrid>
      <w:tr w:rsidR="00D319C1" w:rsidRPr="00755535" w14:paraId="373EDC89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5466CDBE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6210" w:type="dxa"/>
            <w:gridSpan w:val="5"/>
            <w:tcBorders>
              <w:top w:val="single" w:sz="18" w:space="0" w:color="7F7F7F" w:themeColor="text1" w:themeTint="8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400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GFR</w:t>
            </w:r>
          </w:p>
        </w:tc>
      </w:tr>
      <w:tr w:rsidR="00D319C1" w:rsidRPr="00755535" w14:paraId="3C3320AA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019F57E1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8FAF9A0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1 </w:t>
            </w:r>
            <w:r>
              <w:t>month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2F475362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3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E5696E3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6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3AE77CD3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>1</w:t>
            </w:r>
            <w:r>
              <w:t>2</w:t>
            </w:r>
            <w:r w:rsidRPr="005E1B4A">
              <w:t xml:space="preserve">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DAC75E1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B6104D">
              <w:t>Last</w:t>
            </w:r>
          </w:p>
        </w:tc>
      </w:tr>
      <w:tr w:rsidR="00D319C1" w:rsidRPr="00755535" w14:paraId="2A5F5D2B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noWrap/>
          </w:tcPr>
          <w:p w14:paraId="1078F121" w14:textId="77777777" w:rsidR="00D319C1" w:rsidRPr="00755535" w:rsidRDefault="00D319C1" w:rsidP="001C37C3">
            <w:pPr>
              <w:pStyle w:val="table"/>
            </w:pPr>
            <w:r w:rsidRPr="00C33E89">
              <w:t>Glomerulo</w:t>
            </w:r>
            <w:r>
              <w:softHyphen/>
            </w:r>
            <w:r w:rsidRPr="00C33E89">
              <w:t>sclerosis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0AC72A86" w14:textId="77777777" w:rsidR="00D319C1" w:rsidRPr="00563F6E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0</w:t>
            </w:r>
            <w:r w:rsidRPr="00770DC6">
              <w:t>.</w:t>
            </w:r>
            <w:r>
              <w:t>540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15B71E9D" w14:textId="77777777" w:rsidR="00D319C1" w:rsidRPr="005E1B4A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0</w:t>
            </w:r>
            <w:r w:rsidRPr="00770DC6">
              <w:t>.</w:t>
            </w:r>
            <w:r>
              <w:t>645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2D1E2EE6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-1.0</w:t>
            </w:r>
            <w:r>
              <w:rPr>
                <w:b/>
                <w:bCs/>
              </w:rPr>
              <w:t>58</w:t>
            </w:r>
            <w:r w:rsidRPr="00266415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79F9FA6E" w14:textId="77777777" w:rsidR="00D319C1" w:rsidRPr="005E1B4A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0</w:t>
            </w:r>
            <w:r w:rsidRPr="00770DC6">
              <w:t>.9</w:t>
            </w:r>
            <w:r>
              <w:t>51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060935BE" w14:textId="77777777" w:rsidR="00D319C1" w:rsidRDefault="00D319C1" w:rsidP="001C37C3">
            <w:pPr>
              <w:pStyle w:val="table"/>
              <w:jc w:val="center"/>
            </w:pPr>
            <w:r>
              <w:t>0</w:t>
            </w:r>
            <w:r w:rsidRPr="00E80CA3">
              <w:t>.0</w:t>
            </w:r>
            <w:r>
              <w:t>04</w:t>
            </w:r>
          </w:p>
        </w:tc>
      </w:tr>
      <w:tr w:rsidR="00D319C1" w:rsidRPr="00755535" w14:paraId="1B3567BF" w14:textId="77777777" w:rsidTr="001C37C3">
        <w:trPr>
          <w:trHeight w:val="288"/>
          <w:jc w:val="center"/>
        </w:trPr>
        <w:tc>
          <w:tcPr>
            <w:tcW w:w="3060" w:type="dxa"/>
            <w:vMerge/>
            <w:tcBorders>
              <w:bottom w:val="nil"/>
            </w:tcBorders>
            <w:shd w:val="clear" w:color="auto" w:fill="auto"/>
            <w:noWrap/>
          </w:tcPr>
          <w:p w14:paraId="2785F55E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22DA35" w14:textId="77777777" w:rsidR="00D319C1" w:rsidRPr="005E1B4A" w:rsidRDefault="00D319C1" w:rsidP="001C37C3">
            <w:pPr>
              <w:pStyle w:val="table"/>
              <w:jc w:val="center"/>
            </w:pPr>
            <w:r>
              <w:t>(0</w:t>
            </w:r>
            <w:r w:rsidRPr="00770DC6">
              <w:t>.5</w:t>
            </w:r>
            <w:r>
              <w:t>08)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1A12E6" w14:textId="77777777" w:rsidR="00D319C1" w:rsidRPr="005E1B4A" w:rsidRDefault="00D319C1" w:rsidP="001C37C3">
            <w:pPr>
              <w:pStyle w:val="table"/>
              <w:jc w:val="center"/>
            </w:pPr>
            <w:r>
              <w:t>(0</w:t>
            </w:r>
            <w:r w:rsidRPr="00770DC6">
              <w:t>.5</w:t>
            </w:r>
            <w:r>
              <w:t>59)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53CDC1" w14:textId="77777777" w:rsidR="00D319C1" w:rsidRPr="005E1B4A" w:rsidRDefault="00D319C1" w:rsidP="001C37C3">
            <w:pPr>
              <w:pStyle w:val="table"/>
              <w:jc w:val="center"/>
            </w:pPr>
            <w:r>
              <w:t>(0</w:t>
            </w:r>
            <w:r w:rsidRPr="00770DC6">
              <w:t>.48</w:t>
            </w:r>
            <w:r>
              <w:t>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095AE6" w14:textId="77777777" w:rsidR="00D319C1" w:rsidRPr="005E1B4A" w:rsidRDefault="00D319C1" w:rsidP="001C37C3">
            <w:pPr>
              <w:pStyle w:val="table"/>
              <w:jc w:val="center"/>
            </w:pPr>
            <w:r>
              <w:t>(0</w:t>
            </w:r>
            <w:r w:rsidRPr="00770DC6">
              <w:t>.5</w:t>
            </w:r>
            <w:r>
              <w:t>12)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F11812" w14:textId="77777777" w:rsidR="00D319C1" w:rsidRDefault="00D319C1" w:rsidP="001C37C3">
            <w:pPr>
              <w:pStyle w:val="table"/>
              <w:jc w:val="center"/>
            </w:pPr>
            <w:r>
              <w:t>(0</w:t>
            </w:r>
            <w:r w:rsidRPr="00770DC6">
              <w:t>.6</w:t>
            </w:r>
            <w:r>
              <w:t>39)</w:t>
            </w:r>
          </w:p>
        </w:tc>
      </w:tr>
      <w:tr w:rsidR="00D319C1" w:rsidRPr="00755535" w14:paraId="2C25FAF6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AD9D1F1" w14:textId="77777777" w:rsidR="00D319C1" w:rsidRPr="00755535" w:rsidRDefault="00D319C1" w:rsidP="001C37C3">
            <w:pPr>
              <w:pStyle w:val="table"/>
            </w:pPr>
            <w:r w:rsidRPr="00C33E89">
              <w:t>Int. fibrosis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57F64C" w14:textId="77777777" w:rsidR="00D319C1" w:rsidRPr="005E1B4A" w:rsidRDefault="00D319C1" w:rsidP="001C37C3">
            <w:pPr>
              <w:pStyle w:val="table"/>
              <w:jc w:val="center"/>
            </w:pPr>
            <w:r w:rsidRPr="00770DC6">
              <w:t>3.</w:t>
            </w:r>
            <w:r>
              <w:t>162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90A33D" w14:textId="77777777" w:rsidR="00D319C1" w:rsidRPr="005E1B4A" w:rsidRDefault="00D319C1" w:rsidP="001C37C3">
            <w:pPr>
              <w:pStyle w:val="table"/>
              <w:jc w:val="center"/>
            </w:pPr>
            <w:r>
              <w:t>8.419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D34F00" w14:textId="77777777" w:rsidR="00D319C1" w:rsidRPr="005E1B4A" w:rsidRDefault="00D319C1" w:rsidP="001C37C3">
            <w:pPr>
              <w:pStyle w:val="table"/>
              <w:jc w:val="center"/>
            </w:pPr>
            <w:r>
              <w:t>4.840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8A85CC" w14:textId="77777777" w:rsidR="00D319C1" w:rsidRPr="005E1B4A" w:rsidRDefault="00D319C1" w:rsidP="001C37C3">
            <w:pPr>
              <w:pStyle w:val="table"/>
              <w:jc w:val="center"/>
            </w:pPr>
            <w:r>
              <w:t>3.805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3BB1EF" w14:textId="77777777" w:rsidR="00D319C1" w:rsidRDefault="00D319C1" w:rsidP="001C37C3">
            <w:pPr>
              <w:pStyle w:val="table"/>
              <w:jc w:val="center"/>
            </w:pPr>
            <w:r>
              <w:t>1.370</w:t>
            </w:r>
          </w:p>
        </w:tc>
      </w:tr>
      <w:tr w:rsidR="00D319C1" w:rsidRPr="00755535" w14:paraId="262CACF8" w14:textId="77777777" w:rsidTr="001C37C3">
        <w:trPr>
          <w:trHeight w:val="288"/>
          <w:jc w:val="center"/>
        </w:trPr>
        <w:tc>
          <w:tcPr>
            <w:tcW w:w="3060" w:type="dxa"/>
            <w:vMerge/>
            <w:tcBorders>
              <w:top w:val="nil"/>
            </w:tcBorders>
            <w:shd w:val="clear" w:color="auto" w:fill="auto"/>
            <w:noWrap/>
          </w:tcPr>
          <w:p w14:paraId="481980BD" w14:textId="77777777" w:rsidR="00D319C1" w:rsidRPr="00C33E89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6CB68B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8.</w:t>
            </w:r>
            <w:r>
              <w:t>319)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A3AAD9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9.</w:t>
            </w:r>
            <w:r>
              <w:t>136)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DDEAB9" w14:textId="77777777" w:rsidR="00D319C1" w:rsidRPr="005E1B4A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7.</w:t>
            </w:r>
            <w:r>
              <w:t>748)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829546" w14:textId="77777777" w:rsidR="00D319C1" w:rsidRPr="005E1B4A" w:rsidRDefault="00D319C1" w:rsidP="001C37C3">
            <w:pPr>
              <w:pStyle w:val="table"/>
              <w:jc w:val="center"/>
            </w:pPr>
            <w:r>
              <w:t>(8.118)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A55EA5" w14:textId="77777777" w:rsidR="00D319C1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10.</w:t>
            </w:r>
            <w:r>
              <w:t>458)</w:t>
            </w:r>
          </w:p>
        </w:tc>
      </w:tr>
      <w:tr w:rsidR="00D319C1" w:rsidRPr="00755535" w14:paraId="1177A0F7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nil"/>
            </w:tcBorders>
            <w:shd w:val="clear" w:color="auto" w:fill="auto"/>
            <w:noWrap/>
          </w:tcPr>
          <w:p w14:paraId="1AF47572" w14:textId="77777777" w:rsidR="00D319C1" w:rsidRPr="00C33E89" w:rsidRDefault="00D319C1" w:rsidP="001C37C3">
            <w:pPr>
              <w:pStyle w:val="table"/>
            </w:pPr>
            <w:r>
              <w:t>Tubular atrophy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4A579A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-1</w:t>
            </w:r>
            <w:r>
              <w:t>0.992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0F89D5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-12.</w:t>
            </w:r>
            <w:r>
              <w:t>641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2796E2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-8.</w:t>
            </w:r>
            <w:r>
              <w:t>336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D42229" w14:textId="77777777" w:rsidR="00D319C1" w:rsidRPr="005E1B4A" w:rsidRDefault="00D319C1" w:rsidP="001C37C3">
            <w:pPr>
              <w:pStyle w:val="table"/>
              <w:jc w:val="center"/>
            </w:pPr>
            <w:r w:rsidRPr="00770DC6">
              <w:t>-6.</w:t>
            </w:r>
            <w:r>
              <w:t>641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2F525D" w14:textId="77777777" w:rsidR="00D319C1" w:rsidRDefault="00D319C1" w:rsidP="001C37C3">
            <w:pPr>
              <w:pStyle w:val="table"/>
              <w:jc w:val="center"/>
            </w:pPr>
            <w:r w:rsidRPr="00770DC6">
              <w:t>-19.</w:t>
            </w:r>
            <w:r>
              <w:t>547</w:t>
            </w:r>
          </w:p>
        </w:tc>
      </w:tr>
      <w:tr w:rsidR="00D319C1" w:rsidRPr="00755535" w14:paraId="27D579C8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nil"/>
            </w:tcBorders>
            <w:shd w:val="clear" w:color="auto" w:fill="auto"/>
            <w:noWrap/>
          </w:tcPr>
          <w:p w14:paraId="3566DBDA" w14:textId="77777777" w:rsidR="00D319C1" w:rsidRPr="00C33E89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0D15E8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8.</w:t>
            </w:r>
            <w:r>
              <w:t>395)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0E4BB4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9.</w:t>
            </w:r>
            <w:r>
              <w:t>210)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7B4434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7.</w:t>
            </w:r>
            <w:r>
              <w:t>782)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DF47CFF" w14:textId="77777777" w:rsidR="00D319C1" w:rsidRPr="005E1B4A" w:rsidRDefault="00D319C1" w:rsidP="001C37C3">
            <w:pPr>
              <w:pStyle w:val="table"/>
              <w:jc w:val="center"/>
            </w:pPr>
            <w:r>
              <w:t>(8.232)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6C1104" w14:textId="77777777" w:rsidR="00D319C1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10.</w:t>
            </w:r>
            <w:r>
              <w:t>529)</w:t>
            </w:r>
          </w:p>
        </w:tc>
      </w:tr>
      <w:tr w:rsidR="00D319C1" w:rsidRPr="00755535" w14:paraId="048CF1F5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43ADB164" w14:textId="77777777" w:rsidR="00D319C1" w:rsidRPr="00755535" w:rsidRDefault="00D319C1" w:rsidP="001C37C3">
            <w:pPr>
              <w:pStyle w:val="table"/>
            </w:pPr>
            <w:r w:rsidRPr="00C33E89">
              <w:t>Arterial intimal fibrosis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7B2AF5" w14:textId="77777777" w:rsidR="00D319C1" w:rsidRPr="00315FAF" w:rsidRDefault="00D319C1" w:rsidP="001C37C3">
            <w:pPr>
              <w:pStyle w:val="table"/>
              <w:jc w:val="center"/>
            </w:pPr>
            <w:r w:rsidRPr="00266415">
              <w:rPr>
                <w:b/>
                <w:bCs/>
              </w:rPr>
              <w:t>-1</w:t>
            </w:r>
            <w:r>
              <w:rPr>
                <w:b/>
                <w:bCs/>
              </w:rPr>
              <w:t>7.198</w:t>
            </w:r>
            <w: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2BECD9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-1</w:t>
            </w:r>
            <w:r>
              <w:rPr>
                <w:b/>
                <w:bCs/>
              </w:rPr>
              <w:t>7.374</w:t>
            </w:r>
            <w:r w:rsidRPr="00266415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29ED6B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10.199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85D845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E2D11">
              <w:t>-1</w:t>
            </w:r>
            <w:r>
              <w:t>0.769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C6A3F6" w14:textId="77777777" w:rsidR="00D319C1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1.558</w:t>
            </w:r>
          </w:p>
        </w:tc>
      </w:tr>
      <w:tr w:rsidR="00D319C1" w:rsidRPr="00755535" w14:paraId="65D842CC" w14:textId="77777777" w:rsidTr="001C37C3">
        <w:trPr>
          <w:trHeight w:val="288"/>
          <w:jc w:val="center"/>
        </w:trPr>
        <w:tc>
          <w:tcPr>
            <w:tcW w:w="3060" w:type="dxa"/>
            <w:vMerge/>
            <w:tcBorders>
              <w:bottom w:val="nil"/>
            </w:tcBorders>
            <w:shd w:val="clear" w:color="auto" w:fill="auto"/>
            <w:noWrap/>
          </w:tcPr>
          <w:p w14:paraId="2E2AF276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A46405" w14:textId="77777777" w:rsidR="00D319C1" w:rsidRPr="00315FAF" w:rsidRDefault="00D319C1" w:rsidP="001C37C3">
            <w:pPr>
              <w:pStyle w:val="table"/>
              <w:jc w:val="center"/>
            </w:pPr>
            <w:r>
              <w:t>(7.541)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9DF4C5" w14:textId="77777777" w:rsidR="00D319C1" w:rsidRPr="00315FAF" w:rsidRDefault="00D319C1" w:rsidP="001C37C3">
            <w:pPr>
              <w:pStyle w:val="table"/>
              <w:jc w:val="center"/>
            </w:pPr>
            <w:r>
              <w:t>(8.236)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C42B6B" w14:textId="77777777" w:rsidR="00D319C1" w:rsidRPr="005E1B4A" w:rsidRDefault="00D319C1" w:rsidP="001C37C3">
            <w:pPr>
              <w:pStyle w:val="table"/>
              <w:jc w:val="center"/>
            </w:pPr>
            <w:r>
              <w:t>(7.507)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C27979" w14:textId="77777777" w:rsidR="00D319C1" w:rsidRPr="005E1B4A" w:rsidRDefault="00D319C1" w:rsidP="001C37C3">
            <w:pPr>
              <w:pStyle w:val="table"/>
              <w:jc w:val="center"/>
            </w:pPr>
            <w:r>
              <w:t>(7.256)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BAC304" w14:textId="77777777" w:rsidR="00D319C1" w:rsidRDefault="00D319C1" w:rsidP="001C37C3">
            <w:pPr>
              <w:pStyle w:val="table"/>
              <w:jc w:val="center"/>
            </w:pPr>
            <w:r>
              <w:t>(9.264)</w:t>
            </w:r>
          </w:p>
        </w:tc>
      </w:tr>
      <w:tr w:rsidR="00D319C1" w:rsidRPr="00755535" w14:paraId="49FBDE3F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4877DDA" w14:textId="77777777" w:rsidR="00D319C1" w:rsidRPr="00755535" w:rsidRDefault="00D319C1" w:rsidP="001C37C3">
            <w:pPr>
              <w:pStyle w:val="table"/>
            </w:pPr>
            <w:r w:rsidRPr="00C33E89">
              <w:t>Arteriolar hyalinosis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F3E3B2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2</w:t>
            </w:r>
            <w:r>
              <w:rPr>
                <w:b/>
                <w:bCs/>
              </w:rPr>
              <w:t>0.574</w:t>
            </w:r>
            <w:r w:rsidRPr="00266415">
              <w:rPr>
                <w:b/>
                <w:bCs/>
              </w:rPr>
              <w:t>**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72F2CA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19.</w:t>
            </w:r>
            <w:r>
              <w:rPr>
                <w:b/>
                <w:bCs/>
              </w:rPr>
              <w:t>386</w:t>
            </w:r>
            <w:r w:rsidRPr="00266415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D90208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16.</w:t>
            </w:r>
            <w:r>
              <w:rPr>
                <w:b/>
                <w:bCs/>
              </w:rPr>
              <w:t>899</w:t>
            </w:r>
            <w:r w:rsidRPr="00266415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2FADCB" w14:textId="77777777" w:rsidR="00D319C1" w:rsidRPr="00266415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66415">
              <w:rPr>
                <w:b/>
                <w:bCs/>
              </w:rPr>
              <w:t>14.</w:t>
            </w:r>
            <w:r>
              <w:rPr>
                <w:b/>
                <w:bCs/>
              </w:rPr>
              <w:t>112</w:t>
            </w:r>
            <w:r w:rsidRPr="00266415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2B2A20" w14:textId="77777777" w:rsidR="00D319C1" w:rsidRPr="00B6104D" w:rsidRDefault="00D319C1" w:rsidP="001C37C3">
            <w:pPr>
              <w:pStyle w:val="table"/>
              <w:jc w:val="center"/>
            </w:pPr>
            <w:r w:rsidRPr="00B6104D">
              <w:t>13.700</w:t>
            </w:r>
          </w:p>
        </w:tc>
      </w:tr>
      <w:tr w:rsidR="00D319C1" w:rsidRPr="00755535" w14:paraId="654C1DD4" w14:textId="77777777" w:rsidTr="001C37C3">
        <w:trPr>
          <w:trHeight w:val="288"/>
          <w:jc w:val="center"/>
        </w:trPr>
        <w:tc>
          <w:tcPr>
            <w:tcW w:w="3060" w:type="dxa"/>
            <w:vMerge/>
            <w:tcBorders>
              <w:bottom w:val="nil"/>
            </w:tcBorders>
            <w:shd w:val="clear" w:color="auto" w:fill="auto"/>
            <w:noWrap/>
          </w:tcPr>
          <w:p w14:paraId="5E8A01CF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7443C1" w14:textId="77777777" w:rsidR="00D319C1" w:rsidRPr="00315FAF" w:rsidRDefault="00D319C1" w:rsidP="001C37C3">
            <w:pPr>
              <w:pStyle w:val="table"/>
              <w:jc w:val="center"/>
            </w:pPr>
            <w:r>
              <w:t>(7.252)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582FFC" w14:textId="77777777" w:rsidR="00D319C1" w:rsidRPr="00315FAF" w:rsidRDefault="00D319C1" w:rsidP="001C37C3">
            <w:pPr>
              <w:pStyle w:val="table"/>
              <w:jc w:val="center"/>
            </w:pPr>
            <w:r>
              <w:t>(7.894)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35AD8B" w14:textId="77777777" w:rsidR="00D319C1" w:rsidRPr="005E1B4A" w:rsidRDefault="00D319C1" w:rsidP="001C37C3">
            <w:pPr>
              <w:pStyle w:val="table"/>
              <w:jc w:val="center"/>
            </w:pPr>
            <w:r>
              <w:t>(6.865)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4F5C8E" w14:textId="77777777" w:rsidR="00D319C1" w:rsidRPr="005E1B4A" w:rsidRDefault="00D319C1" w:rsidP="001C37C3">
            <w:pPr>
              <w:pStyle w:val="table"/>
              <w:jc w:val="center"/>
            </w:pPr>
            <w:r>
              <w:t>(6.918)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9E69C2" w14:textId="77777777" w:rsidR="00D319C1" w:rsidRDefault="00D319C1" w:rsidP="001C37C3">
            <w:pPr>
              <w:pStyle w:val="table"/>
              <w:jc w:val="center"/>
            </w:pPr>
            <w:r>
              <w:t>(8.853)</w:t>
            </w:r>
          </w:p>
        </w:tc>
      </w:tr>
      <w:tr w:rsidR="00D319C1" w:rsidRPr="00755535" w14:paraId="270119D2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34212CA7" w14:textId="77777777" w:rsidR="00D319C1" w:rsidRPr="00755535" w:rsidRDefault="00D319C1" w:rsidP="001C37C3">
            <w:pPr>
              <w:pStyle w:val="table"/>
              <w:rPr>
                <w:color w:val="000000"/>
              </w:rPr>
            </w:pPr>
            <w:r w:rsidRPr="00C33E89">
              <w:t>Acute tubular injury</w:t>
            </w:r>
          </w:p>
          <w:p w14:paraId="77BAC5F3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48FFD3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-3.</w:t>
            </w:r>
            <w:r>
              <w:t>610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8B27EE" w14:textId="77777777" w:rsidR="00D319C1" w:rsidRPr="00315FAF" w:rsidRDefault="00D319C1" w:rsidP="001C37C3">
            <w:pPr>
              <w:pStyle w:val="table"/>
              <w:jc w:val="center"/>
            </w:pPr>
            <w:r w:rsidRPr="00770DC6">
              <w:t>-4.</w:t>
            </w:r>
            <w:r>
              <w:t>581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87ACFB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-3.</w:t>
            </w:r>
            <w:r>
              <w:t>647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3D2A8" w14:textId="77777777" w:rsidR="00D319C1" w:rsidRPr="002E2D11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2E2D11">
              <w:rPr>
                <w:b/>
                <w:bCs/>
              </w:rPr>
              <w:t>-5.</w:t>
            </w:r>
            <w:r>
              <w:rPr>
                <w:b/>
                <w:bCs/>
              </w:rPr>
              <w:t>345</w:t>
            </w:r>
            <w:r w:rsidRPr="002E2D11"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B536B9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</w:t>
            </w:r>
            <w:r>
              <w:t>0</w:t>
            </w:r>
            <w:r w:rsidRPr="00770DC6">
              <w:t>.</w:t>
            </w:r>
            <w:r>
              <w:t>740</w:t>
            </w:r>
          </w:p>
        </w:tc>
      </w:tr>
      <w:tr w:rsidR="00D319C1" w:rsidRPr="00755535" w14:paraId="7ED15898" w14:textId="77777777" w:rsidTr="001C37C3">
        <w:trPr>
          <w:trHeight w:val="288"/>
          <w:jc w:val="center"/>
        </w:trPr>
        <w:tc>
          <w:tcPr>
            <w:tcW w:w="3060" w:type="dxa"/>
            <w:vMerge/>
            <w:shd w:val="clear" w:color="auto" w:fill="auto"/>
            <w:noWrap/>
            <w:hideMark/>
          </w:tcPr>
          <w:p w14:paraId="7048531F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A9B131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2.3</w:t>
            </w:r>
            <w:r>
              <w:t>16)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FF720E" w14:textId="77777777" w:rsidR="00D319C1" w:rsidRPr="00315FAF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2.5</w:t>
            </w:r>
            <w:r>
              <w:t>66)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C740FA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2.1</w:t>
            </w:r>
            <w:r>
              <w:t>68)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149201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2.</w:t>
            </w:r>
            <w:r>
              <w:t>33)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3232BC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2.</w:t>
            </w:r>
            <w:r>
              <w:t>902)</w:t>
            </w:r>
          </w:p>
        </w:tc>
      </w:tr>
      <w:tr w:rsidR="00D319C1" w:rsidRPr="00755535" w14:paraId="56C80A8B" w14:textId="77777777" w:rsidTr="001C37C3">
        <w:trPr>
          <w:trHeight w:val="288"/>
          <w:jc w:val="center"/>
        </w:trPr>
        <w:tc>
          <w:tcPr>
            <w:tcW w:w="3060" w:type="dxa"/>
            <w:vMerge w:val="restart"/>
            <w:shd w:val="clear" w:color="auto" w:fill="auto"/>
            <w:noWrap/>
            <w:hideMark/>
          </w:tcPr>
          <w:p w14:paraId="4040BAA0" w14:textId="77777777" w:rsidR="00D319C1" w:rsidRPr="00755535" w:rsidRDefault="00D319C1" w:rsidP="001C37C3">
            <w:pPr>
              <w:pStyle w:val="table"/>
            </w:pPr>
            <w:r>
              <w:t>Constant</w:t>
            </w:r>
          </w:p>
          <w:p w14:paraId="0E446C43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71F9FB89" w14:textId="77777777" w:rsidR="00D319C1" w:rsidRPr="00315FAF" w:rsidRDefault="00D319C1" w:rsidP="001C37C3">
            <w:pPr>
              <w:pStyle w:val="table"/>
              <w:jc w:val="center"/>
            </w:pPr>
            <w:r>
              <w:t>50.542***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1E33B5A0" w14:textId="77777777" w:rsidR="00D319C1" w:rsidRPr="00315FAF" w:rsidRDefault="00D319C1" w:rsidP="001C37C3">
            <w:pPr>
              <w:pStyle w:val="table"/>
              <w:jc w:val="center"/>
            </w:pPr>
            <w:r>
              <w:t>61.997***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40CB8288" w14:textId="77777777" w:rsidR="00D319C1" w:rsidRPr="00755535" w:rsidRDefault="00D319C1" w:rsidP="001C37C3">
            <w:pPr>
              <w:pStyle w:val="table"/>
              <w:jc w:val="center"/>
            </w:pPr>
            <w:r>
              <w:t>60.597***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5A5B7937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64.35</w:t>
            </w:r>
            <w:r>
              <w:t>8***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02461CB5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5</w:t>
            </w:r>
            <w:r>
              <w:t>7.755***</w:t>
            </w:r>
          </w:p>
        </w:tc>
      </w:tr>
      <w:tr w:rsidR="00D319C1" w:rsidRPr="00755535" w14:paraId="597C8DE9" w14:textId="77777777" w:rsidTr="001C37C3">
        <w:trPr>
          <w:trHeight w:val="288"/>
          <w:jc w:val="center"/>
        </w:trPr>
        <w:tc>
          <w:tcPr>
            <w:tcW w:w="306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3495894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3FD80DB1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4.0</w:t>
            </w:r>
            <w:r>
              <w:t>81)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5E9216AA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4.</w:t>
            </w:r>
            <w:r>
              <w:t>601)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257C7005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3.</w:t>
            </w:r>
            <w:r>
              <w:t>910)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31E237C0" w14:textId="77777777" w:rsidR="00D319C1" w:rsidRPr="00755535" w:rsidRDefault="00D319C1" w:rsidP="001C37C3">
            <w:pPr>
              <w:pStyle w:val="table"/>
              <w:jc w:val="center"/>
            </w:pPr>
            <w:r>
              <w:t>(</w:t>
            </w:r>
            <w:r w:rsidRPr="00770DC6">
              <w:t>4.</w:t>
            </w:r>
            <w:r>
              <w:t>224)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4E81829D" w14:textId="77777777" w:rsidR="00D319C1" w:rsidRPr="00755535" w:rsidRDefault="00D319C1" w:rsidP="001C37C3">
            <w:pPr>
              <w:pStyle w:val="table"/>
              <w:jc w:val="center"/>
            </w:pPr>
            <w:r>
              <w:t>(5.125)</w:t>
            </w:r>
          </w:p>
        </w:tc>
      </w:tr>
      <w:tr w:rsidR="00D319C1" w:rsidRPr="00755535" w14:paraId="3EA8765D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1A5D0B6C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N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7E8BF7A9" w14:textId="77777777" w:rsidR="00D319C1" w:rsidRPr="00755535" w:rsidRDefault="00D319C1" w:rsidP="001C37C3">
            <w:pPr>
              <w:pStyle w:val="table"/>
              <w:jc w:val="center"/>
            </w:pPr>
            <w:r>
              <w:t>72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AA90EE5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7</w:t>
            </w:r>
            <w:r>
              <w:t>0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22AD54D0" w14:textId="77777777" w:rsidR="00D319C1" w:rsidRPr="00755535" w:rsidRDefault="00D319C1" w:rsidP="001C37C3">
            <w:pPr>
              <w:pStyle w:val="table"/>
              <w:jc w:val="center"/>
            </w:pPr>
            <w:r>
              <w:t>66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6E9B7F6F" w14:textId="77777777" w:rsidR="00D319C1" w:rsidRPr="00755535" w:rsidRDefault="00D319C1" w:rsidP="001C37C3">
            <w:pPr>
              <w:pStyle w:val="table"/>
              <w:jc w:val="center"/>
            </w:pPr>
            <w:r>
              <w:t>65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E74B74A" w14:textId="77777777" w:rsidR="00D319C1" w:rsidRPr="00755535" w:rsidRDefault="00D319C1" w:rsidP="001C37C3">
            <w:pPr>
              <w:pStyle w:val="table"/>
              <w:jc w:val="center"/>
            </w:pPr>
            <w:r>
              <w:t>71</w:t>
            </w:r>
          </w:p>
        </w:tc>
      </w:tr>
      <w:tr w:rsidR="00D319C1" w:rsidRPr="00755535" w14:paraId="05776F8F" w14:textId="77777777" w:rsidTr="001C37C3">
        <w:trPr>
          <w:trHeight w:val="288"/>
          <w:jc w:val="center"/>
        </w:trPr>
        <w:tc>
          <w:tcPr>
            <w:tcW w:w="306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FD19783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logL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06AE729B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-3</w:t>
            </w:r>
            <w:r>
              <w:t>01.308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6D6F5B01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-3</w:t>
            </w:r>
            <w:r>
              <w:t>02.262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64032621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-2</w:t>
            </w:r>
            <w:r>
              <w:t>76.534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67DAA810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-2</w:t>
            </w:r>
            <w:r>
              <w:t>75.733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4A6E531E" w14:textId="77777777" w:rsidR="00D319C1" w:rsidRPr="00755535" w:rsidRDefault="00D319C1" w:rsidP="001C37C3">
            <w:pPr>
              <w:pStyle w:val="table"/>
              <w:jc w:val="center"/>
            </w:pPr>
            <w:r w:rsidRPr="00770DC6">
              <w:t>-3</w:t>
            </w:r>
            <w:r>
              <w:t>19.397</w:t>
            </w:r>
          </w:p>
        </w:tc>
      </w:tr>
    </w:tbl>
    <w:p w14:paraId="51FF6344" w14:textId="77777777" w:rsidR="00D319C1" w:rsidRDefault="00D319C1" w:rsidP="00D319C1">
      <w:pPr>
        <w:pStyle w:val="tablenote"/>
      </w:pPr>
      <w:r w:rsidRPr="00530905">
        <w:rPr>
          <w:i/>
          <w:iCs/>
        </w:rPr>
        <w:t>Note</w:t>
      </w:r>
      <w:r w:rsidRPr="00530905">
        <w:t>: Values in parentheses represent standard errors. Asterisks represent p-values: *p&lt;0.05, **p&lt;0.01, ***p&lt;0.001.</w:t>
      </w:r>
    </w:p>
    <w:p w14:paraId="4D9008E2" w14:textId="77777777" w:rsidR="00D319C1" w:rsidRDefault="00D319C1" w:rsidP="00D319C1">
      <w:pPr>
        <w:pStyle w:val="Caption"/>
      </w:pPr>
    </w:p>
    <w:p w14:paraId="29B1B67F" w14:textId="77777777" w:rsidR="00D319C1" w:rsidRPr="00563F6E" w:rsidRDefault="00D319C1" w:rsidP="00D319C1"/>
    <w:bookmarkEnd w:id="2"/>
    <w:p w14:paraId="21B2EB4C" w14:textId="77777777" w:rsidR="00D319C1" w:rsidRDefault="00D319C1" w:rsidP="00D319C1">
      <w:pPr>
        <w:ind w:firstLine="0"/>
      </w:pPr>
    </w:p>
    <w:p w14:paraId="67F98F2F" w14:textId="77777777" w:rsidR="00D319C1" w:rsidRDefault="00D319C1" w:rsidP="00D319C1">
      <w:pPr>
        <w:ind w:firstLine="0"/>
      </w:pPr>
    </w:p>
    <w:p w14:paraId="6BF6F056" w14:textId="77777777" w:rsidR="00D319C1" w:rsidRDefault="00D319C1" w:rsidP="00D319C1">
      <w:pPr>
        <w:ind w:firstLine="0"/>
      </w:pPr>
    </w:p>
    <w:p w14:paraId="7B6F1384" w14:textId="77777777" w:rsidR="00D319C1" w:rsidRDefault="00D319C1" w:rsidP="00D319C1">
      <w:pPr>
        <w:ind w:firstLine="0"/>
      </w:pPr>
    </w:p>
    <w:p w14:paraId="6F4CADF4" w14:textId="77777777" w:rsidR="00D319C1" w:rsidRDefault="00D319C1" w:rsidP="00D319C1">
      <w:pPr>
        <w:ind w:firstLine="0"/>
      </w:pPr>
    </w:p>
    <w:p w14:paraId="6BBA6558" w14:textId="77777777" w:rsidR="00D319C1" w:rsidRDefault="00D319C1" w:rsidP="00D319C1">
      <w:pPr>
        <w:ind w:firstLine="0"/>
      </w:pPr>
    </w:p>
    <w:p w14:paraId="68CEDCF9" w14:textId="77777777" w:rsidR="00D319C1" w:rsidRDefault="00D319C1" w:rsidP="00D319C1">
      <w:pPr>
        <w:ind w:firstLine="0"/>
      </w:pPr>
    </w:p>
    <w:p w14:paraId="63002DF9" w14:textId="77777777" w:rsidR="00D319C1" w:rsidRDefault="00D319C1" w:rsidP="00D319C1">
      <w:pPr>
        <w:ind w:firstLine="0"/>
      </w:pPr>
    </w:p>
    <w:p w14:paraId="18F08A6B" w14:textId="77777777" w:rsidR="00D319C1" w:rsidRDefault="00D319C1" w:rsidP="00D319C1">
      <w:pPr>
        <w:ind w:firstLine="0"/>
      </w:pPr>
    </w:p>
    <w:p w14:paraId="5EFADFFE" w14:textId="77777777" w:rsidR="00D319C1" w:rsidRPr="00E11696" w:rsidRDefault="00D319C1" w:rsidP="00D319C1">
      <w:pPr>
        <w:ind w:firstLine="0"/>
      </w:pPr>
      <w:bookmarkStart w:id="3" w:name="_Ref37270635"/>
    </w:p>
    <w:bookmarkEnd w:id="3"/>
    <w:p w14:paraId="59700B28" w14:textId="77777777" w:rsidR="00D319C1" w:rsidRDefault="00D319C1" w:rsidP="00D319C1"/>
    <w:p w14:paraId="3A68EF59" w14:textId="77777777" w:rsidR="00D319C1" w:rsidRDefault="00D319C1" w:rsidP="00D319C1"/>
    <w:p w14:paraId="66B2FFCC" w14:textId="77777777" w:rsidR="00D319C1" w:rsidRDefault="00D319C1" w:rsidP="00D319C1"/>
    <w:p w14:paraId="7C0C2679" w14:textId="77777777" w:rsidR="00D319C1" w:rsidRDefault="00D319C1" w:rsidP="00D319C1">
      <w:pPr>
        <w:ind w:firstLine="0"/>
      </w:pPr>
    </w:p>
    <w:p w14:paraId="792CE956" w14:textId="77777777" w:rsidR="00D319C1" w:rsidRDefault="00D319C1" w:rsidP="00D319C1">
      <w:pPr>
        <w:ind w:firstLine="0"/>
      </w:pPr>
    </w:p>
    <w:p w14:paraId="4B009256" w14:textId="77777777" w:rsidR="00D319C1" w:rsidRDefault="00D319C1" w:rsidP="00D319C1">
      <w:pPr>
        <w:pStyle w:val="Caption"/>
      </w:pPr>
      <w:r w:rsidRPr="00DA241C">
        <w:t>Supplementary Table 4</w:t>
      </w:r>
      <w:r>
        <w:rPr>
          <w:noProof/>
        </w:rPr>
        <w:t xml:space="preserve">. </w:t>
      </w:r>
      <w:r w:rsidRPr="00E168A9">
        <w:rPr>
          <w:noProof/>
        </w:rPr>
        <w:t xml:space="preserve">Tobit regressions of </w:t>
      </w:r>
      <w:r>
        <w:rPr>
          <w:noProof/>
        </w:rPr>
        <w:t xml:space="preserve">GFR on recipient variables and arterial intimal fibrosis in reperfusion biopsy </w:t>
      </w:r>
      <w:r w:rsidRPr="00E168A9">
        <w:rPr>
          <w:noProof/>
        </w:rPr>
        <w:t xml:space="preserve">at </w:t>
      </w:r>
      <w:r>
        <w:rPr>
          <w:noProof/>
        </w:rPr>
        <w:t>one</w:t>
      </w:r>
      <w:r w:rsidRPr="00E168A9">
        <w:rPr>
          <w:noProof/>
        </w:rPr>
        <w:t xml:space="preserve">, </w:t>
      </w:r>
      <w:r>
        <w:rPr>
          <w:noProof/>
        </w:rPr>
        <w:t>three</w:t>
      </w:r>
      <w:r w:rsidRPr="00E168A9">
        <w:rPr>
          <w:noProof/>
        </w:rPr>
        <w:t xml:space="preserve">, </w:t>
      </w:r>
      <w:r>
        <w:rPr>
          <w:noProof/>
        </w:rPr>
        <w:t>six</w:t>
      </w:r>
      <w:r w:rsidRPr="00E168A9">
        <w:rPr>
          <w:noProof/>
        </w:rPr>
        <w:t xml:space="preserve">, </w:t>
      </w:r>
      <w:r>
        <w:rPr>
          <w:noProof/>
        </w:rPr>
        <w:t>twelve</w:t>
      </w:r>
      <w:r w:rsidRPr="00E168A9">
        <w:rPr>
          <w:noProof/>
        </w:rPr>
        <w:t xml:space="preserve"> </w:t>
      </w:r>
      <w:r>
        <w:rPr>
          <w:noProof/>
        </w:rPr>
        <w:t>months</w:t>
      </w:r>
      <w:r w:rsidRPr="00E168A9">
        <w:rPr>
          <w:noProof/>
        </w:rPr>
        <w:t>, and last measurement after transplant.</w:t>
      </w:r>
    </w:p>
    <w:tbl>
      <w:tblPr>
        <w:tblW w:w="9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1404"/>
        <w:gridCol w:w="1386"/>
        <w:gridCol w:w="1260"/>
        <w:gridCol w:w="1260"/>
      </w:tblGrid>
      <w:tr w:rsidR="00D319C1" w:rsidRPr="00755535" w14:paraId="275EBAA2" w14:textId="77777777" w:rsidTr="001C37C3">
        <w:trPr>
          <w:trHeight w:val="332"/>
          <w:jc w:val="center"/>
        </w:trPr>
        <w:tc>
          <w:tcPr>
            <w:tcW w:w="252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6FFABE16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6660" w:type="dxa"/>
            <w:gridSpan w:val="5"/>
            <w:tcBorders>
              <w:top w:val="single" w:sz="18" w:space="0" w:color="7F7F7F" w:themeColor="text1" w:themeTint="8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1D3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GFR</w:t>
            </w:r>
          </w:p>
        </w:tc>
      </w:tr>
      <w:tr w:rsidR="00D319C1" w:rsidRPr="00755535" w14:paraId="06C6FAED" w14:textId="77777777" w:rsidTr="001C37C3">
        <w:trPr>
          <w:trHeight w:val="288"/>
          <w:jc w:val="center"/>
        </w:trPr>
        <w:tc>
          <w:tcPr>
            <w:tcW w:w="252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</w:tcPr>
          <w:p w14:paraId="782AAE6B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187234D9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1 </w:t>
            </w:r>
            <w:r>
              <w:t>month</w:t>
            </w:r>
          </w:p>
        </w:tc>
        <w:tc>
          <w:tcPr>
            <w:tcW w:w="140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0622F56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3 </w:t>
            </w:r>
            <w:r>
              <w:t>months</w:t>
            </w:r>
          </w:p>
        </w:tc>
        <w:tc>
          <w:tcPr>
            <w:tcW w:w="138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1BEF387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6 </w:t>
            </w:r>
            <w:r>
              <w:t>months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15912A22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>1</w:t>
            </w:r>
            <w:r>
              <w:t>2</w:t>
            </w:r>
            <w:r w:rsidRPr="005E1B4A">
              <w:t xml:space="preserve"> </w:t>
            </w:r>
            <w:r>
              <w:t>months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7D0A14A5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L</w:t>
            </w:r>
            <w:r w:rsidRPr="005E1B4A">
              <w:t>ast</w:t>
            </w:r>
          </w:p>
        </w:tc>
      </w:tr>
      <w:tr w:rsidR="00D319C1" w:rsidRPr="00755535" w14:paraId="3491459F" w14:textId="77777777" w:rsidTr="001C37C3">
        <w:trPr>
          <w:trHeight w:val="288"/>
          <w:jc w:val="center"/>
        </w:trPr>
        <w:tc>
          <w:tcPr>
            <w:tcW w:w="2520" w:type="dxa"/>
            <w:vMerge w:val="restart"/>
            <w:tcBorders>
              <w:top w:val="single" w:sz="18" w:space="0" w:color="7F7F7F" w:themeColor="text1" w:themeTint="80"/>
            </w:tcBorders>
            <w:shd w:val="clear" w:color="auto" w:fill="auto"/>
            <w:noWrap/>
          </w:tcPr>
          <w:p w14:paraId="1A9508AD" w14:textId="77777777" w:rsidR="00D319C1" w:rsidRPr="00755535" w:rsidRDefault="00D319C1" w:rsidP="001C37C3">
            <w:pPr>
              <w:pStyle w:val="table"/>
            </w:pPr>
            <w:r>
              <w:t>Arterial intimal fibrosis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627A9FA0" w14:textId="77777777" w:rsidR="00D319C1" w:rsidRPr="00F468B3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468B3">
              <w:rPr>
                <w:b/>
                <w:bCs/>
              </w:rPr>
              <w:t>-</w:t>
            </w:r>
            <w:r>
              <w:rPr>
                <w:b/>
                <w:bCs/>
              </w:rPr>
              <w:t>8.819</w:t>
            </w:r>
            <w:r w:rsidRPr="00F468B3">
              <w:rPr>
                <w:b/>
                <w:bCs/>
              </w:rPr>
              <w:t>**</w:t>
            </w:r>
          </w:p>
        </w:tc>
        <w:tc>
          <w:tcPr>
            <w:tcW w:w="140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154AA19B" w14:textId="77777777" w:rsidR="00D319C1" w:rsidRPr="00F468B3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468B3">
              <w:rPr>
                <w:b/>
                <w:bCs/>
              </w:rPr>
              <w:t>-</w:t>
            </w:r>
            <w:r>
              <w:rPr>
                <w:b/>
                <w:bCs/>
              </w:rPr>
              <w:t>9.696</w:t>
            </w:r>
            <w:r w:rsidRPr="00F468B3">
              <w:rPr>
                <w:b/>
                <w:bCs/>
              </w:rPr>
              <w:t>**</w:t>
            </w:r>
          </w:p>
        </w:tc>
        <w:tc>
          <w:tcPr>
            <w:tcW w:w="1386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6B268109" w14:textId="77777777" w:rsidR="00D319C1" w:rsidRPr="00F468B3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468B3">
              <w:rPr>
                <w:b/>
                <w:bCs/>
              </w:rPr>
              <w:t>-</w:t>
            </w:r>
            <w:r>
              <w:rPr>
                <w:b/>
                <w:bCs/>
              </w:rPr>
              <w:t>9.730</w:t>
            </w:r>
            <w:r w:rsidRPr="00F468B3">
              <w:rPr>
                <w:b/>
                <w:bCs/>
              </w:rPr>
              <w:t>***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3F312C48" w14:textId="77777777" w:rsidR="00D319C1" w:rsidRPr="00F468B3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468B3">
              <w:rPr>
                <w:b/>
                <w:bCs/>
              </w:rPr>
              <w:t>-</w:t>
            </w:r>
            <w:r>
              <w:rPr>
                <w:b/>
                <w:bCs/>
              </w:rPr>
              <w:t>7.821</w:t>
            </w:r>
            <w:r w:rsidRPr="00F468B3">
              <w:rPr>
                <w:b/>
                <w:bCs/>
              </w:rPr>
              <w:t>*</w:t>
            </w:r>
            <w:r>
              <w:rPr>
                <w:b/>
                <w:bCs/>
              </w:rPr>
              <w:t>*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C7CA34A" w14:textId="77777777" w:rsidR="00D319C1" w:rsidRPr="00F468B3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F468B3">
              <w:rPr>
                <w:b/>
                <w:bCs/>
              </w:rPr>
              <w:t>-</w:t>
            </w:r>
            <w:r>
              <w:rPr>
                <w:b/>
                <w:bCs/>
              </w:rPr>
              <w:t>7.942</w:t>
            </w:r>
            <w:r w:rsidRPr="00F468B3">
              <w:rPr>
                <w:b/>
                <w:bCs/>
              </w:rPr>
              <w:t>*</w:t>
            </w:r>
          </w:p>
        </w:tc>
      </w:tr>
      <w:tr w:rsidR="00D319C1" w:rsidRPr="00755535" w14:paraId="700BEAD8" w14:textId="77777777" w:rsidTr="001C37C3">
        <w:trPr>
          <w:trHeight w:val="288"/>
          <w:jc w:val="center"/>
        </w:trPr>
        <w:tc>
          <w:tcPr>
            <w:tcW w:w="2520" w:type="dxa"/>
            <w:vMerge/>
            <w:tcBorders>
              <w:bottom w:val="nil"/>
            </w:tcBorders>
            <w:shd w:val="clear" w:color="auto" w:fill="auto"/>
            <w:noWrap/>
          </w:tcPr>
          <w:p w14:paraId="4428A247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E65C80" w14:textId="77777777" w:rsidR="00D319C1" w:rsidRPr="005E1B4A" w:rsidRDefault="00D319C1" w:rsidP="001C37C3">
            <w:pPr>
              <w:pStyle w:val="table"/>
              <w:jc w:val="center"/>
            </w:pPr>
            <w:r>
              <w:t>(2.828)</w:t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778B1E" w14:textId="77777777" w:rsidR="00D319C1" w:rsidRPr="005E1B4A" w:rsidRDefault="00D319C1" w:rsidP="001C37C3">
            <w:pPr>
              <w:pStyle w:val="table"/>
              <w:jc w:val="center"/>
            </w:pPr>
            <w:r>
              <w:t>(2.961)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20D7F6" w14:textId="77777777" w:rsidR="00D319C1" w:rsidRPr="005E1B4A" w:rsidRDefault="00D319C1" w:rsidP="001C37C3">
            <w:pPr>
              <w:pStyle w:val="table"/>
              <w:jc w:val="center"/>
            </w:pPr>
            <w:r>
              <w:t>(2.691)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09DEF1" w14:textId="77777777" w:rsidR="00D319C1" w:rsidRPr="005E1B4A" w:rsidRDefault="00D319C1" w:rsidP="001C37C3">
            <w:pPr>
              <w:pStyle w:val="table"/>
              <w:jc w:val="center"/>
            </w:pPr>
            <w:r>
              <w:t>(2.914)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BAB704" w14:textId="77777777" w:rsidR="00D319C1" w:rsidRDefault="00D319C1" w:rsidP="001C37C3">
            <w:pPr>
              <w:pStyle w:val="table"/>
              <w:jc w:val="center"/>
            </w:pPr>
            <w:r>
              <w:t>(3.182)</w:t>
            </w:r>
          </w:p>
        </w:tc>
      </w:tr>
      <w:tr w:rsidR="00D319C1" w:rsidRPr="00755535" w14:paraId="6522CC18" w14:textId="77777777" w:rsidTr="001C37C3">
        <w:trPr>
          <w:trHeight w:val="288"/>
          <w:jc w:val="center"/>
        </w:trPr>
        <w:tc>
          <w:tcPr>
            <w:tcW w:w="2520" w:type="dxa"/>
            <w:tcBorders>
              <w:bottom w:val="nil"/>
            </w:tcBorders>
            <w:shd w:val="clear" w:color="auto" w:fill="auto"/>
            <w:noWrap/>
          </w:tcPr>
          <w:p w14:paraId="143D4ADF" w14:textId="77777777" w:rsidR="00D319C1" w:rsidRPr="00755535" w:rsidRDefault="00D319C1" w:rsidP="001C37C3">
            <w:pPr>
              <w:pStyle w:val="table"/>
            </w:pPr>
            <w:r>
              <w:t>Recipient DM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6DFDCB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AE11BD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EB53F5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B009EBE" w14:textId="77777777" w:rsidR="00D319C1" w:rsidRPr="00123467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123467">
              <w:rPr>
                <w:b/>
                <w:bCs/>
              </w:rPr>
              <w:t>-9.737*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D6B677" w14:textId="77777777" w:rsidR="00D319C1" w:rsidRDefault="00D319C1" w:rsidP="001C37C3">
            <w:pPr>
              <w:pStyle w:val="table"/>
              <w:jc w:val="center"/>
            </w:pPr>
          </w:p>
        </w:tc>
      </w:tr>
      <w:tr w:rsidR="00D319C1" w:rsidRPr="00755535" w14:paraId="72CBF421" w14:textId="77777777" w:rsidTr="001C37C3">
        <w:trPr>
          <w:trHeight w:val="288"/>
          <w:jc w:val="center"/>
        </w:trPr>
        <w:tc>
          <w:tcPr>
            <w:tcW w:w="2520" w:type="dxa"/>
            <w:tcBorders>
              <w:bottom w:val="nil"/>
            </w:tcBorders>
            <w:shd w:val="clear" w:color="auto" w:fill="auto"/>
            <w:noWrap/>
          </w:tcPr>
          <w:p w14:paraId="02FC9EE5" w14:textId="77777777" w:rsidR="00D319C1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68796E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73A52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7551F9A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AA192E" w14:textId="77777777" w:rsidR="00D319C1" w:rsidRDefault="00D319C1" w:rsidP="001C37C3">
            <w:pPr>
              <w:pStyle w:val="table"/>
              <w:jc w:val="center"/>
            </w:pPr>
            <w:r>
              <w:t>(4.849)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94E96E" w14:textId="77777777" w:rsidR="00D319C1" w:rsidRDefault="00D319C1" w:rsidP="001C37C3">
            <w:pPr>
              <w:pStyle w:val="table"/>
              <w:jc w:val="center"/>
            </w:pPr>
          </w:p>
        </w:tc>
      </w:tr>
      <w:tr w:rsidR="00D319C1" w:rsidRPr="00755535" w14:paraId="4670CBCC" w14:textId="77777777" w:rsidTr="001C37C3">
        <w:trPr>
          <w:trHeight w:val="288"/>
          <w:jc w:val="center"/>
        </w:trPr>
        <w:tc>
          <w:tcPr>
            <w:tcW w:w="2520" w:type="dxa"/>
            <w:vMerge w:val="restart"/>
            <w:shd w:val="clear" w:color="auto" w:fill="auto"/>
            <w:noWrap/>
            <w:hideMark/>
          </w:tcPr>
          <w:p w14:paraId="156187A8" w14:textId="77777777" w:rsidR="00D319C1" w:rsidRPr="00755535" w:rsidRDefault="00D319C1" w:rsidP="001C37C3">
            <w:pPr>
              <w:pStyle w:val="table"/>
            </w:pPr>
            <w:r>
              <w:t>Constant</w:t>
            </w:r>
          </w:p>
          <w:p w14:paraId="599E00A3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8B476E" w14:textId="77777777" w:rsidR="00D319C1" w:rsidRPr="00755535" w:rsidRDefault="00D319C1" w:rsidP="001C37C3">
            <w:pPr>
              <w:pStyle w:val="table"/>
              <w:jc w:val="center"/>
            </w:pPr>
            <w:r>
              <w:t>69.693***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340151D" w14:textId="77777777" w:rsidR="00D319C1" w:rsidRPr="00755535" w:rsidRDefault="00D319C1" w:rsidP="001C37C3">
            <w:pPr>
              <w:pStyle w:val="table"/>
              <w:jc w:val="center"/>
            </w:pPr>
            <w:r>
              <w:t>67.823***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4C76BE52" w14:textId="77777777" w:rsidR="00D319C1" w:rsidRPr="00755535" w:rsidRDefault="00D319C1" w:rsidP="001C37C3">
            <w:pPr>
              <w:pStyle w:val="table"/>
              <w:jc w:val="center"/>
            </w:pPr>
            <w:r>
              <w:t>63.126***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2701FE5" w14:textId="77777777" w:rsidR="00D319C1" w:rsidRPr="00755535" w:rsidRDefault="00D319C1" w:rsidP="001C37C3">
            <w:pPr>
              <w:pStyle w:val="table"/>
              <w:jc w:val="center"/>
            </w:pPr>
            <w:r>
              <w:t>69.111***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2843EFA" w14:textId="77777777" w:rsidR="00D319C1" w:rsidRPr="00755535" w:rsidRDefault="00D319C1" w:rsidP="001C37C3">
            <w:pPr>
              <w:pStyle w:val="table"/>
              <w:jc w:val="center"/>
            </w:pPr>
            <w:r>
              <w:t>65.858***</w:t>
            </w:r>
          </w:p>
        </w:tc>
      </w:tr>
      <w:tr w:rsidR="00D319C1" w:rsidRPr="00755535" w14:paraId="78DE9568" w14:textId="77777777" w:rsidTr="001C37C3">
        <w:trPr>
          <w:trHeight w:val="288"/>
          <w:jc w:val="center"/>
        </w:trPr>
        <w:tc>
          <w:tcPr>
            <w:tcW w:w="252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472CD2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350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58F5AB7" w14:textId="77777777" w:rsidR="00D319C1" w:rsidRPr="00755535" w:rsidRDefault="00D319C1" w:rsidP="001C37C3">
            <w:pPr>
              <w:pStyle w:val="table"/>
              <w:jc w:val="center"/>
            </w:pPr>
            <w:r>
              <w:t>(9.435)</w:t>
            </w:r>
          </w:p>
        </w:tc>
        <w:tc>
          <w:tcPr>
            <w:tcW w:w="1404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7980403" w14:textId="77777777" w:rsidR="00D319C1" w:rsidRPr="00755535" w:rsidRDefault="00D319C1" w:rsidP="001C37C3">
            <w:pPr>
              <w:pStyle w:val="table"/>
              <w:jc w:val="center"/>
            </w:pPr>
            <w:r>
              <w:t>(9.914)</w:t>
            </w:r>
          </w:p>
        </w:tc>
        <w:tc>
          <w:tcPr>
            <w:tcW w:w="1386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DDE9F5D" w14:textId="77777777" w:rsidR="00D319C1" w:rsidRPr="00755535" w:rsidRDefault="00D319C1" w:rsidP="001C37C3">
            <w:pPr>
              <w:pStyle w:val="table"/>
              <w:jc w:val="center"/>
            </w:pPr>
            <w:r>
              <w:t>(9.001)</w:t>
            </w:r>
          </w:p>
        </w:tc>
        <w:tc>
          <w:tcPr>
            <w:tcW w:w="1260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947613" w14:textId="77777777" w:rsidR="00D319C1" w:rsidRPr="00755535" w:rsidRDefault="00D319C1" w:rsidP="001C37C3">
            <w:pPr>
              <w:pStyle w:val="table"/>
              <w:jc w:val="center"/>
            </w:pPr>
            <w:r>
              <w:t>(9.553)</w:t>
            </w:r>
          </w:p>
        </w:tc>
        <w:tc>
          <w:tcPr>
            <w:tcW w:w="1260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A826EB8" w14:textId="77777777" w:rsidR="00D319C1" w:rsidRPr="00755535" w:rsidRDefault="00D319C1" w:rsidP="001C37C3">
            <w:pPr>
              <w:pStyle w:val="table"/>
              <w:jc w:val="center"/>
            </w:pPr>
            <w:r>
              <w:t>(10.631)</w:t>
            </w:r>
          </w:p>
        </w:tc>
      </w:tr>
      <w:tr w:rsidR="00D319C1" w:rsidRPr="00755535" w14:paraId="0BFCD69D" w14:textId="77777777" w:rsidTr="001C37C3">
        <w:trPr>
          <w:trHeight w:val="288"/>
          <w:jc w:val="center"/>
        </w:trPr>
        <w:tc>
          <w:tcPr>
            <w:tcW w:w="252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0E16ADB2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N</w:t>
            </w: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17124355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  <w:tc>
          <w:tcPr>
            <w:tcW w:w="1404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32ADDA2A" w14:textId="77777777" w:rsidR="00D319C1" w:rsidRPr="00755535" w:rsidRDefault="00D319C1" w:rsidP="001C37C3">
            <w:pPr>
              <w:pStyle w:val="table"/>
              <w:jc w:val="center"/>
            </w:pPr>
            <w:r>
              <w:t>82</w:t>
            </w:r>
          </w:p>
        </w:tc>
        <w:tc>
          <w:tcPr>
            <w:tcW w:w="1386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52973F45" w14:textId="77777777" w:rsidR="00D319C1" w:rsidRPr="00755535" w:rsidRDefault="00D319C1" w:rsidP="001C37C3">
            <w:pPr>
              <w:pStyle w:val="table"/>
              <w:jc w:val="center"/>
            </w:pPr>
            <w:r>
              <w:t>78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0F6314E2" w14:textId="77777777" w:rsidR="00D319C1" w:rsidRPr="00755535" w:rsidRDefault="00D319C1" w:rsidP="001C37C3">
            <w:pPr>
              <w:pStyle w:val="table"/>
              <w:jc w:val="center"/>
            </w:pPr>
            <w:r>
              <w:t>76</w:t>
            </w:r>
          </w:p>
        </w:tc>
        <w:tc>
          <w:tcPr>
            <w:tcW w:w="126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6724DB45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</w:tr>
      <w:tr w:rsidR="00D319C1" w:rsidRPr="00755535" w14:paraId="24FF02EC" w14:textId="77777777" w:rsidTr="001C37C3">
        <w:trPr>
          <w:trHeight w:val="288"/>
          <w:jc w:val="center"/>
        </w:trPr>
        <w:tc>
          <w:tcPr>
            <w:tcW w:w="252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DC1F1C4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logL</w:t>
            </w:r>
          </w:p>
        </w:tc>
        <w:tc>
          <w:tcPr>
            <w:tcW w:w="135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464D6E7" w14:textId="77777777" w:rsidR="00D319C1" w:rsidRPr="00755535" w:rsidRDefault="00D319C1" w:rsidP="001C37C3">
            <w:pPr>
              <w:pStyle w:val="table"/>
              <w:jc w:val="center"/>
            </w:pPr>
            <w:r w:rsidRPr="008D291B">
              <w:t>-3</w:t>
            </w:r>
            <w:r>
              <w:t>63.74</w:t>
            </w:r>
          </w:p>
        </w:tc>
        <w:tc>
          <w:tcPr>
            <w:tcW w:w="1404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952891" w14:textId="77777777" w:rsidR="00D319C1" w:rsidRPr="00755535" w:rsidRDefault="00D319C1" w:rsidP="001C37C3">
            <w:pPr>
              <w:pStyle w:val="table"/>
              <w:jc w:val="center"/>
            </w:pPr>
            <w:r w:rsidRPr="008D291B">
              <w:t>-3</w:t>
            </w:r>
            <w:r>
              <w:t>58.651</w:t>
            </w:r>
          </w:p>
        </w:tc>
        <w:tc>
          <w:tcPr>
            <w:tcW w:w="1386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4423BE9" w14:textId="77777777" w:rsidR="00D319C1" w:rsidRPr="00755535" w:rsidRDefault="00D319C1" w:rsidP="001C37C3">
            <w:pPr>
              <w:pStyle w:val="table"/>
              <w:jc w:val="center"/>
            </w:pPr>
            <w:r w:rsidRPr="008D291B">
              <w:t>-3</w:t>
            </w:r>
            <w:r>
              <w:t>34.827</w:t>
            </w:r>
          </w:p>
        </w:tc>
        <w:tc>
          <w:tcPr>
            <w:tcW w:w="126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C012F97" w14:textId="77777777" w:rsidR="00D319C1" w:rsidRPr="00755535" w:rsidRDefault="00D319C1" w:rsidP="001C37C3">
            <w:pPr>
              <w:pStyle w:val="table"/>
              <w:jc w:val="center"/>
            </w:pPr>
            <w:r w:rsidRPr="00D71CF7">
              <w:t>-3</w:t>
            </w:r>
            <w:r>
              <w:t>31.085</w:t>
            </w:r>
          </w:p>
        </w:tc>
        <w:tc>
          <w:tcPr>
            <w:tcW w:w="126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8B7471" w14:textId="77777777" w:rsidR="00D319C1" w:rsidRPr="00755535" w:rsidRDefault="00D319C1" w:rsidP="001C37C3">
            <w:pPr>
              <w:pStyle w:val="table"/>
              <w:jc w:val="center"/>
            </w:pPr>
            <w:r w:rsidRPr="00D71CF7">
              <w:t>-</w:t>
            </w:r>
            <w:r>
              <w:t>376.578</w:t>
            </w:r>
          </w:p>
        </w:tc>
      </w:tr>
    </w:tbl>
    <w:p w14:paraId="661FD28D" w14:textId="77777777" w:rsidR="00D319C1" w:rsidRDefault="00D319C1" w:rsidP="00D319C1">
      <w:pPr>
        <w:pStyle w:val="tablenote"/>
        <w:ind w:left="90" w:right="90"/>
      </w:pPr>
      <w:r w:rsidRPr="00530905">
        <w:rPr>
          <w:i/>
          <w:iCs/>
        </w:rPr>
        <w:t>Note</w:t>
      </w:r>
      <w:r w:rsidRPr="00530905">
        <w:t xml:space="preserve">: </w:t>
      </w:r>
      <w:r>
        <w:t xml:space="preserve">Multivariate regression including arterial intimal fibrosis in reperfusion biopsy, recipient age, recipient gender, years in dialysis, and recipient DM. Only significant results are shown. </w:t>
      </w:r>
      <w:r w:rsidRPr="00530905">
        <w:t>Values in parentheses represent standard errors. Asterisks represent p-values: *p&lt;0.05, **p&lt;0.01, ***p&lt;0.001.</w:t>
      </w:r>
    </w:p>
    <w:p w14:paraId="6DDD5B9D" w14:textId="77777777" w:rsidR="00D319C1" w:rsidRDefault="00D319C1" w:rsidP="00D319C1"/>
    <w:p w14:paraId="6010818E" w14:textId="77777777" w:rsidR="00D319C1" w:rsidRDefault="00D319C1" w:rsidP="00D319C1"/>
    <w:p w14:paraId="74471799" w14:textId="77777777" w:rsidR="00D319C1" w:rsidRDefault="00D319C1" w:rsidP="00D319C1"/>
    <w:p w14:paraId="666141D0" w14:textId="77777777" w:rsidR="00D319C1" w:rsidRDefault="00D319C1" w:rsidP="00D319C1"/>
    <w:p w14:paraId="3C26C4DE" w14:textId="77777777" w:rsidR="00D319C1" w:rsidRDefault="00D319C1" w:rsidP="00D319C1"/>
    <w:p w14:paraId="365B5F9A" w14:textId="77777777" w:rsidR="00D319C1" w:rsidRDefault="00D319C1" w:rsidP="00D319C1"/>
    <w:p w14:paraId="6A6F6073" w14:textId="77777777" w:rsidR="00D319C1" w:rsidRDefault="00D319C1" w:rsidP="00D319C1"/>
    <w:p w14:paraId="4DD3FCE2" w14:textId="77777777" w:rsidR="00D319C1" w:rsidRDefault="00D319C1" w:rsidP="00D319C1"/>
    <w:p w14:paraId="58995386" w14:textId="77777777" w:rsidR="00D319C1" w:rsidRDefault="00D319C1" w:rsidP="00D319C1"/>
    <w:p w14:paraId="0D262B54" w14:textId="77777777" w:rsidR="00D319C1" w:rsidRDefault="00D319C1" w:rsidP="00D319C1"/>
    <w:p w14:paraId="0C58DB5C" w14:textId="77777777" w:rsidR="00D319C1" w:rsidRDefault="00D319C1" w:rsidP="00D319C1"/>
    <w:p w14:paraId="47E4017C" w14:textId="77777777" w:rsidR="00D319C1" w:rsidRDefault="00D319C1" w:rsidP="00D319C1"/>
    <w:p w14:paraId="1119BA35" w14:textId="77777777" w:rsidR="00D319C1" w:rsidRDefault="00D319C1" w:rsidP="00D319C1"/>
    <w:p w14:paraId="230933A9" w14:textId="77777777" w:rsidR="00D319C1" w:rsidRDefault="00D319C1" w:rsidP="00D319C1"/>
    <w:p w14:paraId="330F9AE9" w14:textId="77777777" w:rsidR="00D319C1" w:rsidRDefault="00D319C1" w:rsidP="00D319C1"/>
    <w:p w14:paraId="78B69F2D" w14:textId="77777777" w:rsidR="00D319C1" w:rsidRDefault="00D319C1" w:rsidP="00D319C1">
      <w:pPr>
        <w:pStyle w:val="Caption"/>
        <w:ind w:left="180" w:right="180"/>
      </w:pPr>
      <w:r w:rsidRPr="00DA241C">
        <w:t>Supplementary Table 5</w:t>
      </w:r>
      <w:r w:rsidRPr="00DA241C">
        <w:rPr>
          <w:noProof/>
        </w:rPr>
        <w:t>.</w:t>
      </w:r>
      <w:r>
        <w:rPr>
          <w:noProof/>
        </w:rPr>
        <w:t xml:space="preserve"> </w:t>
      </w:r>
      <w:r w:rsidRPr="00E168A9">
        <w:rPr>
          <w:noProof/>
        </w:rPr>
        <w:t xml:space="preserve">Tobit regressions of </w:t>
      </w:r>
      <w:r>
        <w:rPr>
          <w:noProof/>
        </w:rPr>
        <w:t xml:space="preserve">GFR on donor variables and arterial intimal fibrosis in reperfusion biopsy </w:t>
      </w:r>
      <w:r w:rsidRPr="00E168A9">
        <w:rPr>
          <w:noProof/>
        </w:rPr>
        <w:t xml:space="preserve">at </w:t>
      </w:r>
      <w:r>
        <w:rPr>
          <w:noProof/>
        </w:rPr>
        <w:t>one</w:t>
      </w:r>
      <w:r w:rsidRPr="00E168A9">
        <w:rPr>
          <w:noProof/>
        </w:rPr>
        <w:t xml:space="preserve">, </w:t>
      </w:r>
      <w:r>
        <w:rPr>
          <w:noProof/>
        </w:rPr>
        <w:t>three</w:t>
      </w:r>
      <w:r w:rsidRPr="00E168A9">
        <w:rPr>
          <w:noProof/>
        </w:rPr>
        <w:t xml:space="preserve">, </w:t>
      </w:r>
      <w:r>
        <w:rPr>
          <w:noProof/>
        </w:rPr>
        <w:t>six</w:t>
      </w:r>
      <w:r w:rsidRPr="00E168A9">
        <w:rPr>
          <w:noProof/>
        </w:rPr>
        <w:t xml:space="preserve">, </w:t>
      </w:r>
      <w:r>
        <w:rPr>
          <w:noProof/>
        </w:rPr>
        <w:t>twelve</w:t>
      </w:r>
      <w:r w:rsidRPr="00E168A9">
        <w:rPr>
          <w:noProof/>
        </w:rPr>
        <w:t xml:space="preserve"> </w:t>
      </w:r>
      <w:r>
        <w:rPr>
          <w:noProof/>
        </w:rPr>
        <w:t>months</w:t>
      </w:r>
      <w:r w:rsidRPr="00E168A9">
        <w:rPr>
          <w:noProof/>
        </w:rPr>
        <w:t>, and last measurement after transplant.</w:t>
      </w:r>
    </w:p>
    <w:tbl>
      <w:tblPr>
        <w:tblW w:w="900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242"/>
        <w:gridCol w:w="1242"/>
        <w:gridCol w:w="1242"/>
        <w:gridCol w:w="1242"/>
        <w:gridCol w:w="1242"/>
      </w:tblGrid>
      <w:tr w:rsidR="00D319C1" w:rsidRPr="00755535" w14:paraId="26D11CD6" w14:textId="77777777" w:rsidTr="001C37C3">
        <w:trPr>
          <w:trHeight w:val="288"/>
          <w:jc w:val="center"/>
        </w:trPr>
        <w:tc>
          <w:tcPr>
            <w:tcW w:w="279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11058CF1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6210" w:type="dxa"/>
            <w:gridSpan w:val="5"/>
            <w:tcBorders>
              <w:top w:val="single" w:sz="18" w:space="0" w:color="7F7F7F" w:themeColor="text1" w:themeTint="8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C50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GFR</w:t>
            </w:r>
          </w:p>
        </w:tc>
      </w:tr>
      <w:tr w:rsidR="00D319C1" w:rsidRPr="00755535" w14:paraId="45679C95" w14:textId="77777777" w:rsidTr="001C37C3">
        <w:trPr>
          <w:trHeight w:val="288"/>
          <w:jc w:val="center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4BF411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FDEFE19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1 </w:t>
            </w:r>
            <w:r>
              <w:t>month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08C701B1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3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5989966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 xml:space="preserve">6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5A41BD70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 w:rsidRPr="005E1B4A">
              <w:t>1</w:t>
            </w:r>
            <w:r>
              <w:t>2</w:t>
            </w:r>
            <w:r w:rsidRPr="005E1B4A">
              <w:t xml:space="preserve"> </w:t>
            </w:r>
            <w:r>
              <w:t>months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</w:tcPr>
          <w:p w14:paraId="270D544C" w14:textId="77777777" w:rsidR="00D319C1" w:rsidRPr="00755535" w:rsidRDefault="00D319C1" w:rsidP="001C37C3">
            <w:pPr>
              <w:pStyle w:val="table"/>
              <w:jc w:val="center"/>
              <w:rPr>
                <w:color w:val="000000"/>
              </w:rPr>
            </w:pPr>
            <w:r>
              <w:t>L</w:t>
            </w:r>
            <w:r w:rsidRPr="005E1B4A">
              <w:t>ast</w:t>
            </w:r>
          </w:p>
        </w:tc>
      </w:tr>
      <w:tr w:rsidR="00D319C1" w:rsidRPr="00755535" w14:paraId="728AF269" w14:textId="77777777" w:rsidTr="001C37C3">
        <w:trPr>
          <w:trHeight w:val="288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2EEEA14" w14:textId="77777777" w:rsidR="00D319C1" w:rsidRPr="00755535" w:rsidRDefault="00D319C1" w:rsidP="001C37C3">
            <w:pPr>
              <w:pStyle w:val="table"/>
            </w:pPr>
            <w:r>
              <w:t>Arterial intimal fibrosis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1296D4F7" w14:textId="77777777" w:rsidR="00D319C1" w:rsidRPr="00D921D7" w:rsidRDefault="00D319C1" w:rsidP="001C37C3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-8.344**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3F74B716" w14:textId="77777777" w:rsidR="00D319C1" w:rsidRPr="00D76C81" w:rsidRDefault="00D319C1" w:rsidP="001C37C3">
            <w:pPr>
              <w:pStyle w:val="table"/>
              <w:jc w:val="center"/>
              <w:rPr>
                <w:b/>
                <w:bCs/>
              </w:rPr>
            </w:pPr>
            <w:r w:rsidRPr="00D921D7">
              <w:rPr>
                <w:b/>
                <w:bCs/>
              </w:rPr>
              <w:t>-</w:t>
            </w:r>
            <w:r>
              <w:rPr>
                <w:b/>
                <w:bCs/>
              </w:rPr>
              <w:t>9.885**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7BA09909" w14:textId="77777777" w:rsidR="00D319C1" w:rsidRPr="0053427C" w:rsidRDefault="00D319C1" w:rsidP="001C37C3">
            <w:pPr>
              <w:pStyle w:val="table"/>
              <w:jc w:val="center"/>
            </w:pPr>
            <w:r>
              <w:t>-</w:t>
            </w:r>
            <w:r w:rsidRPr="00E56CF2">
              <w:rPr>
                <w:b/>
                <w:bCs/>
              </w:rPr>
              <w:t>6.531</w:t>
            </w:r>
            <w:r>
              <w:rPr>
                <w:b/>
                <w:bCs/>
              </w:rPr>
              <w:t>*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B1BEA80" w14:textId="77777777" w:rsidR="00D319C1" w:rsidRPr="005E1B4A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</w:tcPr>
          <w:p w14:paraId="590010A2" w14:textId="77777777" w:rsidR="00D319C1" w:rsidRPr="00D921D7" w:rsidRDefault="00D319C1" w:rsidP="001C37C3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-7.494*</w:t>
            </w:r>
          </w:p>
        </w:tc>
      </w:tr>
      <w:tr w:rsidR="00D319C1" w:rsidRPr="00755535" w14:paraId="57EB5723" w14:textId="77777777" w:rsidTr="001C37C3">
        <w:trPr>
          <w:trHeight w:val="288"/>
          <w:jc w:val="center"/>
        </w:trPr>
        <w:tc>
          <w:tcPr>
            <w:tcW w:w="2790" w:type="dxa"/>
            <w:vMerge/>
            <w:tcBorders>
              <w:bottom w:val="nil"/>
            </w:tcBorders>
            <w:shd w:val="clear" w:color="auto" w:fill="auto"/>
            <w:noWrap/>
          </w:tcPr>
          <w:p w14:paraId="5782A4FF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00B868" w14:textId="77777777" w:rsidR="00D319C1" w:rsidRPr="005E1B4A" w:rsidRDefault="00D319C1" w:rsidP="001C37C3">
            <w:pPr>
              <w:pStyle w:val="table"/>
              <w:jc w:val="center"/>
            </w:pPr>
            <w:r>
              <w:t>(3.120)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AF4B98" w14:textId="77777777" w:rsidR="00D319C1" w:rsidRPr="00AA3526" w:rsidRDefault="00D319C1" w:rsidP="001C37C3">
            <w:pPr>
              <w:pStyle w:val="table"/>
              <w:jc w:val="center"/>
            </w:pPr>
            <w:r>
              <w:t>(3.309)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F3C995" w14:textId="77777777" w:rsidR="00D319C1" w:rsidRPr="005E1B4A" w:rsidRDefault="00D319C1" w:rsidP="001C37C3">
            <w:pPr>
              <w:pStyle w:val="table"/>
              <w:jc w:val="center"/>
            </w:pPr>
            <w:r>
              <w:t>(2.948)</w:t>
            </w: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8917EA" w14:textId="77777777" w:rsidR="00D319C1" w:rsidRPr="005E1B4A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677473" w14:textId="77777777" w:rsidR="00D319C1" w:rsidRDefault="00D319C1" w:rsidP="001C37C3">
            <w:pPr>
              <w:pStyle w:val="table"/>
              <w:jc w:val="center"/>
            </w:pPr>
            <w:r>
              <w:t>(3.568)</w:t>
            </w:r>
          </w:p>
        </w:tc>
      </w:tr>
      <w:tr w:rsidR="00D319C1" w:rsidRPr="00755535" w14:paraId="45388D39" w14:textId="77777777" w:rsidTr="001C37C3">
        <w:trPr>
          <w:trHeight w:val="288"/>
          <w:jc w:val="center"/>
        </w:trPr>
        <w:tc>
          <w:tcPr>
            <w:tcW w:w="2790" w:type="dxa"/>
            <w:shd w:val="clear" w:color="auto" w:fill="auto"/>
            <w:noWrap/>
          </w:tcPr>
          <w:p w14:paraId="7A7AC130" w14:textId="77777777" w:rsidR="00D319C1" w:rsidRPr="00755535" w:rsidRDefault="00D319C1" w:rsidP="001C37C3">
            <w:pPr>
              <w:pStyle w:val="table"/>
            </w:pPr>
            <w:r>
              <w:t>DCD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5248B8" w14:textId="77777777" w:rsidR="00D319C1" w:rsidRDefault="00D319C1" w:rsidP="001C37C3">
            <w:pPr>
              <w:pStyle w:val="table"/>
              <w:jc w:val="center"/>
            </w:pPr>
            <w:r w:rsidRPr="00D921D7">
              <w:rPr>
                <w:b/>
                <w:bCs/>
              </w:rPr>
              <w:t>-</w:t>
            </w:r>
            <w:r>
              <w:rPr>
                <w:b/>
                <w:bCs/>
              </w:rPr>
              <w:t>12.732**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BCA578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24B248" w14:textId="77777777" w:rsidR="00D319C1" w:rsidRPr="00AA3526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D824C9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E08086F" w14:textId="77777777" w:rsidR="00D319C1" w:rsidRDefault="00D319C1" w:rsidP="001C37C3">
            <w:pPr>
              <w:pStyle w:val="table"/>
              <w:jc w:val="center"/>
            </w:pPr>
          </w:p>
        </w:tc>
      </w:tr>
      <w:tr w:rsidR="00D319C1" w:rsidRPr="00755535" w14:paraId="69689511" w14:textId="77777777" w:rsidTr="001C37C3">
        <w:trPr>
          <w:trHeight w:val="288"/>
          <w:jc w:val="center"/>
        </w:trPr>
        <w:tc>
          <w:tcPr>
            <w:tcW w:w="2790" w:type="dxa"/>
            <w:shd w:val="clear" w:color="auto" w:fill="auto"/>
            <w:noWrap/>
          </w:tcPr>
          <w:p w14:paraId="258EAA23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21BFCD" w14:textId="77777777" w:rsidR="00D319C1" w:rsidRDefault="00D319C1" w:rsidP="001C37C3">
            <w:pPr>
              <w:pStyle w:val="table"/>
              <w:jc w:val="center"/>
            </w:pPr>
            <w:r>
              <w:t>(4.708)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C8196D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84517A" w14:textId="77777777" w:rsidR="00D319C1" w:rsidRPr="00AA3526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3677DC" w14:textId="77777777" w:rsidR="00D319C1" w:rsidRDefault="00D319C1" w:rsidP="001C37C3">
            <w:pPr>
              <w:pStyle w:val="table"/>
              <w:jc w:val="center"/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A0F1C9" w14:textId="77777777" w:rsidR="00D319C1" w:rsidRDefault="00D319C1" w:rsidP="001C37C3">
            <w:pPr>
              <w:pStyle w:val="table"/>
              <w:jc w:val="center"/>
            </w:pPr>
          </w:p>
        </w:tc>
      </w:tr>
      <w:tr w:rsidR="00D319C1" w:rsidRPr="00755535" w14:paraId="0FCAAC7B" w14:textId="77777777" w:rsidTr="001C37C3">
        <w:trPr>
          <w:trHeight w:val="288"/>
          <w:jc w:val="center"/>
        </w:trPr>
        <w:tc>
          <w:tcPr>
            <w:tcW w:w="2790" w:type="dxa"/>
            <w:vMerge w:val="restart"/>
            <w:shd w:val="clear" w:color="auto" w:fill="auto"/>
            <w:noWrap/>
            <w:hideMark/>
          </w:tcPr>
          <w:p w14:paraId="6C2BA07D" w14:textId="77777777" w:rsidR="00D319C1" w:rsidRPr="00755535" w:rsidRDefault="00D319C1" w:rsidP="001C37C3">
            <w:pPr>
              <w:pStyle w:val="table"/>
            </w:pPr>
            <w:r>
              <w:t>Constant</w:t>
            </w:r>
          </w:p>
          <w:p w14:paraId="60B8CA27" w14:textId="77777777" w:rsidR="00D319C1" w:rsidRPr="00755535" w:rsidRDefault="00D319C1" w:rsidP="001C37C3">
            <w:pPr>
              <w:pStyle w:val="table"/>
            </w:pPr>
            <w:r>
              <w:t xml:space="preserve"> 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C3025FE" w14:textId="77777777" w:rsidR="00D319C1" w:rsidRPr="00755535" w:rsidRDefault="00D319C1" w:rsidP="001C37C3">
            <w:pPr>
              <w:pStyle w:val="table"/>
              <w:jc w:val="center"/>
            </w:pPr>
            <w:r>
              <w:t>67.494***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E2E435C" w14:textId="77777777" w:rsidR="00D319C1" w:rsidRPr="00755535" w:rsidRDefault="00D319C1" w:rsidP="001C37C3">
            <w:pPr>
              <w:pStyle w:val="table"/>
              <w:jc w:val="center"/>
            </w:pPr>
            <w:r w:rsidRPr="00D921D7">
              <w:t>7</w:t>
            </w:r>
            <w:r>
              <w:t>2.331***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FDB0234" w14:textId="77777777" w:rsidR="00D319C1" w:rsidRPr="00755535" w:rsidRDefault="00D319C1" w:rsidP="001C37C3">
            <w:pPr>
              <w:pStyle w:val="table"/>
              <w:jc w:val="center"/>
            </w:pPr>
            <w:r>
              <w:t>72.688***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FF0604D" w14:textId="77777777" w:rsidR="00D319C1" w:rsidRPr="00755535" w:rsidRDefault="00D319C1" w:rsidP="001C37C3">
            <w:pPr>
              <w:pStyle w:val="table"/>
              <w:jc w:val="center"/>
            </w:pPr>
            <w:r>
              <w:t>68.753***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73AB5AE3" w14:textId="77777777" w:rsidR="00D319C1" w:rsidRPr="00755535" w:rsidRDefault="00D319C1" w:rsidP="001C37C3">
            <w:pPr>
              <w:pStyle w:val="table"/>
              <w:jc w:val="center"/>
            </w:pPr>
            <w:r>
              <w:t>69.792***</w:t>
            </w:r>
          </w:p>
        </w:tc>
      </w:tr>
      <w:tr w:rsidR="00D319C1" w:rsidRPr="00755535" w14:paraId="17BECFFD" w14:textId="77777777" w:rsidTr="001C37C3">
        <w:trPr>
          <w:trHeight w:val="288"/>
          <w:jc w:val="center"/>
        </w:trPr>
        <w:tc>
          <w:tcPr>
            <w:tcW w:w="279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D47A174" w14:textId="77777777" w:rsidR="00D319C1" w:rsidRPr="00755535" w:rsidRDefault="00D319C1" w:rsidP="001C37C3">
            <w:pPr>
              <w:pStyle w:val="table"/>
            </w:pP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09D6E0" w14:textId="77777777" w:rsidR="00D319C1" w:rsidRPr="00755535" w:rsidRDefault="00D319C1" w:rsidP="001C37C3">
            <w:pPr>
              <w:pStyle w:val="table"/>
              <w:jc w:val="center"/>
            </w:pPr>
            <w:r>
              <w:t>(5.880)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4853368" w14:textId="77777777" w:rsidR="00D319C1" w:rsidRPr="00755535" w:rsidRDefault="00D319C1" w:rsidP="001C37C3">
            <w:pPr>
              <w:pStyle w:val="table"/>
              <w:jc w:val="center"/>
            </w:pPr>
            <w:r>
              <w:t>(6.250)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511E324" w14:textId="77777777" w:rsidR="00D319C1" w:rsidRPr="00755535" w:rsidRDefault="00D319C1" w:rsidP="001C37C3">
            <w:pPr>
              <w:pStyle w:val="table"/>
              <w:jc w:val="center"/>
            </w:pPr>
            <w:r>
              <w:t>(5.554)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A43A50F" w14:textId="77777777" w:rsidR="00D319C1" w:rsidRPr="00755535" w:rsidRDefault="00D319C1" w:rsidP="001C37C3">
            <w:pPr>
              <w:pStyle w:val="table"/>
              <w:jc w:val="center"/>
            </w:pPr>
            <w:r>
              <w:t>(6.390)</w:t>
            </w:r>
          </w:p>
        </w:tc>
        <w:tc>
          <w:tcPr>
            <w:tcW w:w="1242" w:type="dxa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200723" w14:textId="77777777" w:rsidR="00D319C1" w:rsidRPr="00755535" w:rsidRDefault="00D319C1" w:rsidP="001C37C3">
            <w:pPr>
              <w:pStyle w:val="table"/>
              <w:jc w:val="center"/>
            </w:pPr>
            <w:r>
              <w:t>(6.736)</w:t>
            </w:r>
          </w:p>
        </w:tc>
      </w:tr>
      <w:tr w:rsidR="00D319C1" w:rsidRPr="00755535" w14:paraId="08A849A9" w14:textId="77777777" w:rsidTr="001C37C3">
        <w:trPr>
          <w:trHeight w:val="288"/>
          <w:jc w:val="center"/>
        </w:trPr>
        <w:tc>
          <w:tcPr>
            <w:tcW w:w="2790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0E3DE392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N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77501687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567D259D" w14:textId="77777777" w:rsidR="00D319C1" w:rsidRPr="00755535" w:rsidRDefault="00D319C1" w:rsidP="001C37C3">
            <w:pPr>
              <w:pStyle w:val="table"/>
              <w:jc w:val="center"/>
            </w:pPr>
            <w:r>
              <w:t>82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1A18D985" w14:textId="77777777" w:rsidR="00D319C1" w:rsidRPr="00755535" w:rsidRDefault="00D319C1" w:rsidP="001C37C3">
            <w:pPr>
              <w:pStyle w:val="table"/>
              <w:jc w:val="center"/>
            </w:pPr>
            <w:r>
              <w:t>78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465D82DB" w14:textId="77777777" w:rsidR="00D319C1" w:rsidRPr="00755535" w:rsidRDefault="00D319C1" w:rsidP="001C37C3">
            <w:pPr>
              <w:pStyle w:val="table"/>
              <w:jc w:val="center"/>
            </w:pPr>
            <w:r>
              <w:t>76</w:t>
            </w:r>
          </w:p>
        </w:tc>
        <w:tc>
          <w:tcPr>
            <w:tcW w:w="1242" w:type="dxa"/>
            <w:tcBorders>
              <w:top w:val="single" w:sz="18" w:space="0" w:color="7F7F7F" w:themeColor="text1" w:themeTint="80"/>
              <w:bottom w:val="nil"/>
            </w:tcBorders>
            <w:shd w:val="clear" w:color="auto" w:fill="auto"/>
            <w:noWrap/>
            <w:vAlign w:val="bottom"/>
            <w:hideMark/>
          </w:tcPr>
          <w:p w14:paraId="0C71E69A" w14:textId="77777777" w:rsidR="00D319C1" w:rsidRPr="00755535" w:rsidRDefault="00D319C1" w:rsidP="001C37C3">
            <w:pPr>
              <w:pStyle w:val="table"/>
              <w:jc w:val="center"/>
            </w:pPr>
            <w:r>
              <w:t>84</w:t>
            </w:r>
          </w:p>
        </w:tc>
      </w:tr>
      <w:tr w:rsidR="00D319C1" w:rsidRPr="00755535" w14:paraId="580B4A1E" w14:textId="77777777" w:rsidTr="001C37C3">
        <w:trPr>
          <w:trHeight w:val="288"/>
          <w:jc w:val="center"/>
        </w:trPr>
        <w:tc>
          <w:tcPr>
            <w:tcW w:w="2790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B1E9636" w14:textId="77777777" w:rsidR="00D319C1" w:rsidRPr="00213A3A" w:rsidRDefault="00D319C1" w:rsidP="001C37C3">
            <w:pPr>
              <w:pStyle w:val="table"/>
              <w:rPr>
                <w:i/>
                <w:iCs/>
              </w:rPr>
            </w:pPr>
            <w:r w:rsidRPr="00213A3A">
              <w:rPr>
                <w:i/>
                <w:iCs/>
              </w:rPr>
              <w:t>logL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F7569D7" w14:textId="77777777" w:rsidR="00D319C1" w:rsidRPr="00755535" w:rsidRDefault="00D319C1" w:rsidP="001C37C3">
            <w:pPr>
              <w:pStyle w:val="table"/>
              <w:jc w:val="center"/>
            </w:pPr>
            <w:r w:rsidRPr="005B252B">
              <w:t>-3</w:t>
            </w:r>
            <w:r>
              <w:t>62.299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66A16DF" w14:textId="77777777" w:rsidR="00D319C1" w:rsidRPr="00755535" w:rsidRDefault="00D319C1" w:rsidP="001C37C3">
            <w:pPr>
              <w:pStyle w:val="table"/>
              <w:jc w:val="center"/>
            </w:pPr>
            <w:r w:rsidRPr="005B252B">
              <w:t>-3</w:t>
            </w:r>
            <w:r>
              <w:t>58.56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EFC6AF0" w14:textId="77777777" w:rsidR="00D319C1" w:rsidRPr="000447A8" w:rsidRDefault="00D319C1" w:rsidP="001C37C3">
            <w:pPr>
              <w:pStyle w:val="table"/>
              <w:jc w:val="center"/>
            </w:pPr>
            <w:r w:rsidRPr="005B252B">
              <w:t>-3</w:t>
            </w:r>
            <w:r>
              <w:t>32.50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49F51D5" w14:textId="77777777" w:rsidR="00D319C1" w:rsidRPr="00755535" w:rsidRDefault="00D319C1" w:rsidP="001C37C3">
            <w:pPr>
              <w:pStyle w:val="table"/>
              <w:jc w:val="center"/>
            </w:pPr>
            <w:r w:rsidRPr="005B252B">
              <w:t>-3</w:t>
            </w:r>
            <w:r>
              <w:t>31.974</w:t>
            </w:r>
          </w:p>
        </w:tc>
        <w:tc>
          <w:tcPr>
            <w:tcW w:w="1242" w:type="dxa"/>
            <w:tcBorders>
              <w:top w:val="nil"/>
              <w:bottom w:val="single" w:sz="18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F130749" w14:textId="77777777" w:rsidR="00D319C1" w:rsidRPr="00755535" w:rsidRDefault="00D319C1" w:rsidP="001C37C3">
            <w:pPr>
              <w:pStyle w:val="table"/>
              <w:jc w:val="center"/>
            </w:pPr>
            <w:r w:rsidRPr="005B252B">
              <w:t>-</w:t>
            </w:r>
            <w:r>
              <w:t>376.53</w:t>
            </w:r>
          </w:p>
        </w:tc>
      </w:tr>
    </w:tbl>
    <w:p w14:paraId="44274F7E" w14:textId="77777777" w:rsidR="00D319C1" w:rsidRDefault="00D319C1" w:rsidP="00D319C1">
      <w:pPr>
        <w:pStyle w:val="tablenote"/>
        <w:ind w:left="180" w:right="180"/>
      </w:pPr>
      <w:r w:rsidRPr="00530905">
        <w:rPr>
          <w:i/>
          <w:iCs/>
        </w:rPr>
        <w:t>Note</w:t>
      </w:r>
      <w:r w:rsidRPr="00530905">
        <w:t xml:space="preserve">: </w:t>
      </w:r>
      <w:r>
        <w:t xml:space="preserve">Multivariate regression including arterial intimal fibrosis in reperfusion biopsy, donor age, donor hypertension, DCD, donor DM, donor terminal Cr. Only significant results are shown. </w:t>
      </w:r>
      <w:r w:rsidRPr="00530905">
        <w:t>Values in parentheses represent standard errors. Asterisks represent p-values: *p&lt;0.05, **p&lt;0.01, ***p&lt;0.001.</w:t>
      </w:r>
    </w:p>
    <w:p w14:paraId="33217283" w14:textId="77777777" w:rsidR="00D319C1" w:rsidRDefault="00D319C1" w:rsidP="00D319C1">
      <w:pPr>
        <w:ind w:left="180" w:right="180" w:firstLine="0"/>
      </w:pPr>
    </w:p>
    <w:p w14:paraId="2532C7FC" w14:textId="77777777" w:rsidR="00D319C1" w:rsidRDefault="00D319C1" w:rsidP="00D319C1"/>
    <w:p w14:paraId="282ED176" w14:textId="77777777" w:rsidR="00D319C1" w:rsidRDefault="00D319C1" w:rsidP="00D319C1"/>
    <w:p w14:paraId="27265736" w14:textId="77777777" w:rsidR="00D319C1" w:rsidRDefault="00D319C1" w:rsidP="00D319C1"/>
    <w:p w14:paraId="3E853613" w14:textId="77777777" w:rsidR="008D55B6" w:rsidRDefault="00D319C1"/>
    <w:sectPr w:rsidR="008D55B6" w:rsidSect="008E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1"/>
    <w:rsid w:val="00006BD9"/>
    <w:rsid w:val="000F09FF"/>
    <w:rsid w:val="00185FB8"/>
    <w:rsid w:val="002013CF"/>
    <w:rsid w:val="0028156A"/>
    <w:rsid w:val="002973CC"/>
    <w:rsid w:val="00391C6A"/>
    <w:rsid w:val="00435C7C"/>
    <w:rsid w:val="004A01AE"/>
    <w:rsid w:val="004E2B94"/>
    <w:rsid w:val="00650312"/>
    <w:rsid w:val="00684481"/>
    <w:rsid w:val="008060AF"/>
    <w:rsid w:val="00823ABB"/>
    <w:rsid w:val="00882E75"/>
    <w:rsid w:val="008E1A7F"/>
    <w:rsid w:val="0096694C"/>
    <w:rsid w:val="0098428D"/>
    <w:rsid w:val="00A0547F"/>
    <w:rsid w:val="00A13B8E"/>
    <w:rsid w:val="00A548F3"/>
    <w:rsid w:val="00A63F5E"/>
    <w:rsid w:val="00A959EA"/>
    <w:rsid w:val="00AA34A3"/>
    <w:rsid w:val="00BC2E34"/>
    <w:rsid w:val="00D319C1"/>
    <w:rsid w:val="00D40E4B"/>
    <w:rsid w:val="00D528C2"/>
    <w:rsid w:val="00D554FB"/>
    <w:rsid w:val="00E079ED"/>
    <w:rsid w:val="00EA080C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6B9FD"/>
  <w15:chartTrackingRefBased/>
  <w15:docId w15:val="{4C0CFF43-B953-AE41-81F9-9CC0F2B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C1"/>
    <w:pPr>
      <w:spacing w:line="480" w:lineRule="auto"/>
      <w:ind w:firstLine="360"/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°table"/>
    <w:basedOn w:val="Normal"/>
    <w:next w:val="Normal"/>
    <w:qFormat/>
    <w:rsid w:val="00D319C1"/>
    <w:pPr>
      <w:spacing w:line="240" w:lineRule="auto"/>
      <w:ind w:firstLine="0"/>
      <w:jc w:val="left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D319C1"/>
    <w:pPr>
      <w:keepNext/>
      <w:spacing w:line="240" w:lineRule="auto"/>
      <w:ind w:firstLine="0"/>
      <w:jc w:val="center"/>
    </w:pPr>
    <w:rPr>
      <w:b/>
      <w:bCs/>
      <w:color w:val="000000" w:themeColor="text1"/>
    </w:rPr>
  </w:style>
  <w:style w:type="paragraph" w:customStyle="1" w:styleId="tablenote">
    <w:name w:val="°tablenote"/>
    <w:basedOn w:val="Normal"/>
    <w:qFormat/>
    <w:rsid w:val="00D319C1"/>
    <w:pPr>
      <w:spacing w:line="240" w:lineRule="auto"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Danz, David</dc:creator>
  <cp:keywords/>
  <dc:description/>
  <cp:lastModifiedBy>Danz, David</cp:lastModifiedBy>
  <cp:revision>1</cp:revision>
  <dcterms:created xsi:type="dcterms:W3CDTF">2020-10-22T21:20:00Z</dcterms:created>
  <dcterms:modified xsi:type="dcterms:W3CDTF">2020-10-22T21:24:00Z</dcterms:modified>
</cp:coreProperties>
</file>