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A8663" w14:textId="77777777" w:rsidR="009E2A08" w:rsidRPr="002D5A7A" w:rsidRDefault="009E2A08" w:rsidP="009E2A08">
      <w:pPr>
        <w:widowControl/>
        <w:wordWrap/>
        <w:autoSpaceDE/>
        <w:autoSpaceDN/>
        <w:spacing w:line="480" w:lineRule="auto"/>
        <w:rPr>
          <w:rFonts w:ascii="Calibri" w:hAnsi="Calibri" w:cs="Calibri"/>
          <w:b/>
          <w:sz w:val="24"/>
        </w:rPr>
      </w:pPr>
      <w:r w:rsidRPr="002D5A7A">
        <w:rPr>
          <w:rFonts w:ascii="Calibri" w:hAnsi="Calibri" w:cs="Calibri" w:hint="eastAsia"/>
          <w:b/>
          <w:sz w:val="24"/>
        </w:rPr>
        <w:t>Method</w:t>
      </w:r>
      <w:r w:rsidRPr="002D5A7A">
        <w:rPr>
          <w:rFonts w:ascii="Calibri" w:hAnsi="Calibri" w:cs="Calibri"/>
          <w:b/>
          <w:sz w:val="24"/>
        </w:rPr>
        <w:t>s</w:t>
      </w:r>
    </w:p>
    <w:p w14:paraId="120C5BCD" w14:textId="77777777" w:rsidR="009E2A08" w:rsidRPr="002D5A7A" w:rsidRDefault="009E2A08" w:rsidP="009E2A08">
      <w:pPr>
        <w:widowControl/>
        <w:wordWrap/>
        <w:autoSpaceDE/>
        <w:autoSpaceDN/>
        <w:spacing w:line="480" w:lineRule="auto"/>
        <w:rPr>
          <w:rFonts w:ascii="Calibri" w:hAnsi="Calibri" w:cs="Calibri"/>
          <w:i/>
          <w:sz w:val="24"/>
          <w:szCs w:val="24"/>
        </w:rPr>
      </w:pPr>
      <w:r w:rsidRPr="002D5A7A">
        <w:rPr>
          <w:rFonts w:ascii="Calibri" w:hAnsi="Calibri" w:cs="Calibri"/>
          <w:i/>
          <w:sz w:val="24"/>
          <w:szCs w:val="24"/>
        </w:rPr>
        <w:t>Database</w:t>
      </w:r>
    </w:p>
    <w:p w14:paraId="7F2A8EA7" w14:textId="51D1CED8" w:rsidR="009E2A08" w:rsidRPr="002D5A7A" w:rsidRDefault="009E2A08" w:rsidP="009E2A08">
      <w:pPr>
        <w:widowControl/>
        <w:wordWrap/>
        <w:autoSpaceDE/>
        <w:autoSpaceDN/>
        <w:spacing w:line="480" w:lineRule="auto"/>
        <w:rPr>
          <w:rFonts w:ascii="Calibri" w:hAnsi="Calibri" w:cs="Calibri"/>
          <w:sz w:val="24"/>
          <w:szCs w:val="24"/>
        </w:rPr>
      </w:pPr>
      <w:r w:rsidRPr="002D5A7A">
        <w:rPr>
          <w:rFonts w:ascii="Calibri" w:hAnsi="Calibri" w:cs="Calibri"/>
          <w:sz w:val="24"/>
          <w:szCs w:val="24"/>
        </w:rPr>
        <w:t xml:space="preserve">The Korean National Health Insurance System covers </w:t>
      </w:r>
      <w:r w:rsidRPr="002D5A7A">
        <w:rPr>
          <w:rFonts w:ascii="Calibri" w:hAnsi="Calibri" w:cs="Calibri" w:hint="eastAsia"/>
          <w:sz w:val="24"/>
          <w:szCs w:val="24"/>
        </w:rPr>
        <w:t>al</w:t>
      </w:r>
      <w:r w:rsidRPr="002D5A7A">
        <w:rPr>
          <w:rFonts w:ascii="Calibri" w:hAnsi="Calibri" w:cs="Calibri"/>
          <w:sz w:val="24"/>
          <w:szCs w:val="24"/>
        </w:rPr>
        <w:t>most all Korean residents (</w:t>
      </w:r>
      <w:r w:rsidR="00D46238">
        <w:rPr>
          <w:rFonts w:ascii="Calibri" w:hAnsi="Calibri" w:cs="Calibri"/>
          <w:sz w:val="24"/>
          <w:szCs w:val="24"/>
        </w:rPr>
        <w:t xml:space="preserve">approx. </w:t>
      </w:r>
      <w:r w:rsidRPr="002D5A7A">
        <w:rPr>
          <w:rFonts w:ascii="Calibri" w:hAnsi="Calibri" w:cs="Calibri"/>
          <w:sz w:val="24"/>
          <w:szCs w:val="24"/>
        </w:rPr>
        <w:t>97%) and mandates standardized medical examinations every 2 years [13]. This database, subdivided into two different health insurance subtypes; national health insurance and medical aid, accounts for comprehensive medical record data of the following: general information of age and sex, physical and laboratory measurements, questionnaires on lifestyle and behavior, diagnosis and treatment information, medical institution database</w:t>
      </w:r>
      <w:r w:rsidRPr="002D5A7A">
        <w:rPr>
          <w:rFonts w:ascii="Calibri" w:eastAsia="Malgun Gothic" w:hAnsi="Calibri" w:cs="Calibri"/>
          <w:sz w:val="24"/>
          <w:szCs w:val="24"/>
        </w:rPr>
        <w:t xml:space="preserve">, and death information. This database administered by the government is </w:t>
      </w:r>
      <w:r w:rsidRPr="002D5A7A">
        <w:rPr>
          <w:rFonts w:ascii="Calibri" w:eastAsia="Malgun Gothic" w:hAnsi="Calibri" w:cs="Calibri" w:hint="eastAsia"/>
          <w:sz w:val="24"/>
          <w:szCs w:val="24"/>
        </w:rPr>
        <w:t xml:space="preserve">a </w:t>
      </w:r>
      <w:r w:rsidRPr="002D5A7A">
        <w:rPr>
          <w:rFonts w:ascii="Calibri" w:eastAsia="Malgun Gothic" w:hAnsi="Calibri" w:cs="Calibri"/>
          <w:sz w:val="24"/>
          <w:szCs w:val="24"/>
        </w:rPr>
        <w:t>collective</w:t>
      </w:r>
      <w:r w:rsidRPr="002D5A7A">
        <w:rPr>
          <w:rFonts w:ascii="Calibri" w:eastAsia="Malgun Gothic" w:hAnsi="Calibri" w:cs="Calibri" w:hint="eastAsia"/>
          <w:sz w:val="24"/>
          <w:szCs w:val="24"/>
        </w:rPr>
        <w:t xml:space="preserve"> record of </w:t>
      </w:r>
      <w:r w:rsidRPr="002D5A7A">
        <w:rPr>
          <w:rFonts w:ascii="Calibri" w:eastAsia="Malgun Gothic" w:hAnsi="Calibri" w:cs="Calibri"/>
          <w:sz w:val="24"/>
          <w:szCs w:val="24"/>
        </w:rPr>
        <w:t xml:space="preserve">patient information and medical service with reimbursement claim codes. Therefore, it is considered a concrete </w:t>
      </w:r>
      <w:r w:rsidRPr="002D5A7A">
        <w:rPr>
          <w:rFonts w:ascii="Calibri" w:hAnsi="Calibri" w:cs="Calibri"/>
          <w:sz w:val="24"/>
          <w:szCs w:val="24"/>
        </w:rPr>
        <w:t xml:space="preserve">nationwide cohort, </w:t>
      </w:r>
      <w:r w:rsidRPr="002D5A7A">
        <w:rPr>
          <w:rFonts w:ascii="Calibri" w:eastAsia="Malgun Gothic" w:hAnsi="Calibri" w:cs="Calibri"/>
          <w:sz w:val="24"/>
          <w:szCs w:val="24"/>
        </w:rPr>
        <w:t>often used in epidemiological studies.</w:t>
      </w:r>
      <w:r w:rsidRPr="002D5A7A">
        <w:rPr>
          <w:rFonts w:ascii="Calibri" w:hAnsi="Calibri" w:cs="Calibri"/>
          <w:sz w:val="24"/>
          <w:szCs w:val="24"/>
        </w:rPr>
        <w:t xml:space="preserve"> Patient consent was waived by the Institutional Review Board of Seoul Metropolitan Government-Seoul National University Boramae Medical Center (IRB </w:t>
      </w:r>
      <w:r w:rsidR="00D46238" w:rsidRPr="002D5A7A">
        <w:rPr>
          <w:rFonts w:ascii="Calibri" w:hAnsi="Calibri" w:cs="Calibri"/>
          <w:sz w:val="24"/>
          <w:szCs w:val="24"/>
        </w:rPr>
        <w:t>N</w:t>
      </w:r>
      <w:r w:rsidRPr="002D5A7A">
        <w:rPr>
          <w:rFonts w:ascii="Calibri" w:hAnsi="Calibri" w:cs="Calibri"/>
          <w:sz w:val="24"/>
          <w:szCs w:val="24"/>
        </w:rPr>
        <w:t>o. 07-2019-24) as all personal information was de-identified.</w:t>
      </w:r>
    </w:p>
    <w:p w14:paraId="1EAF8BF0" w14:textId="77777777" w:rsidR="009E2A08" w:rsidRPr="002D5A7A" w:rsidRDefault="009E2A08" w:rsidP="009E2A08">
      <w:pPr>
        <w:widowControl/>
        <w:wordWrap/>
        <w:autoSpaceDE/>
        <w:autoSpaceDN/>
        <w:spacing w:line="480" w:lineRule="auto"/>
        <w:rPr>
          <w:rFonts w:ascii="Calibri" w:hAnsi="Calibri" w:cs="Calibri"/>
          <w:sz w:val="24"/>
          <w:szCs w:val="24"/>
        </w:rPr>
      </w:pPr>
    </w:p>
    <w:p w14:paraId="4F9845FC" w14:textId="26D5A1E7" w:rsidR="009E2A08" w:rsidRPr="002D5A7A" w:rsidRDefault="009E2A08" w:rsidP="009E2A08">
      <w:pPr>
        <w:widowControl/>
        <w:wordWrap/>
        <w:autoSpaceDE/>
        <w:autoSpaceDN/>
        <w:spacing w:line="480" w:lineRule="auto"/>
        <w:rPr>
          <w:rFonts w:ascii="Calibri" w:hAnsi="Calibri" w:cs="Calibri"/>
          <w:sz w:val="24"/>
          <w:szCs w:val="24"/>
        </w:rPr>
      </w:pPr>
      <w:r w:rsidRPr="002D5A7A">
        <w:rPr>
          <w:rFonts w:ascii="Calibri" w:hAnsi="Calibri" w:cs="Calibri"/>
          <w:i/>
          <w:sz w:val="24"/>
          <w:szCs w:val="24"/>
        </w:rPr>
        <w:t xml:space="preserve">Study </w:t>
      </w:r>
      <w:r w:rsidR="00D46238" w:rsidRPr="002D5A7A">
        <w:rPr>
          <w:rFonts w:ascii="Calibri" w:hAnsi="Calibri" w:cs="Calibri"/>
          <w:i/>
          <w:sz w:val="24"/>
          <w:szCs w:val="24"/>
        </w:rPr>
        <w:t>Population</w:t>
      </w:r>
    </w:p>
    <w:p w14:paraId="1FC1BF8C" w14:textId="03F27EDA" w:rsidR="009E2A08" w:rsidRPr="002D5A7A" w:rsidRDefault="009E2A08" w:rsidP="009E2A08">
      <w:pPr>
        <w:widowControl/>
        <w:wordWrap/>
        <w:autoSpaceDE/>
        <w:autoSpaceDN/>
        <w:spacing w:line="480" w:lineRule="auto"/>
        <w:rPr>
          <w:rFonts w:ascii="Calibri" w:hAnsi="Calibri" w:cs="Calibri"/>
          <w:sz w:val="24"/>
          <w:szCs w:val="24"/>
        </w:rPr>
      </w:pPr>
      <w:r w:rsidRPr="002D5A7A">
        <w:rPr>
          <w:rFonts w:ascii="Calibri" w:eastAsia="Malgun Gothic" w:hAnsi="Calibri" w:cs="Calibri"/>
          <w:sz w:val="24"/>
          <w:szCs w:val="24"/>
        </w:rPr>
        <w:t xml:space="preserve">A </w:t>
      </w:r>
      <w:r w:rsidRPr="002D5A7A">
        <w:rPr>
          <w:rFonts w:ascii="Calibri" w:hAnsi="Calibri" w:cs="Calibri"/>
          <w:sz w:val="24"/>
          <w:szCs w:val="24"/>
        </w:rPr>
        <w:t>recently published article which comprehensively assessed the IBD definition from Korean insurance claims data demonstrated that combining the International Classification of Diseases 10th revision (ICD-10) code and at least one prescription of IBD-specific medications [5‐aminosalicylic acid, immunomodulators (azathioprine, 6‐mercaptopurine, cyclosporine, or methotrexate) or TNF inhibitors] best reflected actual IBD cases.</w:t>
      </w:r>
      <w:r w:rsidRPr="002D5A7A">
        <w:rPr>
          <w:rFonts w:ascii="Calibri" w:eastAsia="Malgun Gothic" w:hAnsi="Calibri" w:cs="Calibri"/>
          <w:sz w:val="24"/>
          <w:szCs w:val="24"/>
        </w:rPr>
        <w:t xml:space="preserve"> K51.0</w:t>
      </w:r>
      <w:r w:rsidR="00BF7BB8">
        <w:rPr>
          <w:rFonts w:ascii="Calibri" w:eastAsia="Malgun Gothic" w:hAnsi="Calibri" w:cs="Calibri"/>
          <w:sz w:val="24"/>
          <w:szCs w:val="24"/>
        </w:rPr>
        <w:t>–</w:t>
      </w:r>
      <w:r w:rsidRPr="002D5A7A">
        <w:rPr>
          <w:rFonts w:ascii="Calibri" w:hAnsi="Calibri" w:cs="Calibri"/>
          <w:sz w:val="24"/>
          <w:szCs w:val="24"/>
        </w:rPr>
        <w:t>K51.3, K51.5, K51.8, K51.9</w:t>
      </w:r>
      <w:r w:rsidRPr="002D5A7A">
        <w:rPr>
          <w:rFonts w:ascii="Calibri" w:eastAsia="Malgun Gothic" w:hAnsi="Calibri" w:cs="Calibri"/>
          <w:sz w:val="24"/>
          <w:szCs w:val="24"/>
        </w:rPr>
        <w:t>, and K50.0–50.9 from</w:t>
      </w:r>
      <w:r w:rsidRPr="002D5A7A">
        <w:rPr>
          <w:rFonts w:ascii="Calibri" w:hAnsi="Calibri" w:cs="Calibri"/>
          <w:sz w:val="24"/>
          <w:szCs w:val="24"/>
        </w:rPr>
        <w:t xml:space="preserve"> </w:t>
      </w:r>
      <w:r w:rsidRPr="002D5A7A">
        <w:rPr>
          <w:rFonts w:ascii="Calibri" w:eastAsia="Malgun Gothic" w:hAnsi="Calibri" w:cs="Calibri"/>
          <w:sz w:val="24"/>
          <w:szCs w:val="24"/>
        </w:rPr>
        <w:t>the ICD-10 code were utilized for UC and CD, respectively. This operational definition demonstrated a sensitivity of 99.8</w:t>
      </w:r>
      <w:r w:rsidR="00BF7BB8">
        <w:rPr>
          <w:rFonts w:ascii="Calibri" w:eastAsia="Malgun Gothic" w:hAnsi="Calibri" w:cs="Calibri"/>
          <w:sz w:val="24"/>
          <w:szCs w:val="24"/>
        </w:rPr>
        <w:t>–</w:t>
      </w:r>
      <w:r w:rsidRPr="002D5A7A">
        <w:rPr>
          <w:rFonts w:ascii="Calibri" w:eastAsia="Malgun Gothic" w:hAnsi="Calibri" w:cs="Calibri"/>
          <w:sz w:val="24"/>
          <w:szCs w:val="24"/>
        </w:rPr>
        <w:t>100% and a specificity of 73</w:t>
      </w:r>
      <w:r w:rsidR="00BF7BB8">
        <w:rPr>
          <w:rFonts w:ascii="Calibri" w:eastAsia="Malgun Gothic" w:hAnsi="Calibri" w:cs="Calibri"/>
          <w:sz w:val="24"/>
          <w:szCs w:val="24"/>
        </w:rPr>
        <w:t>–</w:t>
      </w:r>
      <w:r w:rsidRPr="002D5A7A">
        <w:rPr>
          <w:rFonts w:ascii="Calibri" w:eastAsia="Malgun Gothic" w:hAnsi="Calibri" w:cs="Calibri"/>
          <w:sz w:val="24"/>
          <w:szCs w:val="24"/>
        </w:rPr>
        <w:t xml:space="preserve">95% </w:t>
      </w:r>
      <w:r w:rsidRPr="002D5A7A">
        <w:rPr>
          <w:rFonts w:ascii="Calibri" w:eastAsia="Malgun Gothic" w:hAnsi="Calibri" w:cs="Calibri"/>
          <w:sz w:val="24"/>
          <w:szCs w:val="24"/>
        </w:rPr>
        <w:lastRenderedPageBreak/>
        <w:t>depending on the health</w:t>
      </w:r>
      <w:r w:rsidR="00BF7BB8">
        <w:rPr>
          <w:rFonts w:ascii="Calibri" w:eastAsia="Malgun Gothic" w:hAnsi="Calibri" w:cs="Calibri"/>
          <w:sz w:val="24"/>
          <w:szCs w:val="24"/>
        </w:rPr>
        <w:t xml:space="preserve"> </w:t>
      </w:r>
      <w:r w:rsidRPr="002D5A7A">
        <w:rPr>
          <w:rFonts w:ascii="Calibri" w:eastAsia="Malgun Gothic" w:hAnsi="Calibri" w:cs="Calibri"/>
          <w:sz w:val="24"/>
          <w:szCs w:val="24"/>
        </w:rPr>
        <w:t>care facilities [14].</w:t>
      </w:r>
      <w:r w:rsidRPr="002D5A7A">
        <w:rPr>
          <w:rFonts w:ascii="Calibri" w:hAnsi="Calibri" w:cs="Calibri"/>
          <w:sz w:val="24"/>
          <w:szCs w:val="24"/>
        </w:rPr>
        <w:t xml:space="preserve"> Using this updated version of </w:t>
      </w:r>
      <w:r w:rsidRPr="002D5A7A">
        <w:rPr>
          <w:rFonts w:ascii="Calibri" w:eastAsia="Malgun Gothic" w:hAnsi="Calibri" w:cs="Calibri"/>
          <w:sz w:val="24"/>
          <w:szCs w:val="24"/>
        </w:rPr>
        <w:t xml:space="preserve">the validated definition, we identified IBD patients between 2005 and 2008. </w:t>
      </w:r>
      <w:r w:rsidRPr="002D5A7A">
        <w:rPr>
          <w:rFonts w:ascii="Calibri" w:hAnsi="Calibri" w:cs="Calibri"/>
          <w:sz w:val="24"/>
          <w:szCs w:val="24"/>
        </w:rPr>
        <w:t xml:space="preserve">Controls were </w:t>
      </w:r>
      <w:r w:rsidRPr="002D5A7A">
        <w:rPr>
          <w:rFonts w:ascii="Calibri" w:eastAsia="Malgun Gothic" w:hAnsi="Calibri" w:cs="Calibri"/>
          <w:sz w:val="24"/>
          <w:szCs w:val="24"/>
        </w:rPr>
        <w:t>age- and sex-matched in 1:4</w:t>
      </w:r>
      <w:r w:rsidRPr="002D5A7A">
        <w:rPr>
          <w:rFonts w:ascii="Calibri" w:eastAsia="Malgun Gothic" w:hAnsi="Calibri" w:cs="Calibri" w:hint="eastAsia"/>
          <w:sz w:val="24"/>
          <w:szCs w:val="24"/>
        </w:rPr>
        <w:t xml:space="preserve"> and </w:t>
      </w:r>
      <w:r w:rsidRPr="002D5A7A">
        <w:rPr>
          <w:rFonts w:ascii="Calibri" w:hAnsi="Calibri" w:cs="Calibri"/>
          <w:sz w:val="24"/>
          <w:szCs w:val="24"/>
        </w:rPr>
        <w:t>defined as those never diagnosed with IBD-related disease from 2003 to 2018</w:t>
      </w:r>
      <w:r w:rsidRPr="002D5A7A">
        <w:rPr>
          <w:rFonts w:ascii="Calibri" w:eastAsia="Malgun Gothic" w:hAnsi="Calibri" w:cs="Calibri"/>
          <w:sz w:val="24"/>
          <w:szCs w:val="24"/>
        </w:rPr>
        <w:t xml:space="preserve">. </w:t>
      </w:r>
      <w:r w:rsidRPr="002D5A7A">
        <w:rPr>
          <w:rFonts w:ascii="Calibri" w:hAnsi="Calibri" w:cs="Calibri" w:hint="eastAsia"/>
          <w:sz w:val="24"/>
          <w:szCs w:val="24"/>
        </w:rPr>
        <w:t>P</w:t>
      </w:r>
      <w:r w:rsidRPr="002D5A7A">
        <w:rPr>
          <w:rFonts w:ascii="Calibri" w:hAnsi="Calibri" w:cs="Calibri"/>
          <w:sz w:val="24"/>
          <w:szCs w:val="24"/>
        </w:rPr>
        <w:t xml:space="preserve">atients with </w:t>
      </w:r>
      <w:r w:rsidRPr="002D5A7A">
        <w:rPr>
          <w:rFonts w:ascii="Calibri" w:eastAsia="Malgun Gothic" w:hAnsi="Calibri" w:cs="Calibri"/>
          <w:sz w:val="24"/>
          <w:szCs w:val="24"/>
        </w:rPr>
        <w:t xml:space="preserve">a history of psoriasis </w:t>
      </w:r>
      <w:r w:rsidRPr="002D5A7A">
        <w:rPr>
          <w:rFonts w:ascii="Calibri" w:hAnsi="Calibri" w:cs="Calibri"/>
          <w:sz w:val="24"/>
          <w:szCs w:val="24"/>
        </w:rPr>
        <w:t xml:space="preserve">prior to 2009 were initially excluded from the analysis. Among IBD patients and controls, patients who died before psoriasis diagnosis were censored. </w:t>
      </w:r>
    </w:p>
    <w:p w14:paraId="66DE2005" w14:textId="77777777" w:rsidR="009E2A08" w:rsidRPr="002D5A7A" w:rsidRDefault="009E2A08" w:rsidP="009E2A08">
      <w:pPr>
        <w:widowControl/>
        <w:wordWrap/>
        <w:autoSpaceDE/>
        <w:autoSpaceDN/>
        <w:spacing w:line="480" w:lineRule="auto"/>
        <w:rPr>
          <w:rFonts w:ascii="Calibri" w:hAnsi="Calibri" w:cs="Calibri"/>
          <w:i/>
          <w:sz w:val="24"/>
          <w:szCs w:val="24"/>
        </w:rPr>
      </w:pPr>
    </w:p>
    <w:p w14:paraId="727F4890" w14:textId="5AEC360A" w:rsidR="009E2A08" w:rsidRPr="002D5A7A" w:rsidRDefault="009E2A08" w:rsidP="009E2A08">
      <w:pPr>
        <w:widowControl/>
        <w:wordWrap/>
        <w:autoSpaceDE/>
        <w:autoSpaceDN/>
        <w:spacing w:line="480" w:lineRule="auto"/>
        <w:rPr>
          <w:rFonts w:ascii="Calibri" w:hAnsi="Calibri" w:cs="Calibri"/>
          <w:i/>
          <w:sz w:val="24"/>
          <w:szCs w:val="24"/>
        </w:rPr>
      </w:pPr>
      <w:r w:rsidRPr="002D5A7A">
        <w:rPr>
          <w:rFonts w:ascii="Calibri" w:hAnsi="Calibri" w:cs="Calibri"/>
          <w:i/>
          <w:sz w:val="24"/>
          <w:szCs w:val="24"/>
        </w:rPr>
        <w:t xml:space="preserve">Definition of </w:t>
      </w:r>
      <w:r w:rsidR="00BF7BB8" w:rsidRPr="002D5A7A">
        <w:rPr>
          <w:rFonts w:ascii="Calibri" w:hAnsi="Calibri" w:cs="Calibri"/>
          <w:i/>
          <w:sz w:val="24"/>
          <w:szCs w:val="24"/>
        </w:rPr>
        <w:t>Outcomes</w:t>
      </w:r>
    </w:p>
    <w:p w14:paraId="180FB9F8" w14:textId="39B0ADCD" w:rsidR="009E2A08" w:rsidRPr="002D5A7A" w:rsidRDefault="009E2A08" w:rsidP="009E2A08">
      <w:pPr>
        <w:widowControl/>
        <w:wordWrap/>
        <w:autoSpaceDE/>
        <w:autoSpaceDN/>
        <w:spacing w:line="480" w:lineRule="auto"/>
        <w:rPr>
          <w:rFonts w:ascii="Calibri" w:hAnsi="Calibri" w:cs="Calibri"/>
          <w:sz w:val="24"/>
          <w:szCs w:val="24"/>
        </w:rPr>
      </w:pPr>
      <w:r w:rsidRPr="002D5A7A">
        <w:rPr>
          <w:rFonts w:ascii="Calibri" w:hAnsi="Calibri" w:cs="Calibri"/>
          <w:sz w:val="24"/>
          <w:szCs w:val="24"/>
        </w:rPr>
        <w:t>The primary outcome was newly diagnosed psoriasis</w:t>
      </w:r>
      <w:r w:rsidRPr="002D5A7A">
        <w:rPr>
          <w:rFonts w:ascii="Calibri" w:hAnsi="Calibri" w:cs="Calibri" w:hint="eastAsia"/>
          <w:sz w:val="24"/>
          <w:szCs w:val="24"/>
        </w:rPr>
        <w:t xml:space="preserve"> cases from</w:t>
      </w:r>
      <w:r w:rsidRPr="002D5A7A">
        <w:rPr>
          <w:rFonts w:ascii="Calibri" w:hAnsi="Calibri" w:cs="Calibri"/>
          <w:sz w:val="24"/>
          <w:szCs w:val="24"/>
        </w:rPr>
        <w:t xml:space="preserve"> 2009</w:t>
      </w:r>
      <w:r w:rsidRPr="002D5A7A">
        <w:rPr>
          <w:rFonts w:ascii="Calibri" w:hAnsi="Calibri" w:cs="Calibri" w:hint="eastAsia"/>
          <w:sz w:val="24"/>
          <w:szCs w:val="24"/>
        </w:rPr>
        <w:t xml:space="preserve"> to 2018</w:t>
      </w:r>
      <w:r w:rsidRPr="002D5A7A">
        <w:rPr>
          <w:rFonts w:ascii="Calibri" w:hAnsi="Calibri" w:cs="Calibri"/>
          <w:sz w:val="24"/>
          <w:szCs w:val="24"/>
        </w:rPr>
        <w:t xml:space="preserve">. Psoriasis was defined as at least two hospital visits with ICD-10 primary diagnosis of L40. </w:t>
      </w:r>
      <w:r w:rsidRPr="002D5A7A">
        <w:rPr>
          <w:rFonts w:ascii="Calibri" w:eastAsia="Malgun Gothic" w:hAnsi="Calibri" w:cs="Calibri"/>
          <w:sz w:val="24"/>
          <w:szCs w:val="24"/>
        </w:rPr>
        <w:t xml:space="preserve">This operational definition demonstrated a sensitivity of 79.6%, a specificity of 91.2%, and </w:t>
      </w:r>
      <w:r w:rsidR="00BF7BB8">
        <w:rPr>
          <w:rFonts w:ascii="Calibri" w:eastAsia="Malgun Gothic" w:hAnsi="Calibri" w:cs="Calibri"/>
          <w:sz w:val="24"/>
          <w:szCs w:val="24"/>
        </w:rPr>
        <w:t xml:space="preserve">a </w:t>
      </w:r>
      <w:r w:rsidRPr="002D5A7A">
        <w:rPr>
          <w:rFonts w:ascii="Calibri" w:eastAsia="Malgun Gothic" w:hAnsi="Calibri" w:cs="Calibri"/>
          <w:sz w:val="24"/>
          <w:szCs w:val="24"/>
        </w:rPr>
        <w:t xml:space="preserve">positive prediction value of 95.4% in a validation study by five teaching hospitals [15]. </w:t>
      </w:r>
      <w:r w:rsidRPr="002D5A7A">
        <w:rPr>
          <w:rFonts w:ascii="Calibri" w:hAnsi="Calibri" w:cs="Calibri"/>
          <w:sz w:val="24"/>
          <w:szCs w:val="24"/>
        </w:rPr>
        <w:t>Disease phenotypes</w:t>
      </w:r>
      <w:r w:rsidRPr="002D5A7A">
        <w:rPr>
          <w:rFonts w:ascii="Calibri" w:eastAsia="Malgun Gothic" w:hAnsi="Calibri" w:cs="Calibri"/>
          <w:sz w:val="24"/>
          <w:szCs w:val="24"/>
        </w:rPr>
        <w:t>, including psoriasis severity and psoriatic arthritis, were also identified: plaque psoriasis was defined as L40</w:t>
      </w:r>
      <w:r w:rsidR="00BF7BB8">
        <w:rPr>
          <w:rFonts w:ascii="Calibri" w:eastAsia="Malgun Gothic" w:hAnsi="Calibri" w:cs="Calibri"/>
          <w:sz w:val="24"/>
          <w:szCs w:val="24"/>
        </w:rPr>
        <w:t>.</w:t>
      </w:r>
      <w:r w:rsidRPr="002D5A7A">
        <w:rPr>
          <w:rFonts w:ascii="Calibri" w:eastAsia="Malgun Gothic" w:hAnsi="Calibri" w:cs="Calibri"/>
          <w:sz w:val="24"/>
          <w:szCs w:val="24"/>
        </w:rPr>
        <w:t>0, L40.8</w:t>
      </w:r>
      <w:r w:rsidR="00BF7BB8">
        <w:rPr>
          <w:rFonts w:ascii="Calibri" w:eastAsia="Malgun Gothic" w:hAnsi="Calibri" w:cs="Calibri"/>
          <w:sz w:val="24"/>
          <w:szCs w:val="24"/>
        </w:rPr>
        <w:t>,</w:t>
      </w:r>
      <w:r w:rsidRPr="002D5A7A">
        <w:rPr>
          <w:rFonts w:ascii="Calibri" w:eastAsia="Malgun Gothic" w:hAnsi="Calibri" w:cs="Calibri"/>
          <w:sz w:val="24"/>
          <w:szCs w:val="24"/>
        </w:rPr>
        <w:t xml:space="preserve"> and L40.9; guttate psoriasis as L40.4; palmoplantar pustulosis as L40.2 and L40.3; and generalized pustular psoriasis as L40.1. Those receiving phototherapy, systemic agents (acitretin, cyclosporine, methotrexate), or bi</w:t>
      </w:r>
      <w:r w:rsidRPr="002D5A7A">
        <w:rPr>
          <w:rFonts w:ascii="Calibri" w:hAnsi="Calibri" w:cs="Calibri"/>
          <w:sz w:val="24"/>
          <w:szCs w:val="24"/>
        </w:rPr>
        <w:t xml:space="preserve">ologic agents (infliximab, etanercept, adalimumab, </w:t>
      </w:r>
      <w:r w:rsidRPr="002D5A7A">
        <w:rPr>
          <w:rFonts w:ascii="Calibri" w:eastAsia="Malgun Gothic" w:hAnsi="Calibri" w:cs="Calibri"/>
          <w:sz w:val="24"/>
          <w:szCs w:val="24"/>
        </w:rPr>
        <w:t xml:space="preserve">and ustekinumab) were defined as having moderate to severe psoriasis. Otherwise, they fell into the mild type category. To define psoriatic arthritis, at least 2 hospital visits with ICD-10 codes </w:t>
      </w:r>
      <w:r w:rsidRPr="002D5A7A">
        <w:rPr>
          <w:rFonts w:ascii="Calibri" w:hAnsi="Calibri" w:cs="Calibri"/>
          <w:sz w:val="24"/>
          <w:szCs w:val="24"/>
        </w:rPr>
        <w:t>primary diagnosis of L40</w:t>
      </w:r>
      <w:r w:rsidR="00BF7BB8">
        <w:rPr>
          <w:rFonts w:ascii="Calibri" w:hAnsi="Calibri" w:cs="Calibri"/>
          <w:sz w:val="24"/>
          <w:szCs w:val="24"/>
        </w:rPr>
        <w:t>.</w:t>
      </w:r>
      <w:r w:rsidRPr="002D5A7A">
        <w:rPr>
          <w:rFonts w:ascii="Calibri" w:hAnsi="Calibri" w:cs="Calibri"/>
          <w:sz w:val="24"/>
          <w:szCs w:val="24"/>
        </w:rPr>
        <w:t>5, or L40 and one of the following</w:t>
      </w:r>
      <w:r w:rsidR="00BF7BB8">
        <w:rPr>
          <w:rFonts w:ascii="Calibri" w:hAnsi="Calibri" w:cs="Calibri"/>
          <w:sz w:val="24"/>
          <w:szCs w:val="24"/>
        </w:rPr>
        <w:t xml:space="preserve"> </w:t>
      </w:r>
      <w:r w:rsidR="00BF7BB8" w:rsidRPr="002D5A7A">
        <w:rPr>
          <w:rFonts w:ascii="Calibri" w:eastAsia="Malgun Gothic" w:hAnsi="Calibri" w:cs="Calibri"/>
          <w:sz w:val="24"/>
          <w:szCs w:val="24"/>
        </w:rPr>
        <w:t>were used</w:t>
      </w:r>
      <w:r w:rsidRPr="002D5A7A">
        <w:rPr>
          <w:rFonts w:ascii="Calibri" w:hAnsi="Calibri" w:cs="Calibri"/>
          <w:sz w:val="24"/>
          <w:szCs w:val="24"/>
        </w:rPr>
        <w:t>: M070, M071, M072, M073</w:t>
      </w:r>
      <w:r w:rsidR="00BF7BB8">
        <w:rPr>
          <w:rFonts w:ascii="Calibri" w:hAnsi="Calibri" w:cs="Calibri"/>
          <w:sz w:val="24"/>
          <w:szCs w:val="24"/>
        </w:rPr>
        <w:t>,</w:t>
      </w:r>
      <w:r w:rsidRPr="002D5A7A">
        <w:rPr>
          <w:rFonts w:ascii="Calibri" w:hAnsi="Calibri" w:cs="Calibri"/>
          <w:sz w:val="24"/>
          <w:szCs w:val="24"/>
        </w:rPr>
        <w:t xml:space="preserve"> and M090 </w:t>
      </w:r>
      <w:r w:rsidRPr="002D5A7A">
        <w:rPr>
          <w:rFonts w:ascii="Calibri" w:eastAsia="Malgun Gothic" w:hAnsi="Calibri" w:cs="Calibri"/>
          <w:sz w:val="24"/>
          <w:szCs w:val="24"/>
        </w:rPr>
        <w:t>[12,</w:t>
      </w:r>
      <w:r w:rsidR="00BF7BB8">
        <w:rPr>
          <w:rFonts w:ascii="Calibri" w:eastAsia="Malgun Gothic" w:hAnsi="Calibri" w:cs="Calibri"/>
          <w:sz w:val="24"/>
          <w:szCs w:val="24"/>
        </w:rPr>
        <w:t xml:space="preserve"> </w:t>
      </w:r>
      <w:r w:rsidRPr="002D5A7A">
        <w:rPr>
          <w:rFonts w:ascii="Calibri" w:eastAsia="Malgun Gothic" w:hAnsi="Calibri" w:cs="Calibri"/>
          <w:sz w:val="24"/>
          <w:szCs w:val="24"/>
        </w:rPr>
        <w:t>16]</w:t>
      </w:r>
      <w:r w:rsidRPr="002D5A7A">
        <w:rPr>
          <w:rFonts w:ascii="Calibri" w:hAnsi="Calibri" w:cs="Calibri"/>
          <w:sz w:val="24"/>
          <w:szCs w:val="24"/>
        </w:rPr>
        <w:t>.</w:t>
      </w:r>
      <w:r w:rsidRPr="002D5A7A">
        <w:rPr>
          <w:rFonts w:ascii="Calibri" w:hAnsi="Calibri" w:cs="Calibri"/>
          <w:noProof/>
          <w:sz w:val="24"/>
          <w:szCs w:val="24"/>
        </w:rPr>
        <w:t xml:space="preserve"> </w:t>
      </w:r>
    </w:p>
    <w:p w14:paraId="2E5E2A19" w14:textId="77777777" w:rsidR="009E2A08" w:rsidRPr="002D5A7A" w:rsidRDefault="009E2A08" w:rsidP="009E2A08">
      <w:pPr>
        <w:widowControl/>
        <w:wordWrap/>
        <w:autoSpaceDE/>
        <w:autoSpaceDN/>
        <w:spacing w:line="480" w:lineRule="auto"/>
        <w:rPr>
          <w:rFonts w:ascii="Calibri" w:hAnsi="Calibri" w:cs="Calibri"/>
          <w:sz w:val="24"/>
          <w:szCs w:val="24"/>
        </w:rPr>
      </w:pPr>
    </w:p>
    <w:p w14:paraId="6D81D41A" w14:textId="3CBF73A1" w:rsidR="009E2A08" w:rsidRPr="002D5A7A" w:rsidRDefault="009E2A08" w:rsidP="009E2A08">
      <w:pPr>
        <w:widowControl/>
        <w:wordWrap/>
        <w:autoSpaceDE/>
        <w:autoSpaceDN/>
        <w:spacing w:line="480" w:lineRule="auto"/>
        <w:rPr>
          <w:rFonts w:ascii="Calibri" w:hAnsi="Calibri" w:cs="Calibri"/>
          <w:i/>
          <w:sz w:val="24"/>
          <w:szCs w:val="24"/>
        </w:rPr>
      </w:pPr>
      <w:r w:rsidRPr="002D5A7A">
        <w:rPr>
          <w:rFonts w:ascii="Calibri" w:hAnsi="Calibri" w:cs="Calibri"/>
          <w:i/>
          <w:sz w:val="24"/>
          <w:szCs w:val="24"/>
        </w:rPr>
        <w:t xml:space="preserve">Statistical </w:t>
      </w:r>
      <w:r w:rsidR="00BF7BB8" w:rsidRPr="002D5A7A">
        <w:rPr>
          <w:rFonts w:ascii="Calibri" w:hAnsi="Calibri" w:cs="Calibri"/>
          <w:i/>
          <w:sz w:val="24"/>
          <w:szCs w:val="24"/>
        </w:rPr>
        <w:t>Analysis</w:t>
      </w:r>
    </w:p>
    <w:p w14:paraId="52690262" w14:textId="270E1A1B" w:rsidR="001571F3" w:rsidRDefault="009E2A08" w:rsidP="009E2A08">
      <w:r w:rsidRPr="002D5A7A">
        <w:rPr>
          <w:rFonts w:ascii="Calibri" w:hAnsi="Calibri" w:cs="Calibri"/>
          <w:sz w:val="24"/>
          <w:szCs w:val="24"/>
        </w:rPr>
        <w:t xml:space="preserve">The baseline of IBD patients (either UC or CD) were compared with their matched controls using </w:t>
      </w:r>
      <w:r w:rsidR="00BF7BB8" w:rsidRPr="00BF7BB8">
        <w:rPr>
          <w:rFonts w:ascii="Calibri" w:hAnsi="Calibri" w:cs="Calibri"/>
          <w:sz w:val="24"/>
          <w:szCs w:val="24"/>
        </w:rPr>
        <w:t>χ</w:t>
      </w:r>
      <w:r w:rsidR="00BF7BB8">
        <w:rPr>
          <w:rFonts w:ascii="Calibri" w:hAnsi="Calibri" w:cs="Calibri"/>
          <w:sz w:val="24"/>
          <w:szCs w:val="24"/>
          <w:vertAlign w:val="superscript"/>
        </w:rPr>
        <w:t>2</w:t>
      </w:r>
      <w:r w:rsidRPr="002D5A7A">
        <w:rPr>
          <w:rFonts w:ascii="Calibri" w:hAnsi="Calibri" w:cs="Calibri"/>
          <w:sz w:val="24"/>
          <w:szCs w:val="24"/>
        </w:rPr>
        <w:t xml:space="preserve"> and </w:t>
      </w:r>
      <w:r w:rsidRPr="00BF7BB8">
        <w:rPr>
          <w:rFonts w:ascii="Calibri" w:hAnsi="Calibri" w:cs="Calibri"/>
          <w:i/>
          <w:sz w:val="24"/>
          <w:szCs w:val="24"/>
        </w:rPr>
        <w:t>t</w:t>
      </w:r>
      <w:r w:rsidR="00BF7BB8">
        <w:rPr>
          <w:rFonts w:ascii="Calibri" w:hAnsi="Calibri" w:cs="Calibri"/>
          <w:sz w:val="24"/>
          <w:szCs w:val="24"/>
        </w:rPr>
        <w:t xml:space="preserve"> </w:t>
      </w:r>
      <w:r w:rsidRPr="002D5A7A">
        <w:rPr>
          <w:rFonts w:ascii="Calibri" w:hAnsi="Calibri" w:cs="Calibri"/>
          <w:sz w:val="24"/>
          <w:szCs w:val="24"/>
        </w:rPr>
        <w:t xml:space="preserve">tests. The incidence rate was presented as the number of events per 100,000 person-years. Hazard ratios and 95% confidence intervals were calculated using Cox regression </w:t>
      </w:r>
      <w:r w:rsidRPr="002D5A7A">
        <w:rPr>
          <w:rFonts w:ascii="Calibri" w:hAnsi="Calibri" w:cs="Calibri"/>
          <w:sz w:val="24"/>
          <w:szCs w:val="24"/>
        </w:rPr>
        <w:lastRenderedPageBreak/>
        <w:t xml:space="preserve">models. </w:t>
      </w:r>
      <w:r w:rsidRPr="002D5A7A">
        <w:rPr>
          <w:rFonts w:ascii="Calibri" w:hAnsi="Calibri" w:cs="Calibri" w:hint="eastAsia"/>
          <w:sz w:val="24"/>
          <w:szCs w:val="24"/>
        </w:rPr>
        <w:t>For multivariate analysis,</w:t>
      </w:r>
      <w:r w:rsidRPr="002D5A7A">
        <w:rPr>
          <w:rFonts w:ascii="Calibri" w:hAnsi="Calibri" w:cs="Calibri"/>
          <w:sz w:val="24"/>
          <w:szCs w:val="24"/>
        </w:rPr>
        <w:t xml:space="preserve"> age and insurance type were adjusted. We conducted detailed subgroup analyses for age</w:t>
      </w:r>
      <w:r w:rsidRPr="002D5A7A">
        <w:rPr>
          <w:rFonts w:ascii="Calibri" w:hAnsi="Calibri" w:cs="Calibri" w:hint="eastAsia"/>
          <w:sz w:val="24"/>
          <w:szCs w:val="24"/>
        </w:rPr>
        <w:t xml:space="preserve"> and</w:t>
      </w:r>
      <w:r w:rsidRPr="002D5A7A">
        <w:rPr>
          <w:rFonts w:ascii="Calibri" w:hAnsi="Calibri" w:cs="Calibri"/>
          <w:sz w:val="24"/>
          <w:szCs w:val="24"/>
        </w:rPr>
        <w:t xml:space="preserve"> sex. Moreover, </w:t>
      </w:r>
      <w:r w:rsidRPr="002D5A7A">
        <w:rPr>
          <w:rFonts w:ascii="Calibri" w:eastAsia="Malgun Gothic" w:hAnsi="Calibri" w:cs="Calibri"/>
          <w:sz w:val="24"/>
          <w:szCs w:val="24"/>
        </w:rPr>
        <w:t xml:space="preserve">by </w:t>
      </w:r>
      <w:r w:rsidRPr="002D5A7A">
        <w:rPr>
          <w:rFonts w:ascii="Calibri" w:hAnsi="Calibri" w:cs="Calibri"/>
          <w:sz w:val="24"/>
          <w:szCs w:val="24"/>
        </w:rPr>
        <w:t xml:space="preserve">acknowledging the effect of psoriasiform disorder secondary to TNF inhibitors, sensitivity analysis involving TNF inhibitor-naïve patients was performed to provide robustness to the results. All statistical analyses were performed using SAS version 9.4 software (The SAS Institute, Cary, NC, USA). </w:t>
      </w:r>
      <w:r w:rsidR="00BF7BB8" w:rsidRPr="00BF7BB8">
        <w:rPr>
          <w:rFonts w:ascii="Calibri" w:hAnsi="Calibri" w:cs="Calibri"/>
          <w:i/>
          <w:sz w:val="24"/>
          <w:szCs w:val="24"/>
        </w:rPr>
        <w:t>p</w:t>
      </w:r>
      <w:r w:rsidR="00BF7BB8">
        <w:rPr>
          <w:rFonts w:ascii="Calibri" w:hAnsi="Calibri" w:cs="Calibri"/>
          <w:sz w:val="24"/>
          <w:szCs w:val="24"/>
        </w:rPr>
        <w:t xml:space="preserve"> </w:t>
      </w:r>
      <w:r w:rsidRPr="002D5A7A">
        <w:rPr>
          <w:rFonts w:ascii="Calibri" w:hAnsi="Calibri" w:cs="Calibri"/>
          <w:sz w:val="24"/>
          <w:szCs w:val="24"/>
        </w:rPr>
        <w:t>values &lt;</w:t>
      </w:r>
      <w:r w:rsidR="00BF7BB8">
        <w:rPr>
          <w:rFonts w:ascii="Calibri" w:hAnsi="Calibri" w:cs="Calibri"/>
          <w:sz w:val="24"/>
          <w:szCs w:val="24"/>
        </w:rPr>
        <w:t>0</w:t>
      </w:r>
      <w:r w:rsidRPr="002D5A7A">
        <w:rPr>
          <w:rFonts w:ascii="Calibri" w:hAnsi="Calibri" w:cs="Calibri"/>
          <w:sz w:val="24"/>
          <w:szCs w:val="24"/>
        </w:rPr>
        <w:t xml:space="preserve">.05 were considered statistically significant. </w:t>
      </w:r>
      <w:r w:rsidRPr="002D5A7A">
        <w:rPr>
          <w:rFonts w:ascii="Calibri" w:hAnsi="Calibri" w:cs="Calibri"/>
          <w:sz w:val="24"/>
          <w:szCs w:val="24"/>
        </w:rPr>
        <w:br/>
      </w:r>
    </w:p>
    <w:sectPr w:rsidR="00157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08"/>
    <w:rsid w:val="001571F3"/>
    <w:rsid w:val="006A4074"/>
    <w:rsid w:val="0096002B"/>
    <w:rsid w:val="009E2A08"/>
    <w:rsid w:val="00BF7BB8"/>
    <w:rsid w:val="00D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8FEE4"/>
  <w15:chartTrackingRefBased/>
  <w15:docId w15:val="{EC643ABF-E6D2-4E85-A244-B70A7290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A08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A4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Elisabeth Stöcklin</cp:lastModifiedBy>
  <cp:revision>5</cp:revision>
  <dcterms:created xsi:type="dcterms:W3CDTF">2020-12-31T10:46:00Z</dcterms:created>
  <dcterms:modified xsi:type="dcterms:W3CDTF">2021-01-13T13:13:00Z</dcterms:modified>
</cp:coreProperties>
</file>