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477A" w14:textId="77777777" w:rsidR="001D794F" w:rsidRPr="001D794F" w:rsidRDefault="001D794F" w:rsidP="001D794F">
      <w:pPr>
        <w:widowControl/>
        <w:wordWrap/>
        <w:autoSpaceDE/>
        <w:autoSpaceDN/>
        <w:jc w:val="center"/>
        <w:rPr>
          <w:rFonts w:ascii="Calibri" w:hAnsi="Calibri" w:cs="Calibri"/>
          <w:b/>
          <w:sz w:val="28"/>
        </w:rPr>
      </w:pPr>
      <w:r w:rsidRPr="001D794F">
        <w:rPr>
          <w:rFonts w:ascii="Calibri" w:hAnsi="Calibri" w:cs="Calibri" w:hint="eastAsia"/>
          <w:b/>
          <w:sz w:val="28"/>
        </w:rPr>
        <w:t>Supplementary Online Content</w:t>
      </w:r>
    </w:p>
    <w:p w14:paraId="070BE944" w14:textId="77777777" w:rsidR="001D794F" w:rsidRDefault="001D794F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</w:rPr>
      </w:pPr>
    </w:p>
    <w:p w14:paraId="6F00964A" w14:textId="30A8DF0C" w:rsidR="001D794F" w:rsidRDefault="001D794F" w:rsidP="00581483">
      <w:pPr>
        <w:tabs>
          <w:tab w:val="left" w:pos="1065"/>
        </w:tabs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b/>
          <w:sz w:val="24"/>
        </w:rPr>
        <w:t>Suppl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</w:t>
      </w:r>
      <w:r w:rsidRPr="004348FF">
        <w:rPr>
          <w:rFonts w:ascii="Calibri" w:hAnsi="Calibri" w:cs="Calibri"/>
          <w:b/>
          <w:sz w:val="24"/>
        </w:rPr>
        <w:t>Fig</w:t>
      </w:r>
      <w:r w:rsidR="00CC400C">
        <w:rPr>
          <w:rFonts w:ascii="Calibri" w:hAnsi="Calibri" w:cs="Calibri"/>
          <w:b/>
          <w:sz w:val="24"/>
        </w:rPr>
        <w:t>.</w:t>
      </w:r>
      <w:r w:rsidRPr="004348FF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1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Pr="006364A5">
        <w:rPr>
          <w:rFonts w:ascii="Calibri" w:hAnsi="Calibri" w:cs="Calibri"/>
          <w:sz w:val="24"/>
        </w:rPr>
        <w:t>Subgroup analysis to assess the risk of mild psoriasis in patients with IBD by age and sex</w:t>
      </w:r>
      <w:r w:rsidR="00DA0404">
        <w:rPr>
          <w:rFonts w:ascii="Calibri" w:hAnsi="Calibri" w:cs="Calibri"/>
          <w:sz w:val="24"/>
        </w:rPr>
        <w:t>.</w:t>
      </w:r>
    </w:p>
    <w:p w14:paraId="049284C1" w14:textId="77777777" w:rsidR="001D794F" w:rsidRDefault="001D794F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</w:rPr>
      </w:pPr>
    </w:p>
    <w:p w14:paraId="03FB9AF0" w14:textId="598194F7" w:rsidR="001D794F" w:rsidRDefault="001D794F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Suppl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Fig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2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</w:t>
      </w:r>
      <w:r w:rsidRPr="006364A5">
        <w:rPr>
          <w:rFonts w:ascii="Calibri" w:hAnsi="Calibri" w:cs="Calibri"/>
          <w:sz w:val="24"/>
        </w:rPr>
        <w:t>Subgroup analysis to assess the risk of moderate to severe psoriasis in patients with IBD by age and sex</w:t>
      </w:r>
      <w:r w:rsidR="00DA0404">
        <w:rPr>
          <w:rFonts w:ascii="Calibri" w:hAnsi="Calibri" w:cs="Calibri"/>
          <w:sz w:val="24"/>
        </w:rPr>
        <w:t>.</w:t>
      </w:r>
    </w:p>
    <w:p w14:paraId="66738CDA" w14:textId="77777777" w:rsidR="001D794F" w:rsidRDefault="001D794F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</w:rPr>
      </w:pPr>
    </w:p>
    <w:p w14:paraId="79EF72B7" w14:textId="44565E70" w:rsidR="00581483" w:rsidRDefault="00581483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Suppl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</w:t>
      </w:r>
      <w:r w:rsidR="00DA0404">
        <w:rPr>
          <w:rFonts w:ascii="Calibri" w:hAnsi="Calibri" w:cs="Calibri"/>
          <w:b/>
          <w:sz w:val="24"/>
        </w:rPr>
        <w:t>t</w:t>
      </w:r>
      <w:r>
        <w:rPr>
          <w:rFonts w:ascii="Calibri" w:hAnsi="Calibri" w:cs="Calibri"/>
          <w:b/>
          <w:sz w:val="24"/>
        </w:rPr>
        <w:t>able 1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Pr="00FA3154">
        <w:rPr>
          <w:rFonts w:ascii="Calibri" w:hAnsi="Calibri" w:cs="Calibri"/>
          <w:sz w:val="24"/>
        </w:rPr>
        <w:t xml:space="preserve">Subgroup analysis to assess the risk of psoriatic arthritis in patients with IBD by age and </w:t>
      </w:r>
      <w:proofErr w:type="gramStart"/>
      <w:r w:rsidRPr="00FA3154">
        <w:rPr>
          <w:rFonts w:ascii="Calibri" w:hAnsi="Calibri" w:cs="Calibri"/>
          <w:sz w:val="24"/>
        </w:rPr>
        <w:t>sex</w:t>
      </w:r>
      <w:proofErr w:type="gramEnd"/>
    </w:p>
    <w:p w14:paraId="7210C96B" w14:textId="77777777" w:rsidR="00581483" w:rsidRDefault="00581483" w:rsidP="00581483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</w:rPr>
      </w:pPr>
    </w:p>
    <w:p w14:paraId="090C004A" w14:textId="687FD0B4" w:rsidR="00581483" w:rsidRPr="00E72B30" w:rsidRDefault="00581483" w:rsidP="00581483">
      <w:pPr>
        <w:widowControl/>
        <w:wordWrap/>
        <w:autoSpaceDE/>
        <w:autoSpaceDN/>
        <w:spacing w:line="480" w:lineRule="auto"/>
      </w:pPr>
      <w:r w:rsidRPr="00997301">
        <w:rPr>
          <w:rFonts w:ascii="Calibri" w:hAnsi="Calibri" w:cs="Calibri"/>
          <w:b/>
          <w:sz w:val="24"/>
        </w:rPr>
        <w:t>Suppl</w:t>
      </w:r>
      <w:r w:rsidR="00CC400C">
        <w:rPr>
          <w:rFonts w:ascii="Calibri" w:hAnsi="Calibri" w:cs="Calibri"/>
          <w:b/>
          <w:sz w:val="24"/>
        </w:rPr>
        <w:t>.</w:t>
      </w:r>
      <w:r w:rsidRPr="00997301">
        <w:rPr>
          <w:rFonts w:ascii="Calibri" w:hAnsi="Calibri" w:cs="Calibri"/>
          <w:b/>
          <w:sz w:val="24"/>
        </w:rPr>
        <w:t xml:space="preserve"> </w:t>
      </w:r>
      <w:r w:rsidR="00DA0404" w:rsidRPr="00997301">
        <w:rPr>
          <w:rFonts w:ascii="Calibri" w:hAnsi="Calibri" w:cs="Calibri"/>
          <w:b/>
          <w:sz w:val="24"/>
        </w:rPr>
        <w:t>t</w:t>
      </w:r>
      <w:r w:rsidRPr="00997301">
        <w:rPr>
          <w:rFonts w:ascii="Calibri" w:hAnsi="Calibri" w:cs="Calibri"/>
          <w:b/>
          <w:sz w:val="24"/>
        </w:rPr>
        <w:t xml:space="preserve">able </w:t>
      </w:r>
      <w:r>
        <w:rPr>
          <w:rFonts w:ascii="Calibri" w:hAnsi="Calibri" w:cs="Calibri"/>
          <w:b/>
          <w:sz w:val="24"/>
        </w:rPr>
        <w:t>2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sz w:val="24"/>
        </w:rPr>
        <w:t xml:space="preserve"> S</w:t>
      </w:r>
      <w:r w:rsidRPr="00FA3154">
        <w:rPr>
          <w:rFonts w:ascii="Calibri" w:hAnsi="Calibri" w:cs="Calibri"/>
          <w:sz w:val="24"/>
        </w:rPr>
        <w:t>ubgroup analysis to assess the risk of p</w:t>
      </w:r>
      <w:r>
        <w:rPr>
          <w:rFonts w:ascii="Calibri" w:hAnsi="Calibri" w:cs="Calibri"/>
          <w:sz w:val="24"/>
        </w:rPr>
        <w:t>soriasi</w:t>
      </w:r>
      <w:r w:rsidRPr="00FA3154">
        <w:rPr>
          <w:rFonts w:ascii="Calibri" w:hAnsi="Calibri" w:cs="Calibri"/>
          <w:sz w:val="24"/>
        </w:rPr>
        <w:t xml:space="preserve">s in </w:t>
      </w:r>
      <w:r>
        <w:rPr>
          <w:rFonts w:ascii="Calibri" w:hAnsi="Calibri" w:cs="Calibri"/>
          <w:sz w:val="24"/>
        </w:rPr>
        <w:t>TNF inhibitor-naïve patients</w:t>
      </w:r>
      <w:r w:rsidRPr="00FA3154">
        <w:rPr>
          <w:rFonts w:ascii="Calibri" w:hAnsi="Calibri" w:cs="Calibri"/>
          <w:sz w:val="24"/>
        </w:rPr>
        <w:t xml:space="preserve"> with IBD by age and </w:t>
      </w:r>
      <w:proofErr w:type="gramStart"/>
      <w:r w:rsidRPr="00FA3154">
        <w:rPr>
          <w:rFonts w:ascii="Calibri" w:hAnsi="Calibri" w:cs="Calibri"/>
          <w:sz w:val="24"/>
        </w:rPr>
        <w:t>sex</w:t>
      </w:r>
      <w:proofErr w:type="gramEnd"/>
    </w:p>
    <w:p w14:paraId="2C73D872" w14:textId="77777777" w:rsidR="00581483" w:rsidRPr="00581483" w:rsidRDefault="00581483">
      <w:pPr>
        <w:widowControl/>
        <w:wordWrap/>
        <w:autoSpaceDE/>
        <w:autoSpaceDN/>
        <w:rPr>
          <w:rFonts w:ascii="Calibri" w:hAnsi="Calibri" w:cs="Calibri"/>
          <w:b/>
          <w:sz w:val="24"/>
        </w:rPr>
      </w:pPr>
    </w:p>
    <w:p w14:paraId="734364C7" w14:textId="77777777" w:rsidR="001D794F" w:rsidRDefault="001D794F">
      <w:pPr>
        <w:widowControl/>
        <w:wordWrap/>
        <w:autoSpaceDE/>
        <w:autoSpaceDN/>
        <w:rPr>
          <w:rFonts w:ascii="Calibri" w:hAnsi="Calibri" w:cs="Calibri"/>
          <w:b/>
          <w:sz w:val="24"/>
        </w:rPr>
      </w:pPr>
    </w:p>
    <w:p w14:paraId="7B7E1E8D" w14:textId="77777777" w:rsidR="001D794F" w:rsidRDefault="001D794F">
      <w:pPr>
        <w:widowControl/>
        <w:wordWrap/>
        <w:autoSpaceDE/>
        <w:autoSpaceDN/>
        <w:rPr>
          <w:rFonts w:ascii="Calibri" w:hAnsi="Calibri" w:cs="Calibri"/>
          <w:b/>
          <w:sz w:val="24"/>
        </w:rPr>
      </w:pPr>
    </w:p>
    <w:p w14:paraId="3066F598" w14:textId="77777777" w:rsidR="001D794F" w:rsidRDefault="001D794F">
      <w:pPr>
        <w:widowControl/>
        <w:wordWrap/>
        <w:autoSpaceDE/>
        <w:autoSpaceDN/>
        <w:rPr>
          <w:rFonts w:ascii="Calibri" w:hAnsi="Calibri" w:cs="Calibri"/>
          <w:b/>
          <w:sz w:val="24"/>
        </w:rPr>
        <w:sectPr w:rsidR="001D794F" w:rsidSect="001D794F">
          <w:pgSz w:w="11906" w:h="16838"/>
          <w:pgMar w:top="1701" w:right="1440" w:bottom="1440" w:left="1440" w:header="0" w:footer="170" w:gutter="0"/>
          <w:cols w:space="425"/>
          <w:docGrid w:linePitch="360"/>
        </w:sectPr>
      </w:pPr>
    </w:p>
    <w:p w14:paraId="78E8911F" w14:textId="5D37D121" w:rsidR="001D794F" w:rsidRDefault="001D794F" w:rsidP="001D794F">
      <w:pPr>
        <w:tabs>
          <w:tab w:val="left" w:pos="1065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b/>
          <w:sz w:val="24"/>
        </w:rPr>
        <w:lastRenderedPageBreak/>
        <w:t>Suppl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</w:t>
      </w:r>
      <w:r w:rsidRPr="004348FF">
        <w:rPr>
          <w:rFonts w:ascii="Calibri" w:hAnsi="Calibri" w:cs="Calibri"/>
          <w:b/>
          <w:sz w:val="24"/>
        </w:rPr>
        <w:t>Fig</w:t>
      </w:r>
      <w:r w:rsidR="00CC400C">
        <w:rPr>
          <w:rFonts w:ascii="Calibri" w:hAnsi="Calibri" w:cs="Calibri"/>
          <w:b/>
          <w:sz w:val="24"/>
        </w:rPr>
        <w:t xml:space="preserve">. </w:t>
      </w:r>
      <w:r>
        <w:rPr>
          <w:rFonts w:ascii="Calibri" w:hAnsi="Calibri" w:cs="Calibri"/>
          <w:b/>
          <w:sz w:val="24"/>
        </w:rPr>
        <w:t>1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Pr="006364A5">
        <w:rPr>
          <w:rFonts w:ascii="Calibri" w:hAnsi="Calibri" w:cs="Calibri"/>
          <w:sz w:val="24"/>
        </w:rPr>
        <w:t>Subgroup analysis to assess the risk of mild psoriasis in patients with IBD by age and sex</w:t>
      </w:r>
      <w:r w:rsidR="00CC400C">
        <w:rPr>
          <w:rFonts w:ascii="Calibri" w:hAnsi="Calibri" w:cs="Calibri"/>
          <w:sz w:val="24"/>
        </w:rPr>
        <w:t>.</w:t>
      </w:r>
    </w:p>
    <w:p w14:paraId="0D14485A" w14:textId="77777777" w:rsidR="001D794F" w:rsidRDefault="001D794F" w:rsidP="001D794F">
      <w:pPr>
        <w:pStyle w:val="KeinLeerraum"/>
      </w:pPr>
      <w:r>
        <w:rPr>
          <w:noProof/>
        </w:rPr>
        <w:drawing>
          <wp:inline distT="0" distB="0" distL="0" distR="0" wp14:anchorId="684A471C" wp14:editId="0496EC38">
            <wp:extent cx="8196580" cy="573151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igure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5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625C" w14:textId="402EC491" w:rsidR="001D794F" w:rsidRPr="001D794F" w:rsidRDefault="001D794F" w:rsidP="001D794F">
      <w:pPr>
        <w:spacing w:after="0" w:line="240" w:lineRule="auto"/>
        <w:rPr>
          <w:rFonts w:ascii="Calibri" w:hAnsi="Calibri" w:cs="Calibri"/>
          <w:sz w:val="22"/>
          <w:szCs w:val="24"/>
        </w:rPr>
      </w:pPr>
      <w:r w:rsidRPr="001D794F">
        <w:rPr>
          <w:rFonts w:ascii="Calibri" w:hAnsi="Calibri" w:cs="Calibri"/>
          <w:sz w:val="22"/>
          <w:szCs w:val="24"/>
        </w:rPr>
        <w:t>CD, Crohn</w:t>
      </w:r>
      <w:r w:rsidR="00CC400C">
        <w:rPr>
          <w:rFonts w:ascii="Calibri" w:hAnsi="Calibri" w:cs="Calibri"/>
          <w:sz w:val="22"/>
          <w:szCs w:val="24"/>
        </w:rPr>
        <w:t>’</w:t>
      </w:r>
      <w:r w:rsidRPr="001D794F">
        <w:rPr>
          <w:rFonts w:ascii="Calibri" w:hAnsi="Calibri" w:cs="Calibri"/>
          <w:sz w:val="22"/>
          <w:szCs w:val="24"/>
        </w:rPr>
        <w:t>s disease; CI, confidence interval; HR, hazard ratio; IBD, inflammatory bowel disease; UC, ulcerative colitis</w:t>
      </w:r>
      <w:r w:rsidR="00CC400C">
        <w:rPr>
          <w:rFonts w:ascii="Calibri" w:hAnsi="Calibri" w:cs="Calibri"/>
          <w:sz w:val="22"/>
          <w:szCs w:val="24"/>
        </w:rPr>
        <w:t>.</w:t>
      </w:r>
    </w:p>
    <w:p w14:paraId="4E525011" w14:textId="77777777" w:rsidR="001D794F" w:rsidRDefault="001D794F">
      <w:pPr>
        <w:widowControl/>
        <w:wordWrap/>
        <w:autoSpaceDE/>
        <w:autoSpaceDN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46D6848D" w14:textId="46F9E1D8" w:rsidR="001D794F" w:rsidRDefault="001D794F" w:rsidP="001D794F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>Suppl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Fig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2</w:t>
      </w:r>
      <w:r w:rsidR="00CC400C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</w:t>
      </w:r>
      <w:r w:rsidRPr="006364A5">
        <w:rPr>
          <w:rFonts w:ascii="Calibri" w:hAnsi="Calibri" w:cs="Calibri"/>
          <w:sz w:val="24"/>
        </w:rPr>
        <w:t>Subgroup analysis to assess the risk of moderate to severe psoriasis in patients with IBD by age and sex</w:t>
      </w:r>
      <w:r w:rsidR="00CC400C">
        <w:rPr>
          <w:rFonts w:ascii="Calibri" w:hAnsi="Calibri" w:cs="Calibri"/>
          <w:sz w:val="24"/>
        </w:rPr>
        <w:t>.</w:t>
      </w:r>
    </w:p>
    <w:p w14:paraId="2EA7F00A" w14:textId="77777777" w:rsidR="001D794F" w:rsidRDefault="001D794F" w:rsidP="001D794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CF0DB2A" wp14:editId="2F14A44A">
            <wp:extent cx="8172000" cy="5713853"/>
            <wp:effectExtent l="0" t="0" r="63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igure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00" cy="571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68CD" w14:textId="47A7A1E6" w:rsidR="001D794F" w:rsidRPr="001D794F" w:rsidRDefault="001D794F" w:rsidP="001D794F">
      <w:pPr>
        <w:spacing w:after="0" w:line="240" w:lineRule="auto"/>
        <w:rPr>
          <w:rFonts w:ascii="Calibri" w:hAnsi="Calibri" w:cs="Calibri"/>
          <w:sz w:val="22"/>
          <w:szCs w:val="24"/>
        </w:rPr>
      </w:pPr>
      <w:r w:rsidRPr="001D794F">
        <w:rPr>
          <w:rFonts w:ascii="Calibri" w:hAnsi="Calibri" w:cs="Calibri"/>
          <w:sz w:val="22"/>
          <w:szCs w:val="24"/>
        </w:rPr>
        <w:t>CD, Crohn</w:t>
      </w:r>
      <w:r w:rsidR="00CC400C">
        <w:rPr>
          <w:rFonts w:ascii="Calibri" w:hAnsi="Calibri" w:cs="Calibri"/>
          <w:sz w:val="22"/>
          <w:szCs w:val="24"/>
        </w:rPr>
        <w:t>’</w:t>
      </w:r>
      <w:r w:rsidRPr="001D794F">
        <w:rPr>
          <w:rFonts w:ascii="Calibri" w:hAnsi="Calibri" w:cs="Calibri"/>
          <w:sz w:val="22"/>
          <w:szCs w:val="24"/>
        </w:rPr>
        <w:t>s disease; CI, confidence interval; HR, hazard ratio; IBD, inflammatory bowel disease; UC, ulcerative colitis</w:t>
      </w:r>
      <w:r w:rsidR="00CC400C">
        <w:rPr>
          <w:rFonts w:ascii="Calibri" w:hAnsi="Calibri" w:cs="Calibri"/>
          <w:sz w:val="22"/>
          <w:szCs w:val="24"/>
        </w:rPr>
        <w:t>.</w:t>
      </w:r>
    </w:p>
    <w:p w14:paraId="39B17104" w14:textId="5D947408" w:rsidR="00EA4178" w:rsidRDefault="001D794F" w:rsidP="001D794F">
      <w:pPr>
        <w:widowControl/>
        <w:wordWrap/>
        <w:autoSpaceDE/>
        <w:autoSpaceDN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EA4178">
        <w:rPr>
          <w:rFonts w:ascii="Calibri" w:hAnsi="Calibri" w:cs="Calibri"/>
          <w:b/>
          <w:sz w:val="24"/>
        </w:rPr>
        <w:lastRenderedPageBreak/>
        <w:t>Suppl</w:t>
      </w:r>
      <w:r w:rsidR="00E80EB0">
        <w:rPr>
          <w:rFonts w:ascii="Calibri" w:hAnsi="Calibri" w:cs="Calibri"/>
          <w:b/>
          <w:sz w:val="24"/>
        </w:rPr>
        <w:t>.</w:t>
      </w:r>
      <w:r w:rsidR="00EA4178">
        <w:rPr>
          <w:rFonts w:ascii="Calibri" w:hAnsi="Calibri" w:cs="Calibri"/>
          <w:b/>
          <w:sz w:val="24"/>
        </w:rPr>
        <w:t xml:space="preserve"> </w:t>
      </w:r>
      <w:r w:rsidR="00E80EB0">
        <w:rPr>
          <w:rFonts w:ascii="Calibri" w:hAnsi="Calibri" w:cs="Calibri"/>
          <w:b/>
          <w:sz w:val="24"/>
        </w:rPr>
        <w:t>t</w:t>
      </w:r>
      <w:r w:rsidR="00EA4178">
        <w:rPr>
          <w:rFonts w:ascii="Calibri" w:hAnsi="Calibri" w:cs="Calibri"/>
          <w:b/>
          <w:sz w:val="24"/>
        </w:rPr>
        <w:t>able 1</w:t>
      </w:r>
      <w:r w:rsidR="00E80EB0">
        <w:rPr>
          <w:rFonts w:ascii="Calibri" w:hAnsi="Calibri" w:cs="Calibri"/>
          <w:b/>
          <w:sz w:val="24"/>
        </w:rPr>
        <w:t>.</w:t>
      </w:r>
      <w:r w:rsidR="00EA4178">
        <w:rPr>
          <w:rFonts w:ascii="Calibri" w:hAnsi="Calibri" w:cs="Calibri"/>
          <w:sz w:val="24"/>
        </w:rPr>
        <w:t xml:space="preserve"> </w:t>
      </w:r>
      <w:r w:rsidR="00EA4178" w:rsidRPr="00FA3154">
        <w:rPr>
          <w:rFonts w:ascii="Calibri" w:hAnsi="Calibri" w:cs="Calibri"/>
          <w:sz w:val="24"/>
        </w:rPr>
        <w:t xml:space="preserve">Subgroup analysis to assess the risk of psoriatic arthritis in patients with IBD by age and </w:t>
      </w:r>
      <w:proofErr w:type="gramStart"/>
      <w:r w:rsidR="00EA4178" w:rsidRPr="00FA3154">
        <w:rPr>
          <w:rFonts w:ascii="Calibri" w:hAnsi="Calibri" w:cs="Calibri"/>
          <w:sz w:val="24"/>
        </w:rPr>
        <w:t>sex</w:t>
      </w:r>
      <w:proofErr w:type="gramEnd"/>
    </w:p>
    <w:tbl>
      <w:tblPr>
        <w:tblStyle w:val="EinfacheTabelle4"/>
        <w:tblW w:w="0" w:type="auto"/>
        <w:tblLook w:val="06A0" w:firstRow="1" w:lastRow="0" w:firstColumn="1" w:lastColumn="0" w:noHBand="1" w:noVBand="1"/>
      </w:tblPr>
      <w:tblGrid>
        <w:gridCol w:w="1814"/>
        <w:gridCol w:w="1574"/>
        <w:gridCol w:w="1574"/>
        <w:gridCol w:w="1275"/>
        <w:gridCol w:w="1985"/>
        <w:gridCol w:w="1134"/>
      </w:tblGrid>
      <w:tr w:rsidR="00EA4178" w:rsidRPr="00736747" w14:paraId="5CB12711" w14:textId="77777777" w:rsidTr="007D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 w:val="restart"/>
            <w:tcBorders>
              <w:top w:val="single" w:sz="12" w:space="0" w:color="auto"/>
            </w:tcBorders>
            <w:vAlign w:val="center"/>
          </w:tcPr>
          <w:p w14:paraId="674979B2" w14:textId="77777777" w:rsidR="00EA4178" w:rsidRPr="00F9768A" w:rsidRDefault="00EA4178" w:rsidP="007D137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  <w:p w14:paraId="08CE9A4D" w14:textId="77777777" w:rsidR="00EA4178" w:rsidRPr="00F9768A" w:rsidRDefault="00EA4178" w:rsidP="007D137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024061" w14:textId="4637091C" w:rsidR="00EA4178" w:rsidRPr="00F9768A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Incident rate (per 10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  <w:vertAlign w:val="superscript"/>
              </w:rPr>
              <w:t>6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 xml:space="preserve"> person-year</w:t>
            </w:r>
            <w:r w:rsidR="00E80EB0">
              <w:rPr>
                <w:rFonts w:ascii="Calibri" w:eastAsia="Malgun Gothic" w:hAnsi="Calibri" w:cs="Calibri"/>
                <w:color w:val="000000"/>
                <w:szCs w:val="20"/>
              </w:rPr>
              <w:t>s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)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 xml:space="preserve"> of psoriatic arthritis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66CC338" w14:textId="77777777" w:rsidR="00EA4178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Absolute</w:t>
            </w:r>
          </w:p>
          <w:p w14:paraId="758A3074" w14:textId="77777777" w:rsidR="00EA4178" w:rsidRPr="00F9768A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difference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171CEAC" w14:textId="77777777" w:rsidR="00EA4178" w:rsidRPr="00F9768A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Adjusted HR (95% CI)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6127221" w14:textId="6E0B6538" w:rsidR="00EA4178" w:rsidRPr="00F9768A" w:rsidRDefault="00E80EB0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E80EB0">
              <w:rPr>
                <w:rFonts w:ascii="Calibri" w:eastAsia="Malgun Gothic" w:hAnsi="Calibri" w:cs="Calibri"/>
                <w:i/>
                <w:color w:val="000000"/>
                <w:szCs w:val="20"/>
              </w:rPr>
              <w:t>p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 xml:space="preserve"> </w:t>
            </w:r>
            <w:r w:rsidR="00EA4178" w:rsidRPr="00F9768A">
              <w:rPr>
                <w:rFonts w:ascii="Calibri" w:eastAsia="Malgun Gothic" w:hAnsi="Calibri" w:cs="Calibri"/>
                <w:color w:val="000000"/>
                <w:szCs w:val="20"/>
              </w:rPr>
              <w:t>value</w:t>
            </w:r>
          </w:p>
        </w:tc>
      </w:tr>
      <w:tr w:rsidR="00EA4178" w:rsidRPr="00736747" w14:paraId="3F05F1F2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/>
            <w:tcBorders>
              <w:bottom w:val="single" w:sz="12" w:space="0" w:color="auto"/>
            </w:tcBorders>
          </w:tcPr>
          <w:p w14:paraId="1334912B" w14:textId="77777777" w:rsidR="00EA4178" w:rsidRPr="00F9768A" w:rsidRDefault="00EA4178" w:rsidP="007D137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</w:tcPr>
          <w:p w14:paraId="62B1D7DD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b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b/>
                <w:color w:val="000000"/>
                <w:szCs w:val="20"/>
              </w:rPr>
              <w:t>IBD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</w:tcPr>
          <w:p w14:paraId="5BB330CB" w14:textId="2547552A" w:rsidR="00EA4178" w:rsidRPr="00F9768A" w:rsidRDefault="00E80EB0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b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b/>
                <w:color w:val="000000"/>
                <w:szCs w:val="20"/>
              </w:rPr>
              <w:t>c</w:t>
            </w:r>
            <w:r w:rsidR="00EA4178" w:rsidRPr="00F9768A">
              <w:rPr>
                <w:rFonts w:ascii="Calibri" w:eastAsia="Malgun Gothic" w:hAnsi="Calibri" w:cs="Calibri"/>
                <w:b/>
                <w:color w:val="000000"/>
                <w:szCs w:val="20"/>
              </w:rPr>
              <w:t>ontrol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0463D11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0458FDB5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509AB85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7AD92A80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621FA894" w14:textId="77777777" w:rsidR="00EA4178" w:rsidRPr="00E80EB0" w:rsidRDefault="00EA4178" w:rsidP="007D137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E80EB0">
              <w:rPr>
                <w:rFonts w:ascii="Calibri" w:hAnsi="Calibri" w:cs="Calibri"/>
                <w:szCs w:val="20"/>
              </w:rPr>
              <w:t>IBD</w:t>
            </w: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7393238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6EC71C9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7A0437D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A49F7A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2AE114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</w:tr>
      <w:tr w:rsidR="00EA4178" w:rsidRPr="00736747" w14:paraId="5CEBC356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4077AB" w14:textId="6D7A1225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</w:tcPr>
          <w:p w14:paraId="5C3BCF0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</w:tcPr>
          <w:p w14:paraId="7D82661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</w:tcPr>
          <w:p w14:paraId="0E9411D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</w:tcPr>
          <w:p w14:paraId="617D6502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14:paraId="2298D9E4" w14:textId="77777777" w:rsidR="00EA4178" w:rsidRPr="00F9768A" w:rsidRDefault="00EA4178" w:rsidP="007D137A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07FBEC3E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BB1AD55" w14:textId="71A9F639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4A536FB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2.15</w:t>
            </w:r>
          </w:p>
        </w:tc>
        <w:tc>
          <w:tcPr>
            <w:tcW w:w="1574" w:type="dxa"/>
          </w:tcPr>
          <w:p w14:paraId="7DF1B78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0.53</w:t>
            </w:r>
          </w:p>
        </w:tc>
        <w:tc>
          <w:tcPr>
            <w:tcW w:w="1275" w:type="dxa"/>
          </w:tcPr>
          <w:p w14:paraId="3D1A1C5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1.62</w:t>
            </w:r>
          </w:p>
        </w:tc>
        <w:tc>
          <w:tcPr>
            <w:tcW w:w="1985" w:type="dxa"/>
          </w:tcPr>
          <w:p w14:paraId="2DBE2A45" w14:textId="311B7FED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4.06 (0.25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64.96)</w:t>
            </w:r>
          </w:p>
        </w:tc>
        <w:tc>
          <w:tcPr>
            <w:tcW w:w="1134" w:type="dxa"/>
          </w:tcPr>
          <w:p w14:paraId="73686BC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0.3215</w:t>
            </w:r>
          </w:p>
        </w:tc>
      </w:tr>
      <w:tr w:rsidR="00EA4178" w:rsidRPr="00736747" w14:paraId="1EF241B2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6A2C17D" w14:textId="7E36FB82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E80EB0">
              <w:rPr>
                <w:rFonts w:ascii="Calibri" w:hAnsi="Calibri" w:cs="Calibri"/>
                <w:b w:val="0"/>
                <w:szCs w:val="20"/>
              </w:rPr>
              <w:t>–</w:t>
            </w:r>
            <w:r w:rsidRPr="00F9768A">
              <w:rPr>
                <w:rFonts w:ascii="Calibri" w:hAnsi="Calibri" w:cs="Calibri"/>
                <w:b w:val="0"/>
                <w:szCs w:val="20"/>
              </w:rPr>
              <w:t>49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0CE5D6BE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10.38</w:t>
            </w:r>
          </w:p>
        </w:tc>
        <w:tc>
          <w:tcPr>
            <w:tcW w:w="1574" w:type="dxa"/>
          </w:tcPr>
          <w:p w14:paraId="686BF3F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4.16</w:t>
            </w:r>
          </w:p>
        </w:tc>
        <w:tc>
          <w:tcPr>
            <w:tcW w:w="1275" w:type="dxa"/>
          </w:tcPr>
          <w:p w14:paraId="107A31E1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6.22</w:t>
            </w:r>
          </w:p>
        </w:tc>
        <w:tc>
          <w:tcPr>
            <w:tcW w:w="1985" w:type="dxa"/>
          </w:tcPr>
          <w:p w14:paraId="3AD84999" w14:textId="443DFC21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2.50 (1.04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6.02)</w:t>
            </w:r>
          </w:p>
        </w:tc>
        <w:tc>
          <w:tcPr>
            <w:tcW w:w="1134" w:type="dxa"/>
          </w:tcPr>
          <w:p w14:paraId="168C49A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0.0417</w:t>
            </w:r>
          </w:p>
        </w:tc>
      </w:tr>
      <w:tr w:rsidR="00EA4178" w:rsidRPr="00736747" w14:paraId="23795E3C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ECEFBB7" w14:textId="44D7186A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F9768A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F9768A">
              <w:rPr>
                <w:rFonts w:ascii="Calibri" w:hAnsi="Calibri" w:cs="Calibri"/>
                <w:b w:val="0"/>
                <w:szCs w:val="20"/>
              </w:rPr>
              <w:t>50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59B823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47.76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9DF063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13.08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FE599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34.67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038D1" w14:textId="70739213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3.65 (2.31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5.76)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509BE5" w14:textId="46A0F702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&lt;</w:t>
            </w:r>
            <w:r w:rsidR="0076693F">
              <w:rPr>
                <w:rFonts w:ascii="Calibri" w:hAnsi="Calibri" w:cs="Calibri"/>
                <w:szCs w:val="20"/>
              </w:rPr>
              <w:t>0</w:t>
            </w:r>
            <w:r w:rsidRPr="00F9768A">
              <w:rPr>
                <w:rFonts w:ascii="Calibri" w:hAnsi="Calibri" w:cs="Calibri"/>
                <w:szCs w:val="20"/>
              </w:rPr>
              <w:t>.0001</w:t>
            </w:r>
          </w:p>
        </w:tc>
      </w:tr>
      <w:tr w:rsidR="00EA4178" w:rsidRPr="00736747" w14:paraId="385C3BEA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220E690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Sex 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4339CFB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1BE2A28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0822055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1F506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5CF62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05B100DF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57362B0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</w:tcPr>
          <w:p w14:paraId="769DDC3E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10.64</w:t>
            </w:r>
          </w:p>
        </w:tc>
        <w:tc>
          <w:tcPr>
            <w:tcW w:w="1574" w:type="dxa"/>
          </w:tcPr>
          <w:p w14:paraId="21171C5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4.58</w:t>
            </w:r>
          </w:p>
        </w:tc>
        <w:tc>
          <w:tcPr>
            <w:tcW w:w="1275" w:type="dxa"/>
          </w:tcPr>
          <w:p w14:paraId="0EA77CD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6.06</w:t>
            </w:r>
          </w:p>
        </w:tc>
        <w:tc>
          <w:tcPr>
            <w:tcW w:w="1985" w:type="dxa"/>
          </w:tcPr>
          <w:p w14:paraId="4A6D1D45" w14:textId="5199A248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2.32 (1.14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4.72)</w:t>
            </w:r>
          </w:p>
        </w:tc>
        <w:tc>
          <w:tcPr>
            <w:tcW w:w="1134" w:type="dxa"/>
          </w:tcPr>
          <w:p w14:paraId="5708BFC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0.0199</w:t>
            </w:r>
          </w:p>
        </w:tc>
      </w:tr>
      <w:tr w:rsidR="00EA4178" w:rsidRPr="00736747" w14:paraId="3DE77281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727B0F80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760E8CF2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38.05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27420C0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9.37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BD4934E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28.68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523EF9B" w14:textId="52C4FF55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4.06 (2.49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6.63)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EABBFBD" w14:textId="2830DF18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&lt;</w:t>
            </w:r>
            <w:r w:rsidR="0076693F">
              <w:rPr>
                <w:rFonts w:ascii="Calibri" w:hAnsi="Calibri" w:cs="Calibri"/>
                <w:szCs w:val="20"/>
              </w:rPr>
              <w:t>0</w:t>
            </w:r>
            <w:r w:rsidRPr="00F9768A">
              <w:rPr>
                <w:rFonts w:ascii="Calibri" w:hAnsi="Calibri" w:cs="Calibri"/>
                <w:szCs w:val="20"/>
              </w:rPr>
              <w:t>.0001</w:t>
            </w:r>
          </w:p>
        </w:tc>
      </w:tr>
      <w:tr w:rsidR="00EA4178" w:rsidRPr="00736747" w14:paraId="37C99846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73208538" w14:textId="77777777" w:rsidR="00EA4178" w:rsidRPr="00E80EB0" w:rsidRDefault="00EA4178" w:rsidP="007D137A">
            <w:pPr>
              <w:spacing w:line="276" w:lineRule="auto"/>
              <w:rPr>
                <w:rFonts w:ascii="Calibri" w:hAnsi="Calibri" w:cs="Calibri"/>
                <w:bCs w:val="0"/>
                <w:szCs w:val="20"/>
              </w:rPr>
            </w:pPr>
            <w:r w:rsidRPr="00E80EB0">
              <w:rPr>
                <w:rFonts w:ascii="Calibri" w:hAnsi="Calibri" w:cs="Calibri"/>
                <w:szCs w:val="20"/>
              </w:rPr>
              <w:t>UC</w:t>
            </w: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41A3A4B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3DF1CAC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FFD2222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D137D7F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C2307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</w:tr>
      <w:tr w:rsidR="00EA4178" w:rsidRPr="00736747" w14:paraId="403F676C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BE38FDE" w14:textId="134E3F14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</w:tcPr>
          <w:p w14:paraId="74131AB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</w:tcPr>
          <w:p w14:paraId="1BF44A2D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</w:tcPr>
          <w:p w14:paraId="05CE71A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</w:tcPr>
          <w:p w14:paraId="5BEAA3D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</w:tcPr>
          <w:p w14:paraId="539CC50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007E299C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B6F77D2" w14:textId="3BCB2FB1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5E54881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4.24</w:t>
            </w:r>
          </w:p>
        </w:tc>
        <w:tc>
          <w:tcPr>
            <w:tcW w:w="1574" w:type="dxa"/>
          </w:tcPr>
          <w:p w14:paraId="6BF6655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1.04</w:t>
            </w:r>
          </w:p>
        </w:tc>
        <w:tc>
          <w:tcPr>
            <w:tcW w:w="1275" w:type="dxa"/>
          </w:tcPr>
          <w:p w14:paraId="669A021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3.20</w:t>
            </w:r>
          </w:p>
        </w:tc>
        <w:tc>
          <w:tcPr>
            <w:tcW w:w="1985" w:type="dxa"/>
          </w:tcPr>
          <w:p w14:paraId="3D4FC7CF" w14:textId="6DFA75C3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4.07 (0.25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64.99)</w:t>
            </w:r>
          </w:p>
        </w:tc>
        <w:tc>
          <w:tcPr>
            <w:tcW w:w="1134" w:type="dxa"/>
          </w:tcPr>
          <w:p w14:paraId="38B12FA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0.3213</w:t>
            </w:r>
          </w:p>
        </w:tc>
      </w:tr>
      <w:tr w:rsidR="00EA4178" w:rsidRPr="00736747" w14:paraId="517F64BF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30EF687" w14:textId="340E0FF1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E80EB0">
              <w:rPr>
                <w:rFonts w:ascii="Calibri" w:hAnsi="Calibri" w:cs="Calibri"/>
                <w:b w:val="0"/>
                <w:szCs w:val="20"/>
              </w:rPr>
              <w:t>–</w:t>
            </w:r>
            <w:r w:rsidRPr="00F9768A">
              <w:rPr>
                <w:rFonts w:ascii="Calibri" w:hAnsi="Calibri" w:cs="Calibri"/>
                <w:b w:val="0"/>
                <w:szCs w:val="20"/>
              </w:rPr>
              <w:t>49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70145D0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11.94</w:t>
            </w:r>
          </w:p>
        </w:tc>
        <w:tc>
          <w:tcPr>
            <w:tcW w:w="1574" w:type="dxa"/>
          </w:tcPr>
          <w:p w14:paraId="5840CB0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5.04</w:t>
            </w:r>
          </w:p>
        </w:tc>
        <w:tc>
          <w:tcPr>
            <w:tcW w:w="1275" w:type="dxa"/>
          </w:tcPr>
          <w:p w14:paraId="48B9F781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6.89</w:t>
            </w:r>
          </w:p>
        </w:tc>
        <w:tc>
          <w:tcPr>
            <w:tcW w:w="1985" w:type="dxa"/>
          </w:tcPr>
          <w:p w14:paraId="2158E489" w14:textId="4A273239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2.37 (0.93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6.01)</w:t>
            </w:r>
          </w:p>
        </w:tc>
        <w:tc>
          <w:tcPr>
            <w:tcW w:w="1134" w:type="dxa"/>
          </w:tcPr>
          <w:p w14:paraId="6A4418F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0.0701</w:t>
            </w:r>
          </w:p>
        </w:tc>
      </w:tr>
      <w:tr w:rsidR="00EA4178" w:rsidRPr="00736747" w14:paraId="7CC934E9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F48CE21" w14:textId="29E480A6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F9768A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F9768A">
              <w:rPr>
                <w:rFonts w:ascii="Calibri" w:hAnsi="Calibri" w:cs="Calibri"/>
                <w:b w:val="0"/>
                <w:szCs w:val="20"/>
              </w:rPr>
              <w:t>50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7187A31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47.80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1114781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13.38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0502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34.42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204979" w14:textId="175AEC6B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3.57 (2.17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5.88)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FAE93" w14:textId="162C901A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&lt;</w:t>
            </w:r>
            <w:r w:rsidR="0076693F">
              <w:rPr>
                <w:rFonts w:ascii="Calibri" w:hAnsi="Calibri" w:cs="Calibri"/>
                <w:szCs w:val="20"/>
              </w:rPr>
              <w:t>0</w:t>
            </w:r>
            <w:r w:rsidRPr="00F9768A">
              <w:rPr>
                <w:rFonts w:ascii="Calibri" w:hAnsi="Calibri" w:cs="Calibri"/>
                <w:szCs w:val="20"/>
              </w:rPr>
              <w:t>.0001</w:t>
            </w:r>
          </w:p>
        </w:tc>
      </w:tr>
      <w:tr w:rsidR="00EA4178" w:rsidRPr="00736747" w14:paraId="5EA73ADA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DFFC3FB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>Sex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680E5F6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0A6EEFDA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F4343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8420C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E9993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6EE3C097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089AAAA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</w:tcPr>
          <w:p w14:paraId="4C65240F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11.50</w:t>
            </w:r>
          </w:p>
        </w:tc>
        <w:tc>
          <w:tcPr>
            <w:tcW w:w="1574" w:type="dxa"/>
          </w:tcPr>
          <w:p w14:paraId="5F25274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5.66</w:t>
            </w:r>
          </w:p>
        </w:tc>
        <w:tc>
          <w:tcPr>
            <w:tcW w:w="1275" w:type="dxa"/>
          </w:tcPr>
          <w:p w14:paraId="2F614BE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5.84</w:t>
            </w:r>
          </w:p>
        </w:tc>
        <w:tc>
          <w:tcPr>
            <w:tcW w:w="1985" w:type="dxa"/>
          </w:tcPr>
          <w:p w14:paraId="42A9A6B9" w14:textId="63D90E54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2.03 (0.91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4.52)</w:t>
            </w:r>
          </w:p>
        </w:tc>
        <w:tc>
          <w:tcPr>
            <w:tcW w:w="1134" w:type="dxa"/>
          </w:tcPr>
          <w:p w14:paraId="016DDDD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0.0828</w:t>
            </w:r>
          </w:p>
        </w:tc>
      </w:tr>
      <w:tr w:rsidR="00EA4178" w:rsidRPr="00736747" w14:paraId="311D1342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32605200" w14:textId="266884D8" w:rsidR="00EA4178" w:rsidRPr="00F9768A" w:rsidRDefault="00EA4178" w:rsidP="007D13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F9768A">
              <w:rPr>
                <w:rFonts w:ascii="Calibri" w:hAnsi="Calibri" w:cs="Calibri"/>
                <w:b w:val="0"/>
                <w:szCs w:val="20"/>
              </w:rPr>
              <w:t>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343693A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43.34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2CCB5CB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10.67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0B0934D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32.67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10FBB00" w14:textId="52E209E6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4.06 (2.41</w:t>
            </w:r>
            <w:r w:rsidR="0076693F">
              <w:rPr>
                <w:rFonts w:ascii="Calibri" w:hAnsi="Calibri" w:cs="Calibri"/>
                <w:szCs w:val="20"/>
              </w:rPr>
              <w:t>–</w:t>
            </w:r>
            <w:r w:rsidRPr="00F9768A">
              <w:rPr>
                <w:rFonts w:ascii="Calibri" w:hAnsi="Calibri" w:cs="Calibri"/>
                <w:szCs w:val="20"/>
              </w:rPr>
              <w:t>6.86)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385DA86" w14:textId="44A2A455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  <w:r w:rsidRPr="00F9768A">
              <w:rPr>
                <w:rFonts w:ascii="Calibri" w:hAnsi="Calibri" w:cs="Calibri"/>
                <w:szCs w:val="20"/>
              </w:rPr>
              <w:t>&lt;</w:t>
            </w:r>
            <w:r w:rsidR="0076693F">
              <w:rPr>
                <w:rFonts w:ascii="Calibri" w:hAnsi="Calibri" w:cs="Calibri"/>
                <w:szCs w:val="20"/>
              </w:rPr>
              <w:t>0</w:t>
            </w:r>
            <w:r w:rsidRPr="00F9768A">
              <w:rPr>
                <w:rFonts w:ascii="Calibri" w:hAnsi="Calibri" w:cs="Calibri"/>
                <w:szCs w:val="20"/>
              </w:rPr>
              <w:t>.0001</w:t>
            </w:r>
          </w:p>
        </w:tc>
      </w:tr>
      <w:tr w:rsidR="00EA4178" w:rsidRPr="00736747" w14:paraId="080653EE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437896E1" w14:textId="77777777" w:rsidR="00EA4178" w:rsidRPr="00E80EB0" w:rsidRDefault="00EA4178" w:rsidP="007D137A">
            <w:pPr>
              <w:spacing w:line="276" w:lineRule="auto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E80EB0">
              <w:rPr>
                <w:rFonts w:ascii="Calibri" w:eastAsia="Malgun Gothic" w:hAnsi="Calibri" w:cs="Calibri"/>
                <w:color w:val="000000"/>
                <w:szCs w:val="20"/>
              </w:rPr>
              <w:t>CD</w:t>
            </w: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04410FA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4F02524F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71C75F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9E679B2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9D769E5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06F72D96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5CE8DDA" w14:textId="4102583E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</w:tcPr>
          <w:p w14:paraId="1024CD7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</w:tcPr>
          <w:p w14:paraId="6EEB565F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</w:tcPr>
          <w:p w14:paraId="555D7C4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</w:tcPr>
          <w:p w14:paraId="7E75ED6F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14:paraId="0D22B14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1673FBE0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39C8997" w14:textId="7B4C5772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3757453D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0.00</w:t>
            </w:r>
          </w:p>
        </w:tc>
        <w:tc>
          <w:tcPr>
            <w:tcW w:w="1574" w:type="dxa"/>
          </w:tcPr>
          <w:p w14:paraId="2A0817C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0.00</w:t>
            </w:r>
          </w:p>
        </w:tc>
        <w:tc>
          <w:tcPr>
            <w:tcW w:w="1275" w:type="dxa"/>
          </w:tcPr>
          <w:p w14:paraId="1384958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0.00</w:t>
            </w:r>
          </w:p>
        </w:tc>
        <w:tc>
          <w:tcPr>
            <w:tcW w:w="1985" w:type="dxa"/>
          </w:tcPr>
          <w:p w14:paraId="6069B91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</w:t>
            </w:r>
          </w:p>
        </w:tc>
        <w:tc>
          <w:tcPr>
            <w:tcW w:w="1134" w:type="dxa"/>
          </w:tcPr>
          <w:p w14:paraId="52EE2E53" w14:textId="7ECC8856" w:rsidR="00EA4178" w:rsidRPr="00F9768A" w:rsidRDefault="0076693F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proofErr w:type="spellStart"/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n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>.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a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>.</w:t>
            </w:r>
            <w:proofErr w:type="spellEnd"/>
          </w:p>
        </w:tc>
      </w:tr>
      <w:tr w:rsidR="00EA4178" w:rsidRPr="00736747" w14:paraId="17572E37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A926C0E" w14:textId="32C1B522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E80EB0">
              <w:rPr>
                <w:rFonts w:ascii="Calibri" w:hAnsi="Calibri" w:cs="Calibri"/>
                <w:b w:val="0"/>
                <w:szCs w:val="20"/>
              </w:rPr>
              <w:t>–</w:t>
            </w:r>
            <w:r w:rsidRPr="00F9768A">
              <w:rPr>
                <w:rFonts w:ascii="Calibri" w:hAnsi="Calibri" w:cs="Calibri"/>
                <w:b w:val="0"/>
                <w:szCs w:val="20"/>
              </w:rPr>
              <w:t>49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5E485151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5.43</w:t>
            </w:r>
          </w:p>
        </w:tc>
        <w:tc>
          <w:tcPr>
            <w:tcW w:w="1574" w:type="dxa"/>
          </w:tcPr>
          <w:p w14:paraId="1764709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1.34</w:t>
            </w:r>
          </w:p>
        </w:tc>
        <w:tc>
          <w:tcPr>
            <w:tcW w:w="1275" w:type="dxa"/>
          </w:tcPr>
          <w:p w14:paraId="033EF984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4.09</w:t>
            </w:r>
          </w:p>
        </w:tc>
        <w:tc>
          <w:tcPr>
            <w:tcW w:w="1985" w:type="dxa"/>
          </w:tcPr>
          <w:p w14:paraId="21F6EF15" w14:textId="100922D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4.06 (0.25</w:t>
            </w:r>
            <w:r w:rsidR="0076693F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64.91)</w:t>
            </w:r>
          </w:p>
        </w:tc>
        <w:tc>
          <w:tcPr>
            <w:tcW w:w="1134" w:type="dxa"/>
          </w:tcPr>
          <w:p w14:paraId="193EBFF7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0.3218</w:t>
            </w:r>
          </w:p>
        </w:tc>
      </w:tr>
      <w:tr w:rsidR="00EA4178" w:rsidRPr="00736747" w14:paraId="0607E919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694B266" w14:textId="54FE0183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F9768A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F9768A">
              <w:rPr>
                <w:rFonts w:ascii="Calibri" w:hAnsi="Calibri" w:cs="Calibri"/>
                <w:b w:val="0"/>
                <w:szCs w:val="20"/>
              </w:rPr>
              <w:t>50</w:t>
            </w:r>
            <w:r w:rsidR="00E80EB0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</w:tcPr>
          <w:p w14:paraId="118CB24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47.55</w:t>
            </w:r>
          </w:p>
        </w:tc>
        <w:tc>
          <w:tcPr>
            <w:tcW w:w="1574" w:type="dxa"/>
          </w:tcPr>
          <w:p w14:paraId="5DA0CCC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11.65</w:t>
            </w:r>
          </w:p>
        </w:tc>
        <w:tc>
          <w:tcPr>
            <w:tcW w:w="1275" w:type="dxa"/>
          </w:tcPr>
          <w:p w14:paraId="7CDCA67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35.90</w:t>
            </w:r>
          </w:p>
        </w:tc>
        <w:tc>
          <w:tcPr>
            <w:tcW w:w="1985" w:type="dxa"/>
          </w:tcPr>
          <w:p w14:paraId="37EBEC17" w14:textId="5B9034C9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4.08 (1.32</w:t>
            </w:r>
            <w:r w:rsidR="0076693F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12.65)</w:t>
            </w:r>
          </w:p>
        </w:tc>
        <w:tc>
          <w:tcPr>
            <w:tcW w:w="1134" w:type="dxa"/>
          </w:tcPr>
          <w:p w14:paraId="70CD10B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0.0149</w:t>
            </w:r>
          </w:p>
        </w:tc>
      </w:tr>
      <w:tr w:rsidR="00EA4178" w:rsidRPr="00736747" w14:paraId="0875F358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860DAA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>Sex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9C72BB1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8E405BB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BCCE5E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5DAA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E2A8E3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126A6C95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0053995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537ECEF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8.68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42D6984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2.13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9D68C9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6.55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AC9C44E" w14:textId="525B846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4.07 (0.82</w:t>
            </w:r>
            <w:r w:rsidR="0076693F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20.17)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7CC3A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0.0856</w:t>
            </w:r>
          </w:p>
        </w:tc>
      </w:tr>
      <w:tr w:rsidR="00EA4178" w:rsidRPr="00736747" w14:paraId="2916DDF8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17D4493A" w14:textId="77777777" w:rsidR="00EA4178" w:rsidRPr="00F9768A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F9768A">
              <w:rPr>
                <w:rFonts w:ascii="Calibri" w:hAnsi="Calibri" w:cs="Calibri"/>
                <w:b w:val="0"/>
                <w:szCs w:val="20"/>
              </w:rPr>
              <w:t xml:space="preserve">  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4609F948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20.53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07AD1660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5.06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64024D6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15.47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5D1F5EB" w14:textId="60E8D776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4.06 (1.01</w:t>
            </w:r>
            <w:r w:rsidR="0076693F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16.22)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D3F97C" w14:textId="77777777" w:rsidR="00EA4178" w:rsidRPr="00F9768A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9768A">
              <w:rPr>
                <w:rFonts w:ascii="Calibri" w:eastAsia="Malgun Gothic" w:hAnsi="Calibri" w:cs="Calibri"/>
                <w:color w:val="000000"/>
                <w:szCs w:val="20"/>
              </w:rPr>
              <w:t>0.0477</w:t>
            </w:r>
          </w:p>
        </w:tc>
      </w:tr>
    </w:tbl>
    <w:p w14:paraId="6D4E375A" w14:textId="25CF46FE" w:rsidR="00EA4178" w:rsidRPr="00E72B30" w:rsidRDefault="00EA4178" w:rsidP="00EA4178">
      <w:pPr>
        <w:widowControl/>
        <w:wordWrap/>
        <w:autoSpaceDE/>
        <w:autoSpaceDN/>
      </w:pPr>
      <w:r>
        <w:rPr>
          <w:rFonts w:ascii="Calibri" w:hAnsi="Calibri" w:cs="Calibri"/>
          <w:b/>
          <w:sz w:val="24"/>
        </w:rPr>
        <w:br w:type="page"/>
      </w:r>
      <w:r w:rsidRPr="00997301">
        <w:rPr>
          <w:rFonts w:ascii="Calibri" w:hAnsi="Calibri" w:cs="Calibri"/>
          <w:b/>
          <w:sz w:val="24"/>
        </w:rPr>
        <w:lastRenderedPageBreak/>
        <w:t>Suppl</w:t>
      </w:r>
      <w:r w:rsidR="002D746C">
        <w:rPr>
          <w:rFonts w:ascii="Calibri" w:hAnsi="Calibri" w:cs="Calibri"/>
          <w:b/>
          <w:sz w:val="24"/>
        </w:rPr>
        <w:t>.</w:t>
      </w:r>
      <w:r w:rsidRPr="00997301">
        <w:rPr>
          <w:rFonts w:ascii="Calibri" w:hAnsi="Calibri" w:cs="Calibri"/>
          <w:b/>
          <w:sz w:val="24"/>
        </w:rPr>
        <w:t xml:space="preserve"> </w:t>
      </w:r>
      <w:r w:rsidR="002D746C" w:rsidRPr="00997301">
        <w:rPr>
          <w:rFonts w:ascii="Calibri" w:hAnsi="Calibri" w:cs="Calibri"/>
          <w:b/>
          <w:sz w:val="24"/>
        </w:rPr>
        <w:t>t</w:t>
      </w:r>
      <w:r w:rsidRPr="00997301">
        <w:rPr>
          <w:rFonts w:ascii="Calibri" w:hAnsi="Calibri" w:cs="Calibri"/>
          <w:b/>
          <w:sz w:val="24"/>
        </w:rPr>
        <w:t xml:space="preserve">able </w:t>
      </w:r>
      <w:r>
        <w:rPr>
          <w:rFonts w:ascii="Calibri" w:hAnsi="Calibri" w:cs="Calibri"/>
          <w:b/>
          <w:sz w:val="24"/>
        </w:rPr>
        <w:t>2</w:t>
      </w:r>
      <w:r>
        <w:rPr>
          <w:rFonts w:ascii="Calibri" w:hAnsi="Calibri" w:cs="Calibri"/>
          <w:sz w:val="24"/>
        </w:rPr>
        <w:t xml:space="preserve"> S</w:t>
      </w:r>
      <w:r w:rsidRPr="00FA3154">
        <w:rPr>
          <w:rFonts w:ascii="Calibri" w:hAnsi="Calibri" w:cs="Calibri"/>
          <w:sz w:val="24"/>
        </w:rPr>
        <w:t>ubgroup analysis to assess the risk of p</w:t>
      </w:r>
      <w:r>
        <w:rPr>
          <w:rFonts w:ascii="Calibri" w:hAnsi="Calibri" w:cs="Calibri"/>
          <w:sz w:val="24"/>
        </w:rPr>
        <w:t>soriasi</w:t>
      </w:r>
      <w:r w:rsidRPr="00FA3154">
        <w:rPr>
          <w:rFonts w:ascii="Calibri" w:hAnsi="Calibri" w:cs="Calibri"/>
          <w:sz w:val="24"/>
        </w:rPr>
        <w:t xml:space="preserve">s in </w:t>
      </w:r>
      <w:r>
        <w:rPr>
          <w:rFonts w:ascii="Calibri" w:hAnsi="Calibri" w:cs="Calibri"/>
          <w:sz w:val="24"/>
        </w:rPr>
        <w:t>TNF inhibitor-naïve patients</w:t>
      </w:r>
      <w:r w:rsidRPr="00FA3154">
        <w:rPr>
          <w:rFonts w:ascii="Calibri" w:hAnsi="Calibri" w:cs="Calibri"/>
          <w:sz w:val="24"/>
        </w:rPr>
        <w:t xml:space="preserve"> with IBD by age and </w:t>
      </w:r>
      <w:proofErr w:type="gramStart"/>
      <w:r w:rsidRPr="00FA3154">
        <w:rPr>
          <w:rFonts w:ascii="Calibri" w:hAnsi="Calibri" w:cs="Calibri"/>
          <w:sz w:val="24"/>
        </w:rPr>
        <w:t>sex</w:t>
      </w:r>
      <w:proofErr w:type="gramEnd"/>
    </w:p>
    <w:tbl>
      <w:tblPr>
        <w:tblStyle w:val="41"/>
        <w:tblW w:w="0" w:type="auto"/>
        <w:tblLook w:val="06A0" w:firstRow="1" w:lastRow="0" w:firstColumn="1" w:lastColumn="0" w:noHBand="1" w:noVBand="1"/>
      </w:tblPr>
      <w:tblGrid>
        <w:gridCol w:w="1814"/>
        <w:gridCol w:w="1574"/>
        <w:gridCol w:w="1574"/>
        <w:gridCol w:w="1275"/>
        <w:gridCol w:w="1985"/>
        <w:gridCol w:w="1134"/>
      </w:tblGrid>
      <w:tr w:rsidR="00EA4178" w:rsidRPr="00736747" w14:paraId="49F7E38B" w14:textId="77777777" w:rsidTr="007D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 w:val="restart"/>
            <w:tcBorders>
              <w:top w:val="single" w:sz="12" w:space="0" w:color="auto"/>
            </w:tcBorders>
            <w:vAlign w:val="center"/>
          </w:tcPr>
          <w:p w14:paraId="6CAE63BD" w14:textId="77777777" w:rsidR="00EA4178" w:rsidRPr="00AB7DBD" w:rsidRDefault="00EA4178" w:rsidP="007D137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  <w:p w14:paraId="79354729" w14:textId="77777777" w:rsidR="00EA4178" w:rsidRPr="00AB7DBD" w:rsidRDefault="00EA4178" w:rsidP="007D137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F7F9B1" w14:textId="1BE35292" w:rsidR="00EA4178" w:rsidRPr="00AB7DBD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Incident rate (per 10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  <w:vertAlign w:val="superscript"/>
              </w:rPr>
              <w:t>6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 xml:space="preserve"> person-year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s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)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 xml:space="preserve"> of psoriasis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4332B046" w14:textId="77777777" w:rsidR="00EA4178" w:rsidRPr="00AB7DBD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Absolute</w:t>
            </w:r>
          </w:p>
          <w:p w14:paraId="0AA15762" w14:textId="77777777" w:rsidR="00EA4178" w:rsidRPr="00AB7DBD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difference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6AA1F7EE" w14:textId="77777777" w:rsidR="00EA4178" w:rsidRPr="00AB7DBD" w:rsidRDefault="00EA4178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Adjusted HR (95% CI)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2B1618A" w14:textId="726E1422" w:rsidR="00EA4178" w:rsidRPr="00AB7DBD" w:rsidRDefault="002D746C" w:rsidP="007D13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2D746C">
              <w:rPr>
                <w:rFonts w:ascii="Calibri" w:eastAsia="Malgun Gothic" w:hAnsi="Calibri" w:cs="Calibri"/>
                <w:i/>
                <w:color w:val="000000"/>
                <w:szCs w:val="20"/>
              </w:rPr>
              <w:t>p</w:t>
            </w:r>
            <w:r>
              <w:rPr>
                <w:rFonts w:ascii="Calibri" w:eastAsia="Malgun Gothic" w:hAnsi="Calibri" w:cs="Calibri"/>
                <w:color w:val="000000"/>
                <w:szCs w:val="20"/>
              </w:rPr>
              <w:t xml:space="preserve"> </w:t>
            </w:r>
            <w:r w:rsidR="00EA4178" w:rsidRPr="00AB7DBD">
              <w:rPr>
                <w:rFonts w:ascii="Calibri" w:eastAsia="Malgun Gothic" w:hAnsi="Calibri" w:cs="Calibri"/>
                <w:color w:val="000000"/>
                <w:szCs w:val="20"/>
              </w:rPr>
              <w:t>value</w:t>
            </w:r>
          </w:p>
        </w:tc>
      </w:tr>
      <w:tr w:rsidR="00EA4178" w:rsidRPr="00736747" w14:paraId="5F87C575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/>
            <w:tcBorders>
              <w:bottom w:val="single" w:sz="12" w:space="0" w:color="auto"/>
            </w:tcBorders>
          </w:tcPr>
          <w:p w14:paraId="45E1215D" w14:textId="77777777" w:rsidR="00EA4178" w:rsidRPr="00AB7DBD" w:rsidRDefault="00EA4178" w:rsidP="007D137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</w:tcPr>
          <w:p w14:paraId="68C9CCC4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b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b/>
                <w:color w:val="000000"/>
                <w:szCs w:val="20"/>
              </w:rPr>
              <w:t>IBD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</w:tcPr>
          <w:p w14:paraId="20C16F32" w14:textId="01AA88BD" w:rsidR="00EA4178" w:rsidRPr="00AB7DBD" w:rsidRDefault="002D746C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b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b/>
                <w:color w:val="000000"/>
                <w:szCs w:val="20"/>
              </w:rPr>
              <w:t>c</w:t>
            </w:r>
            <w:r w:rsidR="00EA4178" w:rsidRPr="00AB7DBD">
              <w:rPr>
                <w:rFonts w:ascii="Calibri" w:eastAsia="Malgun Gothic" w:hAnsi="Calibri" w:cs="Calibri"/>
                <w:b/>
                <w:color w:val="000000"/>
                <w:szCs w:val="20"/>
              </w:rPr>
              <w:t>ontrol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37D38B89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499CCD5A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F7ED395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2A620968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76AEFA88" w14:textId="77777777" w:rsidR="00EA4178" w:rsidRPr="002D746C" w:rsidRDefault="00EA4178" w:rsidP="007D137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2D746C">
              <w:rPr>
                <w:rFonts w:ascii="Calibri" w:hAnsi="Calibri" w:cs="Calibri"/>
                <w:szCs w:val="20"/>
              </w:rPr>
              <w:t>IBD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31CE3C3A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4FE94A9F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3E08F87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8EEF8C0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2C994E6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Cs w:val="20"/>
              </w:rPr>
            </w:pPr>
          </w:p>
        </w:tc>
      </w:tr>
      <w:tr w:rsidR="00EA4178" w:rsidRPr="00736747" w14:paraId="0E4A05FF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E0FAA0F" w14:textId="12E5BE22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  <w:vAlign w:val="center"/>
          </w:tcPr>
          <w:p w14:paraId="09FBBBAC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195B6E22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9CCE1D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9C1E7B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4A1666" w14:textId="77777777" w:rsidR="00EA4178" w:rsidRPr="00AB7DBD" w:rsidRDefault="00EA4178" w:rsidP="007D137A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42B00BCC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8D4D14B" w14:textId="011057EB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276DF2EE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216.59</w:t>
            </w:r>
          </w:p>
        </w:tc>
        <w:tc>
          <w:tcPr>
            <w:tcW w:w="1574" w:type="dxa"/>
            <w:vAlign w:val="center"/>
          </w:tcPr>
          <w:p w14:paraId="400D4F48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65.17</w:t>
            </w:r>
          </w:p>
        </w:tc>
        <w:tc>
          <w:tcPr>
            <w:tcW w:w="1275" w:type="dxa"/>
            <w:vAlign w:val="center"/>
          </w:tcPr>
          <w:p w14:paraId="59A7472F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151.42</w:t>
            </w:r>
          </w:p>
        </w:tc>
        <w:tc>
          <w:tcPr>
            <w:tcW w:w="1985" w:type="dxa"/>
            <w:vAlign w:val="center"/>
          </w:tcPr>
          <w:p w14:paraId="0162C19A" w14:textId="4FD83A16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3.32 (2.45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4.51)</w:t>
            </w:r>
          </w:p>
        </w:tc>
        <w:tc>
          <w:tcPr>
            <w:tcW w:w="1134" w:type="dxa"/>
            <w:vAlign w:val="center"/>
          </w:tcPr>
          <w:p w14:paraId="44A9D729" w14:textId="739F7C98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2DA2D1F8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6C1767C" w14:textId="5B1D0468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2D746C">
              <w:rPr>
                <w:rFonts w:ascii="Calibri" w:hAnsi="Calibri" w:cs="Calibri"/>
                <w:b w:val="0"/>
                <w:szCs w:val="20"/>
              </w:rPr>
              <w:t>–</w:t>
            </w:r>
            <w:r w:rsidRPr="00AB7DBD">
              <w:rPr>
                <w:rFonts w:ascii="Calibri" w:hAnsi="Calibri" w:cs="Calibri"/>
                <w:b w:val="0"/>
                <w:szCs w:val="20"/>
              </w:rPr>
              <w:t>49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76EB6A08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207.72</w:t>
            </w:r>
          </w:p>
        </w:tc>
        <w:tc>
          <w:tcPr>
            <w:tcW w:w="1574" w:type="dxa"/>
            <w:vAlign w:val="center"/>
          </w:tcPr>
          <w:p w14:paraId="404F9FD4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71.58</w:t>
            </w:r>
          </w:p>
        </w:tc>
        <w:tc>
          <w:tcPr>
            <w:tcW w:w="1275" w:type="dxa"/>
            <w:vAlign w:val="center"/>
          </w:tcPr>
          <w:p w14:paraId="49B369A6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136.14</w:t>
            </w:r>
          </w:p>
        </w:tc>
        <w:tc>
          <w:tcPr>
            <w:tcW w:w="1985" w:type="dxa"/>
            <w:vAlign w:val="center"/>
          </w:tcPr>
          <w:p w14:paraId="02E8D2C9" w14:textId="70534A36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2.90 (2.34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3.59)</w:t>
            </w:r>
          </w:p>
        </w:tc>
        <w:tc>
          <w:tcPr>
            <w:tcW w:w="1134" w:type="dxa"/>
            <w:vAlign w:val="center"/>
          </w:tcPr>
          <w:p w14:paraId="38EB1574" w14:textId="0B4510BB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0ADFE6B9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A5DE4DE" w14:textId="033EE4F9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AB7DBD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AB7DBD">
              <w:rPr>
                <w:rFonts w:ascii="Calibri" w:hAnsi="Calibri" w:cs="Calibri"/>
                <w:b w:val="0"/>
                <w:szCs w:val="20"/>
              </w:rPr>
              <w:t>50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F22075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233.12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377F932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85.81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3C37A0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147.31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2EB86A" w14:textId="755E4074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2.72 (2.23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3.31)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657254" w14:textId="3F89245E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7449A02F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AA2F164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Sex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68136D48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C5448D5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87AFFE0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1B70ED1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C0249E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414DA411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93134D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  <w:vAlign w:val="center"/>
          </w:tcPr>
          <w:p w14:paraId="70583DEC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232.43</w:t>
            </w:r>
          </w:p>
        </w:tc>
        <w:tc>
          <w:tcPr>
            <w:tcW w:w="1574" w:type="dxa"/>
            <w:vAlign w:val="center"/>
          </w:tcPr>
          <w:p w14:paraId="044C757B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85.69</w:t>
            </w:r>
          </w:p>
        </w:tc>
        <w:tc>
          <w:tcPr>
            <w:tcW w:w="1275" w:type="dxa"/>
            <w:vAlign w:val="center"/>
          </w:tcPr>
          <w:p w14:paraId="0443B525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146.74</w:t>
            </w:r>
          </w:p>
        </w:tc>
        <w:tc>
          <w:tcPr>
            <w:tcW w:w="1985" w:type="dxa"/>
            <w:vAlign w:val="center"/>
          </w:tcPr>
          <w:p w14:paraId="34890E87" w14:textId="72D90855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2.71 (2.29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3.21)</w:t>
            </w:r>
          </w:p>
        </w:tc>
        <w:tc>
          <w:tcPr>
            <w:tcW w:w="1134" w:type="dxa"/>
            <w:vAlign w:val="center"/>
          </w:tcPr>
          <w:p w14:paraId="08FF32D4" w14:textId="4FA672A6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3FBC9321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5A9BEABA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2A88D782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203.72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5EC06C5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63.93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708545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139.79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9768B0" w14:textId="23769795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3.18 (2.58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3.92)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C9809CC" w14:textId="3D3259A9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3F97D361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40651F6C" w14:textId="77777777" w:rsidR="00EA4178" w:rsidRPr="002D746C" w:rsidRDefault="00EA4178" w:rsidP="007D137A">
            <w:pPr>
              <w:spacing w:line="276" w:lineRule="auto"/>
              <w:rPr>
                <w:rFonts w:ascii="Calibri" w:hAnsi="Calibri" w:cs="Calibri"/>
                <w:bCs w:val="0"/>
                <w:szCs w:val="20"/>
              </w:rPr>
            </w:pPr>
            <w:r w:rsidRPr="002D746C">
              <w:rPr>
                <w:rFonts w:ascii="Calibri" w:hAnsi="Calibri" w:cs="Calibri"/>
                <w:szCs w:val="20"/>
              </w:rPr>
              <w:t>UC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02734230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1ABED7A6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663B53A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A2C4C35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0747ACC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Cs w:val="20"/>
              </w:rPr>
            </w:pPr>
          </w:p>
        </w:tc>
      </w:tr>
      <w:tr w:rsidR="00EA4178" w:rsidRPr="00736747" w14:paraId="2364FFB5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E95000A" w14:textId="7BBB2F4C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  <w:vAlign w:val="center"/>
          </w:tcPr>
          <w:p w14:paraId="752F4444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315ACD3B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8012E6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61B973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45DF3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61DE9892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4B280B7" w14:textId="57125E16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7F00F4FF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230.77</w:t>
            </w:r>
          </w:p>
        </w:tc>
        <w:tc>
          <w:tcPr>
            <w:tcW w:w="1574" w:type="dxa"/>
            <w:vAlign w:val="center"/>
          </w:tcPr>
          <w:p w14:paraId="62C3D90A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54.79</w:t>
            </w:r>
          </w:p>
        </w:tc>
        <w:tc>
          <w:tcPr>
            <w:tcW w:w="1275" w:type="dxa"/>
            <w:vAlign w:val="center"/>
          </w:tcPr>
          <w:p w14:paraId="0E6A3EF6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175.98</w:t>
            </w:r>
          </w:p>
        </w:tc>
        <w:tc>
          <w:tcPr>
            <w:tcW w:w="1985" w:type="dxa"/>
            <w:vAlign w:val="center"/>
          </w:tcPr>
          <w:p w14:paraId="1CFE0D2E" w14:textId="3DC90912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4.21 (2.81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6.31)</w:t>
            </w:r>
          </w:p>
        </w:tc>
        <w:tc>
          <w:tcPr>
            <w:tcW w:w="1134" w:type="dxa"/>
            <w:vAlign w:val="center"/>
          </w:tcPr>
          <w:p w14:paraId="594C5ED3" w14:textId="6195718F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574892B0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39003AA" w14:textId="51B314A4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2D746C">
              <w:rPr>
                <w:rFonts w:ascii="Calibri" w:hAnsi="Calibri" w:cs="Calibri"/>
                <w:b w:val="0"/>
                <w:szCs w:val="20"/>
              </w:rPr>
              <w:t>–</w:t>
            </w:r>
            <w:r w:rsidRPr="00AB7DBD">
              <w:rPr>
                <w:rFonts w:ascii="Calibri" w:hAnsi="Calibri" w:cs="Calibri"/>
                <w:b w:val="0"/>
                <w:szCs w:val="20"/>
              </w:rPr>
              <w:t>49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36E9567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208.25</w:t>
            </w:r>
          </w:p>
        </w:tc>
        <w:tc>
          <w:tcPr>
            <w:tcW w:w="1574" w:type="dxa"/>
            <w:vAlign w:val="center"/>
          </w:tcPr>
          <w:p w14:paraId="30A6040B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75.7</w:t>
            </w:r>
          </w:p>
        </w:tc>
        <w:tc>
          <w:tcPr>
            <w:tcW w:w="1275" w:type="dxa"/>
            <w:vAlign w:val="center"/>
          </w:tcPr>
          <w:p w14:paraId="6BF5EF69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132.55</w:t>
            </w:r>
          </w:p>
        </w:tc>
        <w:tc>
          <w:tcPr>
            <w:tcW w:w="1985" w:type="dxa"/>
            <w:vAlign w:val="center"/>
          </w:tcPr>
          <w:p w14:paraId="54EE920B" w14:textId="60885021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2.75 (2.17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3.49)</w:t>
            </w:r>
          </w:p>
        </w:tc>
        <w:tc>
          <w:tcPr>
            <w:tcW w:w="1134" w:type="dxa"/>
            <w:vAlign w:val="center"/>
          </w:tcPr>
          <w:p w14:paraId="5F65966C" w14:textId="52ECCD86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481CA5D4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6304188" w14:textId="5E2BAEF1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AB7DBD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AB7DBD">
              <w:rPr>
                <w:rFonts w:ascii="Calibri" w:hAnsi="Calibri" w:cs="Calibri"/>
                <w:b w:val="0"/>
                <w:szCs w:val="20"/>
              </w:rPr>
              <w:t>50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44EBED8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224.98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6BFC4666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83.28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25A067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141.7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87783E" w14:textId="3523AB6F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2.70 (2.17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3.36)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1CC0C8" w14:textId="76270B63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A306EA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502AB957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E128285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>Sex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725ED3F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050B8E4A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75E5EDD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A69FDAE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35DB4B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026D3074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2152A6E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  <w:vAlign w:val="center"/>
          </w:tcPr>
          <w:p w14:paraId="5109800C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230.93</w:t>
            </w:r>
          </w:p>
        </w:tc>
        <w:tc>
          <w:tcPr>
            <w:tcW w:w="1574" w:type="dxa"/>
            <w:vAlign w:val="center"/>
          </w:tcPr>
          <w:p w14:paraId="74822E23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85.05</w:t>
            </w:r>
          </w:p>
        </w:tc>
        <w:tc>
          <w:tcPr>
            <w:tcW w:w="1275" w:type="dxa"/>
            <w:vAlign w:val="center"/>
          </w:tcPr>
          <w:p w14:paraId="4130F67E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145.88</w:t>
            </w:r>
          </w:p>
        </w:tc>
        <w:tc>
          <w:tcPr>
            <w:tcW w:w="1985" w:type="dxa"/>
            <w:vAlign w:val="center"/>
          </w:tcPr>
          <w:p w14:paraId="0E6D0A55" w14:textId="0EC17C38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2.71 (2.23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3.30)</w:t>
            </w:r>
          </w:p>
        </w:tc>
        <w:tc>
          <w:tcPr>
            <w:tcW w:w="1134" w:type="dxa"/>
            <w:vAlign w:val="center"/>
          </w:tcPr>
          <w:p w14:paraId="08320818" w14:textId="7E52021A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24D363A3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31E87A4E" w14:textId="46E0327E" w:rsidR="00EA4178" w:rsidRPr="00AB7DBD" w:rsidRDefault="00EA4178" w:rsidP="007D13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AB7DBD">
              <w:rPr>
                <w:rFonts w:ascii="Calibri" w:hAnsi="Calibri" w:cs="Calibri"/>
                <w:b w:val="0"/>
                <w:szCs w:val="20"/>
              </w:rPr>
              <w:t>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3EA8C39A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204.96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6B64BD70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64.82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2C4715E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140.14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3DEA68" w14:textId="093DCACF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3.16 (2.50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3.99)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35667A9" w14:textId="2B27916A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1049FE50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</w:tcBorders>
          </w:tcPr>
          <w:p w14:paraId="5CA22241" w14:textId="77777777" w:rsidR="00EA4178" w:rsidRPr="002D746C" w:rsidRDefault="00EA4178" w:rsidP="007D137A">
            <w:pPr>
              <w:spacing w:line="276" w:lineRule="auto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2D746C">
              <w:rPr>
                <w:rFonts w:ascii="Calibri" w:eastAsia="Malgun Gothic" w:hAnsi="Calibri" w:cs="Calibri"/>
                <w:color w:val="000000"/>
                <w:szCs w:val="20"/>
              </w:rPr>
              <w:t>CD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530900BD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1B6E266F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BC526A5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5687C3C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72B9AE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</w:p>
        </w:tc>
      </w:tr>
      <w:tr w:rsidR="00EA4178" w:rsidRPr="00736747" w14:paraId="01B6A8B4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1ADFC16" w14:textId="21FDF400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>Age</w:t>
            </w:r>
          </w:p>
        </w:tc>
        <w:tc>
          <w:tcPr>
            <w:tcW w:w="1574" w:type="dxa"/>
            <w:vAlign w:val="center"/>
          </w:tcPr>
          <w:p w14:paraId="0AAC943D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19BF9D24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FC224B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BC78FD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7A6D0E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48FD739A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772A31B" w14:textId="268670E1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&lt;30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63E838F9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195.27</w:t>
            </w:r>
          </w:p>
        </w:tc>
        <w:tc>
          <w:tcPr>
            <w:tcW w:w="1574" w:type="dxa"/>
            <w:vAlign w:val="center"/>
          </w:tcPr>
          <w:p w14:paraId="5EDE8418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80.81</w:t>
            </w:r>
          </w:p>
        </w:tc>
        <w:tc>
          <w:tcPr>
            <w:tcW w:w="1275" w:type="dxa"/>
            <w:vAlign w:val="center"/>
          </w:tcPr>
          <w:p w14:paraId="197E6C2E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114.46</w:t>
            </w:r>
          </w:p>
        </w:tc>
        <w:tc>
          <w:tcPr>
            <w:tcW w:w="1985" w:type="dxa"/>
            <w:vAlign w:val="center"/>
          </w:tcPr>
          <w:p w14:paraId="2208E3EC" w14:textId="5756159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2.42 (1.50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3.90)</w:t>
            </w:r>
          </w:p>
        </w:tc>
        <w:tc>
          <w:tcPr>
            <w:tcW w:w="1134" w:type="dxa"/>
            <w:vAlign w:val="center"/>
          </w:tcPr>
          <w:p w14:paraId="4A1CABF3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0.0003</w:t>
            </w:r>
          </w:p>
        </w:tc>
      </w:tr>
      <w:tr w:rsidR="00EA4178" w:rsidRPr="00736747" w14:paraId="66C82BF3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E48AB1E" w14:textId="3AC075B9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30</w:t>
            </w:r>
            <w:r w:rsidR="002D746C">
              <w:rPr>
                <w:rFonts w:ascii="Calibri" w:hAnsi="Calibri" w:cs="Calibri"/>
                <w:b w:val="0"/>
                <w:szCs w:val="20"/>
              </w:rPr>
              <w:t>–</w:t>
            </w:r>
            <w:r w:rsidRPr="00AB7DBD">
              <w:rPr>
                <w:rFonts w:ascii="Calibri" w:hAnsi="Calibri" w:cs="Calibri"/>
                <w:b w:val="0"/>
                <w:szCs w:val="20"/>
              </w:rPr>
              <w:t>49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vAlign w:val="center"/>
          </w:tcPr>
          <w:p w14:paraId="04D9856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205.72</w:t>
            </w:r>
          </w:p>
        </w:tc>
        <w:tc>
          <w:tcPr>
            <w:tcW w:w="1574" w:type="dxa"/>
            <w:vAlign w:val="center"/>
          </w:tcPr>
          <w:p w14:paraId="27DE87CC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56.11</w:t>
            </w:r>
          </w:p>
        </w:tc>
        <w:tc>
          <w:tcPr>
            <w:tcW w:w="1275" w:type="dxa"/>
            <w:vAlign w:val="center"/>
          </w:tcPr>
          <w:p w14:paraId="1F0C615F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149.61</w:t>
            </w:r>
          </w:p>
        </w:tc>
        <w:tc>
          <w:tcPr>
            <w:tcW w:w="1985" w:type="dxa"/>
            <w:vAlign w:val="center"/>
          </w:tcPr>
          <w:p w14:paraId="39003F32" w14:textId="77F38366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3.66 (2.24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6.01)</w:t>
            </w:r>
          </w:p>
        </w:tc>
        <w:tc>
          <w:tcPr>
            <w:tcW w:w="1134" w:type="dxa"/>
            <w:vAlign w:val="center"/>
          </w:tcPr>
          <w:p w14:paraId="59853828" w14:textId="28024DA0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292C9BBD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84AE5D1" w14:textId="04710178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eastAsia="Malgun Gothic" w:hAnsi="Calibri" w:cs="Calibri"/>
                <w:b w:val="0"/>
                <w:color w:val="00000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</w:t>
            </w:r>
            <w:r w:rsidRPr="00AB7DBD">
              <w:rPr>
                <w:rFonts w:ascii="Calibri" w:eastAsia="Malgun Gothic" w:hAnsi="Calibri" w:cs="Calibri"/>
                <w:b w:val="0"/>
                <w:szCs w:val="20"/>
              </w:rPr>
              <w:t>≥</w:t>
            </w:r>
            <w:r w:rsidRPr="00AB7DBD">
              <w:rPr>
                <w:rFonts w:ascii="Calibri" w:hAnsi="Calibri" w:cs="Calibri"/>
                <w:b w:val="0"/>
                <w:szCs w:val="20"/>
              </w:rPr>
              <w:t>50</w:t>
            </w:r>
            <w:r w:rsidR="002D746C">
              <w:rPr>
                <w:rFonts w:ascii="Calibri" w:hAnsi="Calibri" w:cs="Calibri"/>
                <w:b w:val="0"/>
                <w:szCs w:val="20"/>
              </w:rPr>
              <w:t xml:space="preserve"> years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C5F42EA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272.9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D96E97E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98.16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88627D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174.74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371579" w14:textId="62D62351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2.78 (1.78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4.33)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3FA869" w14:textId="7B68BCDA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141C43CB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F5F621A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>Sex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9433B03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233BCB71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7F87083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1012FDA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958501" w14:textId="77777777" w:rsidR="00EA4178" w:rsidRPr="00AB7DBD" w:rsidRDefault="00EA4178" w:rsidP="007D13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  <w:tr w:rsidR="00EA4178" w:rsidRPr="00736747" w14:paraId="2F5ED94F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B6180B7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Male</w:t>
            </w:r>
          </w:p>
        </w:tc>
        <w:tc>
          <w:tcPr>
            <w:tcW w:w="1574" w:type="dxa"/>
            <w:vAlign w:val="center"/>
          </w:tcPr>
          <w:p w14:paraId="0693A847" w14:textId="77777777" w:rsidR="00EA4178" w:rsidRPr="00AB7DBD" w:rsidRDefault="00EA4178" w:rsidP="007D137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236.83</w:t>
            </w:r>
          </w:p>
        </w:tc>
        <w:tc>
          <w:tcPr>
            <w:tcW w:w="1574" w:type="dxa"/>
            <w:vAlign w:val="center"/>
          </w:tcPr>
          <w:p w14:paraId="69AB5D51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87.57</w:t>
            </w:r>
          </w:p>
        </w:tc>
        <w:tc>
          <w:tcPr>
            <w:tcW w:w="1275" w:type="dxa"/>
            <w:vAlign w:val="center"/>
          </w:tcPr>
          <w:p w14:paraId="6E27EF19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149.26</w:t>
            </w:r>
          </w:p>
        </w:tc>
        <w:tc>
          <w:tcPr>
            <w:tcW w:w="1985" w:type="dxa"/>
            <w:vAlign w:val="center"/>
          </w:tcPr>
          <w:p w14:paraId="0D0C89E5" w14:textId="3022A39F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2.71 (1.95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3.76)</w:t>
            </w:r>
          </w:p>
        </w:tc>
        <w:tc>
          <w:tcPr>
            <w:tcW w:w="1134" w:type="dxa"/>
            <w:vAlign w:val="center"/>
          </w:tcPr>
          <w:p w14:paraId="3512DAC0" w14:textId="7C21ED34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  <w:tr w:rsidR="00EA4178" w:rsidRPr="00736747" w14:paraId="09C05EA8" w14:textId="77777777" w:rsidTr="007D1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12" w:space="0" w:color="auto"/>
            </w:tcBorders>
          </w:tcPr>
          <w:p w14:paraId="64C37234" w14:textId="77777777" w:rsidR="00EA4178" w:rsidRPr="00AB7DBD" w:rsidRDefault="00EA4178" w:rsidP="007D137A">
            <w:pPr>
              <w:spacing w:line="276" w:lineRule="auto"/>
              <w:ind w:firstLineChars="88" w:firstLine="176"/>
              <w:rPr>
                <w:rFonts w:ascii="Calibri" w:hAnsi="Calibri" w:cs="Calibri"/>
                <w:b w:val="0"/>
                <w:szCs w:val="20"/>
              </w:rPr>
            </w:pPr>
            <w:r w:rsidRPr="00AB7DBD">
              <w:rPr>
                <w:rFonts w:ascii="Calibri" w:hAnsi="Calibri" w:cs="Calibri"/>
                <w:b w:val="0"/>
                <w:szCs w:val="20"/>
              </w:rPr>
              <w:t xml:space="preserve">  Female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3901322C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198.85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7DEE906E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60.41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427D2FB" w14:textId="77777777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138.44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6D5CD50" w14:textId="7039184A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3.29 (2.05</w:t>
            </w:r>
            <w:r w:rsidR="00795B69">
              <w:rPr>
                <w:rFonts w:ascii="Calibri" w:eastAsia="Malgun Gothic" w:hAnsi="Calibri" w:cs="Calibri"/>
                <w:color w:val="000000"/>
                <w:szCs w:val="20"/>
              </w:rPr>
              <w:t>–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5.29)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323FA5" w14:textId="3C95E764" w:rsidR="00EA4178" w:rsidRPr="00AB7DBD" w:rsidRDefault="00EA4178" w:rsidP="007D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algun Gothic" w:hAnsi="Calibri" w:cs="Calibri"/>
                <w:color w:val="000000"/>
                <w:szCs w:val="20"/>
              </w:rPr>
            </w:pP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&lt;</w:t>
            </w:r>
            <w:r w:rsidR="002D746C">
              <w:rPr>
                <w:rFonts w:ascii="Calibri" w:eastAsia="Malgun Gothic" w:hAnsi="Calibri" w:cs="Calibri"/>
                <w:color w:val="000000"/>
                <w:szCs w:val="20"/>
              </w:rPr>
              <w:t>0</w:t>
            </w:r>
            <w:r w:rsidRPr="00AB7DBD">
              <w:rPr>
                <w:rFonts w:ascii="Calibri" w:eastAsia="Malgun Gothic" w:hAnsi="Calibri" w:cs="Calibri"/>
                <w:color w:val="000000"/>
                <w:szCs w:val="20"/>
              </w:rPr>
              <w:t>.0001</w:t>
            </w:r>
          </w:p>
        </w:tc>
      </w:tr>
    </w:tbl>
    <w:p w14:paraId="33FC11F9" w14:textId="77777777" w:rsidR="00AE5D66" w:rsidRDefault="00AE5D66" w:rsidP="001D794F"/>
    <w:sectPr w:rsidR="00AE5D66" w:rsidSect="001D794F">
      <w:pgSz w:w="16838" w:h="11906" w:orient="landscape" w:code="9"/>
      <w:pgMar w:top="851" w:right="1701" w:bottom="851" w:left="1701" w:header="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E6E4" w14:textId="77777777" w:rsidR="00BD776F" w:rsidRDefault="00BD776F" w:rsidP="001D794F">
      <w:pPr>
        <w:spacing w:after="0" w:line="240" w:lineRule="auto"/>
      </w:pPr>
      <w:r>
        <w:separator/>
      </w:r>
    </w:p>
  </w:endnote>
  <w:endnote w:type="continuationSeparator" w:id="0">
    <w:p w14:paraId="49CB23AE" w14:textId="77777777" w:rsidR="00BD776F" w:rsidRDefault="00BD776F" w:rsidP="001D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700B" w14:textId="77777777" w:rsidR="00BD776F" w:rsidRDefault="00BD776F" w:rsidP="001D794F">
      <w:pPr>
        <w:spacing w:after="0" w:line="240" w:lineRule="auto"/>
      </w:pPr>
      <w:r>
        <w:separator/>
      </w:r>
    </w:p>
  </w:footnote>
  <w:footnote w:type="continuationSeparator" w:id="0">
    <w:p w14:paraId="52FD2D4E" w14:textId="77777777" w:rsidR="00BD776F" w:rsidRDefault="00BD776F" w:rsidP="001D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78"/>
    <w:rsid w:val="001D794F"/>
    <w:rsid w:val="002D746C"/>
    <w:rsid w:val="00581483"/>
    <w:rsid w:val="007118B1"/>
    <w:rsid w:val="0076693F"/>
    <w:rsid w:val="00795B69"/>
    <w:rsid w:val="00834BC3"/>
    <w:rsid w:val="00A306EA"/>
    <w:rsid w:val="00AE5D66"/>
    <w:rsid w:val="00BD776F"/>
    <w:rsid w:val="00CC400C"/>
    <w:rsid w:val="00DA0404"/>
    <w:rsid w:val="00E80EB0"/>
    <w:rsid w:val="00E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586006"/>
  <w15:chartTrackingRefBased/>
  <w15:docId w15:val="{D2F7FD0C-9E91-45EF-8CAB-D61F7F9C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178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41">
    <w:name w:val="일반 표 41"/>
    <w:basedOn w:val="NormaleTabelle"/>
    <w:uiPriority w:val="44"/>
    <w:rsid w:val="00EA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EA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D794F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94F"/>
  </w:style>
  <w:style w:type="paragraph" w:styleId="Fuzeile">
    <w:name w:val="footer"/>
    <w:basedOn w:val="Standard"/>
    <w:link w:val="FuzeileZchn"/>
    <w:uiPriority w:val="99"/>
    <w:unhideWhenUsed/>
    <w:rsid w:val="001D794F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1D794F"/>
  </w:style>
  <w:style w:type="paragraph" w:styleId="KeinLeerraum">
    <w:name w:val="No Spacing"/>
    <w:uiPriority w:val="1"/>
    <w:qFormat/>
    <w:rsid w:val="001D794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문정민</dc:creator>
  <cp:keywords/>
  <dc:description/>
  <cp:lastModifiedBy>Elisabeth Stöcklin</cp:lastModifiedBy>
  <cp:revision>9</cp:revision>
  <dcterms:created xsi:type="dcterms:W3CDTF">2020-12-31T10:54:00Z</dcterms:created>
  <dcterms:modified xsi:type="dcterms:W3CDTF">2021-01-13T13:30:00Z</dcterms:modified>
</cp:coreProperties>
</file>