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B9E3" w14:textId="2C5F1EFD" w:rsidR="009962D5" w:rsidRPr="006E4F72" w:rsidRDefault="009962D5" w:rsidP="009962D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he-IL"/>
        </w:rPr>
      </w:pPr>
      <w:r w:rsidRPr="006E4F72">
        <w:rPr>
          <w:rFonts w:asciiTheme="majorBidi" w:eastAsia="Times New Roman" w:hAnsiTheme="majorBidi" w:cstheme="majorBidi"/>
          <w:b/>
          <w:sz w:val="24"/>
          <w:szCs w:val="24"/>
        </w:rPr>
        <w:t>M</w:t>
      </w:r>
      <w:r w:rsidR="006E4F72" w:rsidRPr="006E4F72">
        <w:rPr>
          <w:rFonts w:asciiTheme="majorBidi" w:eastAsia="Times New Roman" w:hAnsiTheme="majorBidi" w:cstheme="majorBidi"/>
          <w:b/>
          <w:sz w:val="24"/>
          <w:szCs w:val="24"/>
        </w:rPr>
        <w:t>ethods</w:t>
      </w:r>
    </w:p>
    <w:p w14:paraId="5A3D4CB1" w14:textId="77777777" w:rsidR="009962D5" w:rsidRPr="006E4F72" w:rsidRDefault="009962D5" w:rsidP="009962D5">
      <w:pPr>
        <w:widowControl w:val="0"/>
        <w:bidi w:val="0"/>
        <w:spacing w:after="0" w:line="480" w:lineRule="auto"/>
        <w:rPr>
          <w:rFonts w:asciiTheme="majorBidi" w:eastAsia="Times New Roman" w:hAnsiTheme="majorBidi" w:cstheme="majorBidi"/>
          <w:b/>
          <w:i/>
          <w:iCs/>
          <w:sz w:val="24"/>
          <w:szCs w:val="24"/>
        </w:rPr>
      </w:pPr>
    </w:p>
    <w:p w14:paraId="5EA5FFD2" w14:textId="3248161F" w:rsidR="009962D5" w:rsidRPr="006E4F72" w:rsidRDefault="009962D5" w:rsidP="009962D5">
      <w:pPr>
        <w:widowControl w:val="0"/>
        <w:bidi w:val="0"/>
        <w:spacing w:after="0" w:line="480" w:lineRule="auto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  <w:r w:rsidRPr="006E4F72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Study </w:t>
      </w:r>
      <w:r w:rsidR="006E4F72" w:rsidRPr="006E4F72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Design </w:t>
      </w:r>
      <w:r w:rsidRPr="006E4F72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and </w:t>
      </w:r>
      <w:r w:rsidR="006E4F72" w:rsidRPr="006E4F72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Patient Po</w:t>
      </w:r>
      <w:r w:rsidRPr="006E4F72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pulation</w:t>
      </w:r>
    </w:p>
    <w:p w14:paraId="21540AA2" w14:textId="358E7EC0" w:rsidR="009962D5" w:rsidRPr="006E4F72" w:rsidRDefault="009962D5" w:rsidP="009962D5">
      <w:pPr>
        <w:widowControl w:val="0"/>
        <w:bidi w:val="0"/>
        <w:spacing w:after="0" w:line="48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E4F72">
        <w:rPr>
          <w:rFonts w:asciiTheme="majorBidi" w:eastAsia="Times New Roman" w:hAnsiTheme="majorBidi" w:cstheme="majorBidi"/>
          <w:sz w:val="24"/>
          <w:szCs w:val="24"/>
        </w:rPr>
        <w:t>This was a retrospective study of a cohort of patients with pemphigus treated with rituximab and followed up at the Autoimmune Bullous Disease Clinic of the Division of Dermatology in Rabin Medical Center, Israel, which is a tertiary referral center</w:t>
      </w:r>
      <w:r w:rsidRPr="006E4F72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. </w:t>
      </w:r>
      <w:r w:rsidRPr="006E4F72">
        <w:rPr>
          <w:rFonts w:asciiTheme="majorBidi" w:eastAsia="Times New Roman" w:hAnsiTheme="majorBidi" w:cstheme="majorBidi"/>
          <w:sz w:val="24"/>
          <w:szCs w:val="24"/>
        </w:rPr>
        <w:t xml:space="preserve">The study cohort was established using the following protocol: </w:t>
      </w:r>
      <w:r w:rsidR="006E4F72" w:rsidRPr="006E4F72">
        <w:rPr>
          <w:rFonts w:asciiTheme="majorBidi" w:eastAsia="Times New Roman" w:hAnsiTheme="majorBidi" w:cstheme="majorBidi"/>
          <w:sz w:val="24"/>
          <w:szCs w:val="24"/>
        </w:rPr>
        <w:t>t</w:t>
      </w:r>
      <w:r w:rsidRPr="006E4F72">
        <w:rPr>
          <w:rFonts w:asciiTheme="majorBidi" w:eastAsia="Times New Roman" w:hAnsiTheme="majorBidi" w:cstheme="majorBidi"/>
          <w:sz w:val="24"/>
          <w:szCs w:val="24"/>
        </w:rPr>
        <w:t>he hospital outpatient clinic’s computerized database was queried for the names and IDs of all patients who attended the Autoimmune Bullous Disease Clinic between January 1, 1995</w:t>
      </w:r>
      <w:r w:rsidR="006E4F72" w:rsidRPr="006E4F72">
        <w:rPr>
          <w:rFonts w:asciiTheme="majorBidi" w:eastAsia="Times New Roman" w:hAnsiTheme="majorBidi" w:cstheme="majorBidi"/>
          <w:sz w:val="24"/>
          <w:szCs w:val="24"/>
        </w:rPr>
        <w:t>,</w:t>
      </w:r>
      <w:r w:rsidRPr="006E4F72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Pr="006E4F72">
        <w:rPr>
          <w:rFonts w:asciiTheme="majorBidi" w:eastAsia="Times New Roman" w:hAnsiTheme="majorBidi" w:cstheme="majorBidi"/>
          <w:color w:val="000000"/>
          <w:sz w:val="24"/>
          <w:szCs w:val="24"/>
        </w:rPr>
        <w:t>March 31, 2020</w:t>
      </w:r>
      <w:r w:rsidRPr="006E4F72">
        <w:rPr>
          <w:rFonts w:asciiTheme="majorBidi" w:eastAsia="Times New Roman" w:hAnsiTheme="majorBidi" w:cstheme="majorBidi"/>
          <w:sz w:val="24"/>
          <w:szCs w:val="24"/>
        </w:rPr>
        <w:t xml:space="preserve">. All patient files were manually reviewed. Only those with a clinical, histologic, and immunofluorescence diagnosis of pemphigus, who were treated </w:t>
      </w:r>
      <w:bookmarkStart w:id="0" w:name="OLE_LINK1"/>
      <w:bookmarkStart w:id="1" w:name="OLE_LINK2"/>
      <w:r w:rsidRPr="006E4F72">
        <w:rPr>
          <w:rFonts w:asciiTheme="majorBidi" w:eastAsia="Times New Roman" w:hAnsiTheme="majorBidi" w:cstheme="majorBidi"/>
          <w:sz w:val="24"/>
          <w:szCs w:val="24"/>
        </w:rPr>
        <w:t>with rituximab</w:t>
      </w:r>
      <w:sdt>
        <w:sdtPr>
          <w:rPr>
            <w:rFonts w:asciiTheme="majorBidi" w:hAnsiTheme="majorBidi" w:cstheme="majorBidi"/>
            <w:sz w:val="24"/>
            <w:szCs w:val="24"/>
          </w:rPr>
          <w:tag w:val="goog_rdk_1"/>
          <w:id w:val="887224740"/>
        </w:sdtPr>
        <w:sdtEndPr/>
        <w:sdtContent>
          <w:r w:rsidR="0054489A" w:rsidRPr="006E4F72">
            <w:rPr>
              <w:rFonts w:asciiTheme="majorBidi" w:hAnsiTheme="majorBidi" w:cstheme="majorBidi"/>
              <w:sz w:val="24"/>
              <w:szCs w:val="24"/>
            </w:rPr>
            <w:t xml:space="preserve"> (</w:t>
          </w:r>
          <w:proofErr w:type="spellStart"/>
          <w:r w:rsidR="0054489A" w:rsidRPr="006E4F72">
            <w:rPr>
              <w:rFonts w:asciiTheme="majorBidi" w:hAnsiTheme="majorBidi" w:cstheme="majorBidi"/>
              <w:sz w:val="24"/>
              <w:szCs w:val="24"/>
            </w:rPr>
            <w:t>MabThera</w:t>
          </w:r>
          <w:proofErr w:type="spellEnd"/>
          <w:r w:rsidR="006E4F72" w:rsidRPr="006E4F72">
            <w:rPr>
              <w:rFonts w:asciiTheme="majorBidi" w:hAnsiTheme="majorBidi" w:cstheme="majorBidi"/>
              <w:sz w:val="24"/>
              <w:szCs w:val="24"/>
            </w:rPr>
            <w:t>,</w:t>
          </w:r>
          <w:r w:rsidR="00944E9C" w:rsidRPr="006E4F72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54489A" w:rsidRPr="006E4F72">
            <w:rPr>
              <w:rFonts w:asciiTheme="majorBidi" w:hAnsiTheme="majorBidi" w:cstheme="majorBidi"/>
              <w:sz w:val="24"/>
              <w:szCs w:val="24"/>
            </w:rPr>
            <w:t>Roche</w:t>
          </w:r>
          <w:r w:rsidR="001370FC" w:rsidRPr="006E4F72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6E4F72" w:rsidRPr="006E4F72">
            <w:rPr>
              <w:rFonts w:asciiTheme="majorBidi" w:hAnsiTheme="majorBidi" w:cstheme="majorBidi"/>
              <w:sz w:val="24"/>
              <w:szCs w:val="24"/>
            </w:rPr>
            <w:t>Pharmaceuticals</w:t>
          </w:r>
          <w:r w:rsidR="0054489A" w:rsidRPr="006E4F72">
            <w:rPr>
              <w:rFonts w:asciiTheme="majorBidi" w:hAnsiTheme="majorBidi" w:cstheme="majorBidi"/>
              <w:sz w:val="24"/>
              <w:szCs w:val="24"/>
            </w:rPr>
            <w:t>)</w:t>
          </w:r>
          <w:r w:rsidRPr="006E4F72">
            <w:rPr>
              <w:rFonts w:asciiTheme="majorBidi" w:eastAsia="Times New Roman" w:hAnsiTheme="majorBidi" w:cstheme="majorBidi"/>
              <w:sz w:val="24"/>
              <w:szCs w:val="24"/>
            </w:rPr>
            <w:t>, independent</w:t>
          </w:r>
          <w:r w:rsidR="006E4F72" w:rsidRPr="006E4F72">
            <w:rPr>
              <w:rFonts w:asciiTheme="majorBidi" w:eastAsia="Times New Roman" w:hAnsiTheme="majorBidi" w:cstheme="majorBidi"/>
              <w:sz w:val="24"/>
              <w:szCs w:val="24"/>
            </w:rPr>
            <w:t>ly</w:t>
          </w:r>
          <w:r w:rsidRPr="006E4F72">
            <w:rPr>
              <w:rFonts w:asciiTheme="majorBidi" w:eastAsia="Times New Roman" w:hAnsiTheme="majorBidi" w:cstheme="majorBidi"/>
              <w:sz w:val="24"/>
              <w:szCs w:val="24"/>
            </w:rPr>
            <w:t xml:space="preserve"> of the treatment</w:t>
          </w:r>
          <w:r w:rsidRPr="006E4F72">
            <w:rPr>
              <w:rFonts w:asciiTheme="majorBidi" w:eastAsia="Times New Roman" w:hAnsiTheme="majorBidi" w:cstheme="majorBidi"/>
              <w:sz w:val="24"/>
              <w:szCs w:val="24"/>
              <w:rtl/>
              <w:lang w:bidi="he-IL"/>
            </w:rPr>
            <w:t xml:space="preserve"> </w:t>
          </w:r>
          <w:r w:rsidRPr="006E4F72">
            <w:rPr>
              <w:rFonts w:asciiTheme="majorBidi" w:eastAsia="Times New Roman" w:hAnsiTheme="majorBidi" w:cstheme="majorBidi"/>
              <w:sz w:val="24"/>
              <w:szCs w:val="24"/>
              <w:lang w:val="en-US" w:bidi="he-IL"/>
            </w:rPr>
            <w:t>line</w:t>
          </w:r>
          <w:r w:rsidRPr="006E4F72">
            <w:rPr>
              <w:rFonts w:asciiTheme="majorBidi" w:eastAsia="Times New Roman" w:hAnsiTheme="majorBidi" w:cstheme="majorBidi"/>
              <w:sz w:val="24"/>
              <w:szCs w:val="24"/>
            </w:rPr>
            <w:t xml:space="preserve">, </w:t>
          </w:r>
        </w:sdtContent>
      </w:sdt>
      <w:sdt>
        <w:sdtPr>
          <w:rPr>
            <w:rFonts w:asciiTheme="majorBidi" w:hAnsiTheme="majorBidi" w:cstheme="majorBidi"/>
            <w:sz w:val="24"/>
            <w:szCs w:val="24"/>
          </w:rPr>
          <w:tag w:val="goog_rdk_2"/>
          <w:id w:val="2099437003"/>
        </w:sdtPr>
        <w:sdtEndPr/>
        <w:sdtContent>
          <w:r w:rsidRPr="006E4F72">
            <w:rPr>
              <w:rFonts w:asciiTheme="majorBidi" w:eastAsia="Times New Roman" w:hAnsiTheme="majorBidi" w:cstheme="majorBidi"/>
              <w:sz w:val="24"/>
              <w:szCs w:val="24"/>
            </w:rPr>
            <w:t>at a protocol of 1</w:t>
          </w:r>
          <w:r w:rsidR="006E4F72" w:rsidRPr="006E4F72">
            <w:rPr>
              <w:rFonts w:asciiTheme="majorBidi" w:eastAsia="Times New Roman" w:hAnsiTheme="majorBidi" w:cstheme="majorBidi"/>
              <w:sz w:val="24"/>
              <w:szCs w:val="24"/>
            </w:rPr>
            <w:t>,</w:t>
          </w:r>
          <w:r w:rsidRPr="006E4F72">
            <w:rPr>
              <w:rFonts w:asciiTheme="majorBidi" w:eastAsia="Times New Roman" w:hAnsiTheme="majorBidi" w:cstheme="majorBidi"/>
              <w:sz w:val="24"/>
              <w:szCs w:val="24"/>
            </w:rPr>
            <w:t>000 mg on days</w:t>
          </w:r>
          <w:r w:rsidR="00556CAD" w:rsidRPr="006E4F72">
            <w:rPr>
              <w:rFonts w:asciiTheme="majorBidi" w:eastAsia="Times New Roman" w:hAnsiTheme="majorBidi" w:cstheme="majorBidi"/>
              <w:sz w:val="24"/>
              <w:szCs w:val="24"/>
            </w:rPr>
            <w:t xml:space="preserve"> 0</w:t>
          </w:r>
          <w:r w:rsidRPr="006E4F72">
            <w:rPr>
              <w:rFonts w:asciiTheme="majorBidi" w:eastAsia="Times New Roman" w:hAnsiTheme="majorBidi" w:cstheme="majorBidi"/>
              <w:sz w:val="24"/>
              <w:szCs w:val="24"/>
            </w:rPr>
            <w:t xml:space="preserve"> and 1</w:t>
          </w:r>
          <w:r w:rsidR="00556CAD" w:rsidRPr="006E4F72">
            <w:rPr>
              <w:rFonts w:asciiTheme="majorBidi" w:eastAsia="Times New Roman" w:hAnsiTheme="majorBidi" w:cstheme="majorBidi"/>
              <w:sz w:val="24"/>
              <w:szCs w:val="24"/>
            </w:rPr>
            <w:t>4</w:t>
          </w:r>
          <w:r w:rsidRPr="006E4F72">
            <w:rPr>
              <w:rFonts w:asciiTheme="majorBidi" w:eastAsia="Times New Roman" w:hAnsiTheme="majorBidi" w:cstheme="majorBidi"/>
              <w:sz w:val="24"/>
              <w:szCs w:val="24"/>
            </w:rPr>
            <w:t xml:space="preserve">, </w:t>
          </w:r>
        </w:sdtContent>
      </w:sdt>
      <w:bookmarkEnd w:id="0"/>
      <w:bookmarkEnd w:id="1"/>
      <w:r w:rsidRPr="006E4F72">
        <w:rPr>
          <w:rFonts w:asciiTheme="majorBidi" w:eastAsia="Times New Roman" w:hAnsiTheme="majorBidi" w:cstheme="majorBidi"/>
          <w:sz w:val="24"/>
          <w:szCs w:val="24"/>
        </w:rPr>
        <w:t xml:space="preserve">were included. Rituximab treatment was further confirmed by cross-checking with the Rabin Medical Center pharmacy, which </w:t>
      </w:r>
      <w:r w:rsidRPr="006E4F72">
        <w:rPr>
          <w:rFonts w:asciiTheme="majorBidi" w:eastAsia="Times New Roman" w:hAnsiTheme="majorBidi" w:cstheme="majorBidi"/>
          <w:sz w:val="24"/>
          <w:szCs w:val="24"/>
          <w:lang w:val="en-US" w:bidi="he-IL"/>
        </w:rPr>
        <w:t>records</w:t>
      </w:r>
      <w:r w:rsidRPr="006E4F72">
        <w:rPr>
          <w:rFonts w:asciiTheme="majorBidi" w:eastAsia="Times New Roman" w:hAnsiTheme="majorBidi" w:cstheme="majorBidi"/>
          <w:sz w:val="24"/>
          <w:szCs w:val="24"/>
        </w:rPr>
        <w:t xml:space="preserve"> all </w:t>
      </w:r>
      <w:sdt>
        <w:sdtPr>
          <w:rPr>
            <w:rFonts w:asciiTheme="majorBidi" w:hAnsiTheme="majorBidi" w:cstheme="majorBidi"/>
            <w:sz w:val="24"/>
            <w:szCs w:val="24"/>
          </w:rPr>
          <w:tag w:val="goog_rdk_3"/>
          <w:id w:val="474184241"/>
        </w:sdtPr>
        <w:sdtEndPr/>
        <w:sdtContent>
          <w:r w:rsidRPr="006E4F72">
            <w:rPr>
              <w:rFonts w:asciiTheme="majorBidi" w:eastAsia="Times New Roman" w:hAnsiTheme="majorBidi" w:cstheme="majorBidi"/>
              <w:sz w:val="24"/>
              <w:szCs w:val="24"/>
            </w:rPr>
            <w:t>rituximab treatments in our center</w:t>
          </w:r>
        </w:sdtContent>
      </w:sdt>
      <w:r w:rsidRPr="006E4F72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5D67495F" w14:textId="4D2C930B" w:rsidR="000B29B0" w:rsidRDefault="006E4F72" w:rsidP="0096260E">
      <w:pPr>
        <w:widowControl w:val="0"/>
        <w:bidi w:val="0"/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tag w:val="goog_rdk_13"/>
          <w:id w:val="1289007370"/>
        </w:sdtPr>
        <w:sdtEndPr/>
        <w:sdtContent>
          <w:r w:rsidR="000B29B0" w:rsidRPr="00C63919">
            <w:rPr>
              <w:rFonts w:asciiTheme="majorBidi" w:eastAsia="Times New Roman" w:hAnsiTheme="majorBidi" w:cstheme="majorBidi"/>
              <w:sz w:val="24"/>
              <w:szCs w:val="24"/>
            </w:rPr>
            <w:t>R</w:t>
          </w:r>
        </w:sdtContent>
      </w:sdt>
      <w:r w:rsidR="000B29B0" w:rsidRPr="00C63919">
        <w:rPr>
          <w:rFonts w:asciiTheme="majorBidi" w:eastAsia="Times New Roman" w:hAnsiTheme="majorBidi" w:cstheme="majorBidi"/>
          <w:sz w:val="24"/>
          <w:szCs w:val="24"/>
        </w:rPr>
        <w:t>etreatment after the first cycle was indicated for patients who had achieved partial remission, patients who relapsed after remission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="000B29B0" w:rsidRPr="00C63919">
        <w:rPr>
          <w:rFonts w:asciiTheme="majorBidi" w:eastAsia="Times New Roman" w:hAnsiTheme="majorBidi" w:cstheme="majorBidi"/>
          <w:sz w:val="24"/>
          <w:szCs w:val="24"/>
        </w:rPr>
        <w:t xml:space="preserve"> or patients who failed to achieve remission. Prior to the recent introduction of rituximab to the Israeli Health basket, some eligible patients were not treated due to financial constraints</w:t>
      </w:r>
      <w:r w:rsidR="0096260E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EA5C28F" w14:textId="77777777" w:rsidR="006E4F72" w:rsidRPr="0096260E" w:rsidRDefault="006E4F72" w:rsidP="006E4F72">
      <w:pPr>
        <w:widowControl w:val="0"/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082D22B5" w14:textId="1B630223" w:rsidR="009962D5" w:rsidRPr="006E4F72" w:rsidRDefault="009962D5" w:rsidP="000B29B0">
      <w:pPr>
        <w:widowControl w:val="0"/>
        <w:bidi w:val="0"/>
        <w:spacing w:after="0" w:line="480" w:lineRule="auto"/>
        <w:rPr>
          <w:rFonts w:asciiTheme="majorBidi" w:eastAsia="Times New Roman" w:hAnsiTheme="majorBidi" w:cstheme="majorBidi"/>
          <w:bCs/>
          <w:i/>
          <w:iCs/>
          <w:sz w:val="24"/>
          <w:szCs w:val="24"/>
        </w:rPr>
      </w:pPr>
      <w:r w:rsidRPr="006E4F72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Statistical </w:t>
      </w:r>
      <w:r w:rsidR="006E4F72" w:rsidRPr="006E4F72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Analysis</w:t>
      </w:r>
    </w:p>
    <w:p w14:paraId="469934CC" w14:textId="26C0F927" w:rsidR="009962D5" w:rsidRPr="006E4F72" w:rsidRDefault="009962D5" w:rsidP="009962D5">
      <w:pPr>
        <w:bidi w:val="0"/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Baseline characteristics and categorical variables were summarized using</w:t>
      </w:r>
      <w:r w:rsid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descriptive statistics and compared with the unpaired 2-tailed </w:t>
      </w:r>
      <w:r w:rsidRPr="006E4F72">
        <w:rPr>
          <w:rFonts w:asciiTheme="majorBidi" w:eastAsia="Times New Roman" w:hAnsiTheme="majorBidi" w:cstheme="majorBidi"/>
          <w:i/>
          <w:color w:val="222222"/>
          <w:sz w:val="24"/>
          <w:szCs w:val="24"/>
          <w:shd w:val="clear" w:color="auto" w:fill="FFFFFF"/>
        </w:rPr>
        <w:t xml:space="preserve">t 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test, exact </w:t>
      </w:r>
      <w:r w:rsidR="006E4F72"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Fisher 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test, χ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test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, Mann</w:t>
      </w:r>
      <w:r w:rsid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-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Whitney test, or</w:t>
      </w:r>
      <w:r w:rsid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Kruskal-Wallis test as appropriate. When the Kruskal-Wallis test showed significance, further pairwise comparisons were corrected using the Bonferroni-Dunn procedure. </w:t>
      </w:r>
      <w:r w:rsidR="006E4F72" w:rsidRPr="006E4F72">
        <w:rPr>
          <w:rFonts w:asciiTheme="majorBidi" w:eastAsia="Times New Roman" w:hAnsiTheme="majorBidi" w:cstheme="majorBidi"/>
          <w:i/>
          <w:color w:val="222222"/>
          <w:sz w:val="24"/>
          <w:szCs w:val="24"/>
          <w:shd w:val="clear" w:color="auto" w:fill="FFFFFF"/>
        </w:rPr>
        <w:t>p</w:t>
      </w:r>
      <w:r w:rsid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&lt;</w:t>
      </w:r>
      <w:r w:rsid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0.05</w:t>
      </w:r>
      <w:r w:rsid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was 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lastRenderedPageBreak/>
        <w:t>considered statistically significant. The data were analyzed using SPSS, version 19.0 for Windows (SPSS Inc)</w:t>
      </w:r>
      <w:r w:rsidRPr="006E4F72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US" w:bidi="he-IL"/>
        </w:rPr>
        <w:t>.</w:t>
      </w:r>
    </w:p>
    <w:p w14:paraId="5ACD588B" w14:textId="77777777" w:rsidR="009D4F40" w:rsidRPr="006E4F72" w:rsidRDefault="006E4F72">
      <w:pPr>
        <w:rPr>
          <w:lang w:val="en-US"/>
        </w:rPr>
      </w:pPr>
    </w:p>
    <w:sectPr w:rsidR="009D4F40" w:rsidRPr="006E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D5"/>
    <w:rsid w:val="000B29B0"/>
    <w:rsid w:val="001370FC"/>
    <w:rsid w:val="00201EB1"/>
    <w:rsid w:val="00293B1C"/>
    <w:rsid w:val="0054489A"/>
    <w:rsid w:val="00556CAD"/>
    <w:rsid w:val="006E4F72"/>
    <w:rsid w:val="00722A2C"/>
    <w:rsid w:val="00944E9C"/>
    <w:rsid w:val="0096260E"/>
    <w:rsid w:val="009962D5"/>
    <w:rsid w:val="009E7DFC"/>
    <w:rsid w:val="00B45AD9"/>
    <w:rsid w:val="00D31340"/>
    <w:rsid w:val="00D9793D"/>
    <w:rsid w:val="00F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9C4C9"/>
  <w15:chartTrackingRefBased/>
  <w15:docId w15:val="{DB5E39DF-CA44-1043-94E1-7D40A61A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62D5"/>
    <w:pPr>
      <w:bidi/>
      <w:spacing w:after="200" w:line="276" w:lineRule="auto"/>
    </w:pPr>
    <w:rPr>
      <w:rFonts w:ascii="Calibri" w:eastAsia="Calibri" w:hAnsi="Calibri" w:cs="Calibri"/>
      <w:sz w:val="22"/>
      <w:szCs w:val="22"/>
      <w:lang w:val="e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B0"/>
    <w:rPr>
      <w:rFonts w:ascii="Times New Roman" w:eastAsia="Calibri" w:hAnsi="Times New Roman" w:cs="Times New Roman"/>
      <w:sz w:val="18"/>
      <w:szCs w:val="18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Nosrati</dc:creator>
  <cp:keywords/>
  <dc:description/>
  <cp:lastModifiedBy>Elisabeth Stöcklin</cp:lastModifiedBy>
  <cp:revision>4</cp:revision>
  <dcterms:created xsi:type="dcterms:W3CDTF">2020-11-03T14:35:00Z</dcterms:created>
  <dcterms:modified xsi:type="dcterms:W3CDTF">2021-01-12T08:52:00Z</dcterms:modified>
</cp:coreProperties>
</file>