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98B4" w14:textId="3A4AA598" w:rsidR="00FC1D2A" w:rsidRPr="002D5761" w:rsidRDefault="00FC1D2A" w:rsidP="00FC1D2A">
      <w:pPr>
        <w:snapToGrid w:val="0"/>
        <w:spacing w:line="360" w:lineRule="auto"/>
        <w:contextualSpacing/>
        <w:jc w:val="both"/>
        <w:rPr>
          <w:rFonts w:ascii="Calibri" w:eastAsiaTheme="minorEastAsia" w:hAnsi="Calibri" w:cs="Times New Roman"/>
          <w:b/>
          <w:color w:val="000000"/>
          <w:lang w:eastAsia="en-US"/>
        </w:rPr>
      </w:pPr>
      <w:bookmarkStart w:id="0" w:name="_Hlk38743596"/>
      <w:r w:rsidRPr="002D5761">
        <w:rPr>
          <w:rFonts w:ascii="Calibri" w:eastAsiaTheme="minorEastAsia" w:hAnsi="Calibri" w:cs="Times New Roman"/>
          <w:b/>
          <w:color w:val="000000"/>
          <w:lang w:eastAsia="en-US"/>
        </w:rPr>
        <w:t>Materials and Methods</w:t>
      </w:r>
      <w:r w:rsidR="00B35C5B">
        <w:rPr>
          <w:rFonts w:ascii="Calibri" w:eastAsiaTheme="minorEastAsia" w:hAnsi="Calibri" w:cs="Times New Roman"/>
          <w:b/>
          <w:color w:val="000000"/>
          <w:lang w:eastAsia="en-US"/>
        </w:rPr>
        <w:t xml:space="preserve"> SuppInfo</w:t>
      </w:r>
    </w:p>
    <w:bookmarkEnd w:id="0"/>
    <w:p w14:paraId="148DFE28" w14:textId="77777777" w:rsidR="00FC1D2A" w:rsidRPr="00037B21" w:rsidRDefault="00FC1D2A" w:rsidP="00FC1D2A">
      <w:pPr>
        <w:snapToGrid w:val="0"/>
        <w:spacing w:line="360" w:lineRule="auto"/>
        <w:contextualSpacing/>
        <w:jc w:val="both"/>
        <w:rPr>
          <w:rFonts w:ascii="Calibri" w:eastAsiaTheme="minorEastAsia" w:hAnsi="Calibri" w:cs="Times New Roman"/>
          <w:i/>
          <w:color w:val="000000"/>
          <w:sz w:val="22"/>
          <w:szCs w:val="22"/>
          <w:lang w:eastAsia="en-US"/>
        </w:rPr>
      </w:pPr>
      <w:r w:rsidRPr="00037B21">
        <w:rPr>
          <w:rFonts w:ascii="Calibri" w:eastAsiaTheme="minorEastAsia" w:hAnsi="Calibri" w:cs="Times New Roman"/>
          <w:i/>
          <w:color w:val="000000"/>
          <w:sz w:val="22"/>
          <w:szCs w:val="22"/>
          <w:lang w:eastAsia="en-US"/>
        </w:rPr>
        <w:t xml:space="preserve">Sample preparation </w:t>
      </w:r>
    </w:p>
    <w:p w14:paraId="265C0EAD" w14:textId="77777777" w:rsidR="00FC1D2A" w:rsidRPr="00641307" w:rsidRDefault="00FC1D2A" w:rsidP="00FC1D2A">
      <w:pPr>
        <w:snapToGrid w:val="0"/>
        <w:spacing w:line="360" w:lineRule="auto"/>
        <w:ind w:firstLineChars="200" w:firstLine="440"/>
        <w:contextualSpacing/>
        <w:jc w:val="both"/>
        <w:rPr>
          <w:rFonts w:ascii="Calibri" w:eastAsiaTheme="minorEastAsia" w:hAnsi="Calibri" w:cs="Times New Roman"/>
          <w:color w:val="000000"/>
          <w:sz w:val="22"/>
          <w:szCs w:val="22"/>
          <w:lang w:eastAsia="en-US"/>
        </w:rPr>
      </w:pPr>
      <w:bookmarkStart w:id="1" w:name="OLE_LINK73"/>
      <w:bookmarkStart w:id="2" w:name="OLE_LINK74"/>
      <w:r w:rsidRPr="00641307">
        <w:rPr>
          <w:rFonts w:ascii="Calibri" w:eastAsiaTheme="minorEastAsia" w:hAnsi="Calibri" w:cs="Times New Roman"/>
          <w:color w:val="000000"/>
          <w:sz w:val="22"/>
          <w:szCs w:val="22"/>
          <w:lang w:eastAsia="en-US"/>
        </w:rPr>
        <w:t xml:space="preserve">The myometrial sample was obtained from the superior aspect of the standard transverse incision. Tissues were washed with saline, snap frozen in liquid nitrogen, and stored at −80°C. </w:t>
      </w:r>
      <w:bookmarkEnd w:id="1"/>
      <w:bookmarkEnd w:id="2"/>
      <w:r w:rsidRPr="00641307">
        <w:rPr>
          <w:rFonts w:ascii="Calibri" w:eastAsiaTheme="minorEastAsia" w:hAnsi="Calibri" w:cs="Times New Roman"/>
          <w:color w:val="000000"/>
          <w:sz w:val="22"/>
          <w:szCs w:val="22"/>
          <w:lang w:eastAsia="en-US"/>
        </w:rPr>
        <w:t xml:space="preserve">An accurately weighed myometrial sample (30 mg) was transferred to a 1.5-mL Eppendorf tube. Two small steel balls were added to the tube. Then, 20 </w:t>
      </w:r>
      <w:proofErr w:type="spellStart"/>
      <w:r w:rsidRPr="00641307">
        <w:rPr>
          <w:rFonts w:ascii="Calibri" w:eastAsiaTheme="minorEastAsia" w:hAnsi="Calibri" w:cs="Times New Roman"/>
          <w:color w:val="000000"/>
          <w:sz w:val="22"/>
          <w:szCs w:val="22"/>
          <w:lang w:eastAsia="en-US"/>
        </w:rPr>
        <w:t>μL</w:t>
      </w:r>
      <w:proofErr w:type="spellEnd"/>
      <w:r w:rsidRPr="00641307">
        <w:rPr>
          <w:rFonts w:ascii="Calibri" w:eastAsiaTheme="minorEastAsia" w:hAnsi="Calibri" w:cs="Times New Roman"/>
          <w:color w:val="000000"/>
          <w:sz w:val="22"/>
          <w:szCs w:val="22"/>
          <w:lang w:eastAsia="en-US"/>
        </w:rPr>
        <w:t xml:space="preserve"> of internal standard (2-chloro-l-phenylalanine in methanol, 0.3 mg/mL) and 400 </w:t>
      </w:r>
      <w:proofErr w:type="spellStart"/>
      <w:r w:rsidRPr="00641307">
        <w:rPr>
          <w:rFonts w:ascii="Calibri" w:eastAsiaTheme="minorEastAsia" w:hAnsi="Calibri" w:cs="Times New Roman"/>
          <w:color w:val="000000"/>
          <w:sz w:val="22"/>
          <w:szCs w:val="22"/>
          <w:lang w:eastAsia="en-US"/>
        </w:rPr>
        <w:t>μL</w:t>
      </w:r>
      <w:proofErr w:type="spellEnd"/>
      <w:r w:rsidRPr="00641307">
        <w:rPr>
          <w:rFonts w:ascii="Calibri" w:eastAsiaTheme="minorEastAsia" w:hAnsi="Calibri" w:cs="Times New Roman"/>
          <w:color w:val="000000"/>
          <w:sz w:val="22"/>
          <w:szCs w:val="22"/>
          <w:lang w:eastAsia="en-US"/>
        </w:rPr>
        <w:t xml:space="preserve"> </w:t>
      </w:r>
      <w:bookmarkStart w:id="3" w:name="OLE_LINK31"/>
      <w:bookmarkStart w:id="4" w:name="OLE_LINK32"/>
      <w:r w:rsidRPr="00641307">
        <w:rPr>
          <w:rFonts w:ascii="Calibri" w:eastAsiaTheme="minorEastAsia" w:hAnsi="Calibri" w:cs="Times New Roman"/>
          <w:color w:val="000000"/>
          <w:sz w:val="22"/>
          <w:szCs w:val="22"/>
          <w:lang w:eastAsia="en-US"/>
        </w:rPr>
        <w:t>of extraction solvent with methanol/water</w:t>
      </w:r>
      <w:bookmarkEnd w:id="3"/>
      <w:bookmarkEnd w:id="4"/>
      <w:r w:rsidRPr="00641307">
        <w:rPr>
          <w:rFonts w:ascii="Calibri" w:eastAsiaTheme="minorEastAsia" w:hAnsi="Calibri" w:cs="Times New Roman"/>
          <w:color w:val="000000"/>
          <w:sz w:val="22"/>
          <w:szCs w:val="22"/>
          <w:lang w:eastAsia="en-US"/>
        </w:rPr>
        <w:t xml:space="preserve"> (4/1, v/v) were added to each sample. Samples were stored at −80°C for 5 min, ground at 60 HZ for 2 min, </w:t>
      </w:r>
      <w:bookmarkStart w:id="5" w:name="OLE_LINK34"/>
      <w:bookmarkStart w:id="6" w:name="OLE_LINK33"/>
      <w:r w:rsidRPr="00641307">
        <w:rPr>
          <w:rFonts w:ascii="Calibri" w:eastAsiaTheme="minorEastAsia" w:hAnsi="Calibri" w:cs="Times New Roman"/>
          <w:color w:val="000000"/>
          <w:sz w:val="22"/>
          <w:szCs w:val="22"/>
          <w:lang w:eastAsia="en-US"/>
        </w:rPr>
        <w:t xml:space="preserve">subjected to ultrasonication </w:t>
      </w:r>
      <w:bookmarkEnd w:id="5"/>
      <w:bookmarkEnd w:id="6"/>
      <w:r w:rsidRPr="00641307">
        <w:rPr>
          <w:rFonts w:ascii="Calibri" w:eastAsiaTheme="minorEastAsia" w:hAnsi="Calibri" w:cs="Times New Roman"/>
          <w:color w:val="000000"/>
          <w:sz w:val="22"/>
          <w:szCs w:val="22"/>
          <w:lang w:eastAsia="en-US"/>
        </w:rPr>
        <w:t xml:space="preserve">in an ice water bath for 10 min, and then stored at −20°C for 30 min. The extract was centrifuged at 15000 rpm at 4°C for 10 min. </w:t>
      </w:r>
      <w:bookmarkStart w:id="7" w:name="OLE_LINK38"/>
      <w:bookmarkStart w:id="8" w:name="OLE_LINK37"/>
      <w:r w:rsidRPr="00641307">
        <w:rPr>
          <w:rFonts w:ascii="Calibri" w:eastAsiaTheme="minorEastAsia" w:hAnsi="Calibri" w:cs="Times New Roman"/>
          <w:color w:val="000000"/>
          <w:sz w:val="22"/>
          <w:szCs w:val="22"/>
          <w:lang w:eastAsia="en-US"/>
        </w:rPr>
        <w:t xml:space="preserve">The supernatants (200 </w:t>
      </w:r>
      <w:proofErr w:type="spellStart"/>
      <w:r w:rsidRPr="00641307">
        <w:rPr>
          <w:rFonts w:ascii="Calibri" w:eastAsiaTheme="minorEastAsia" w:hAnsi="Calibri" w:cs="Times New Roman"/>
          <w:color w:val="000000"/>
          <w:sz w:val="22"/>
          <w:szCs w:val="22"/>
          <w:lang w:eastAsia="en-US"/>
        </w:rPr>
        <w:t>μL</w:t>
      </w:r>
      <w:proofErr w:type="spellEnd"/>
      <w:r w:rsidRPr="00641307">
        <w:rPr>
          <w:rFonts w:ascii="Calibri" w:eastAsiaTheme="minorEastAsia" w:hAnsi="Calibri" w:cs="Times New Roman"/>
          <w:color w:val="000000"/>
          <w:sz w:val="22"/>
          <w:szCs w:val="22"/>
          <w:lang w:eastAsia="en-US"/>
        </w:rPr>
        <w:t xml:space="preserve">) from each tube were collected using crystal syringes, filtered through 0.22 </w:t>
      </w:r>
      <w:proofErr w:type="spellStart"/>
      <w:r w:rsidRPr="00641307">
        <w:rPr>
          <w:rFonts w:ascii="Calibri" w:eastAsiaTheme="minorEastAsia" w:hAnsi="Calibri" w:cs="Times New Roman"/>
          <w:color w:val="000000"/>
          <w:sz w:val="22"/>
          <w:szCs w:val="22"/>
          <w:lang w:eastAsia="en-US"/>
        </w:rPr>
        <w:t>μm</w:t>
      </w:r>
      <w:proofErr w:type="spellEnd"/>
      <w:r w:rsidRPr="00641307">
        <w:rPr>
          <w:rFonts w:ascii="Calibri" w:eastAsiaTheme="minorEastAsia" w:hAnsi="Calibri" w:cs="Times New Roman"/>
          <w:color w:val="000000"/>
          <w:sz w:val="22"/>
          <w:szCs w:val="22"/>
          <w:lang w:eastAsia="en-US"/>
        </w:rPr>
        <w:t xml:space="preserve"> microfilters, and transferred to LC vials. The vials were stored at −80°C until LC-MS analysis. </w:t>
      </w:r>
      <w:bookmarkEnd w:id="7"/>
      <w:bookmarkEnd w:id="8"/>
      <w:r w:rsidRPr="00641307">
        <w:rPr>
          <w:rFonts w:ascii="Calibri" w:eastAsiaTheme="minorEastAsia" w:hAnsi="Calibri" w:cs="Times New Roman"/>
          <w:color w:val="000000"/>
          <w:sz w:val="22"/>
          <w:szCs w:val="22"/>
          <w:lang w:eastAsia="en-US"/>
        </w:rPr>
        <w:t xml:space="preserve">Quality control (QC) samples were prepared by </w:t>
      </w:r>
      <w:bookmarkStart w:id="9" w:name="OLE_LINK39"/>
      <w:bookmarkStart w:id="10" w:name="OLE_LINK40"/>
      <w:r w:rsidRPr="00641307">
        <w:rPr>
          <w:rFonts w:ascii="Calibri" w:eastAsiaTheme="minorEastAsia" w:hAnsi="Calibri" w:cs="Times New Roman"/>
          <w:color w:val="000000"/>
          <w:sz w:val="22"/>
          <w:szCs w:val="22"/>
          <w:lang w:eastAsia="en-US"/>
        </w:rPr>
        <w:t xml:space="preserve">pooling the aliquots </w:t>
      </w:r>
      <w:bookmarkEnd w:id="9"/>
      <w:bookmarkEnd w:id="10"/>
      <w:r w:rsidRPr="00641307">
        <w:rPr>
          <w:rFonts w:ascii="Calibri" w:eastAsiaTheme="minorEastAsia" w:hAnsi="Calibri" w:cs="Times New Roman"/>
          <w:color w:val="000000"/>
          <w:sz w:val="22"/>
          <w:szCs w:val="22"/>
          <w:lang w:eastAsia="en-US"/>
        </w:rPr>
        <w:t xml:space="preserve">of all the samples. </w:t>
      </w:r>
    </w:p>
    <w:p w14:paraId="34ABBF47" w14:textId="77777777" w:rsidR="00FC1D2A" w:rsidRPr="00641307" w:rsidRDefault="00FC1D2A" w:rsidP="00FC1D2A">
      <w:pPr>
        <w:snapToGrid w:val="0"/>
        <w:spacing w:line="360" w:lineRule="auto"/>
        <w:ind w:firstLineChars="200" w:firstLine="440"/>
        <w:contextualSpacing/>
        <w:jc w:val="both"/>
        <w:rPr>
          <w:rFonts w:ascii="Calibri" w:eastAsiaTheme="minorEastAsia" w:hAnsi="Calibri" w:cs="Times New Roman"/>
          <w:color w:val="000000"/>
          <w:sz w:val="22"/>
          <w:szCs w:val="22"/>
          <w:lang w:eastAsia="en-US"/>
        </w:rPr>
      </w:pPr>
      <w:r w:rsidRPr="00641307">
        <w:rPr>
          <w:rFonts w:ascii="Calibri" w:eastAsiaTheme="minorEastAsia" w:hAnsi="Calibri" w:cs="Times New Roman"/>
          <w:color w:val="000000"/>
          <w:sz w:val="22"/>
          <w:szCs w:val="22"/>
          <w:lang w:eastAsia="en-US"/>
        </w:rPr>
        <w:t>All chemicals and solvents were analytical or high-performance liquid chromatography (HPLC) grade. Water, methanol, acetonitrile, and formic acid were purchased from CNW Technologies GmbH (</w:t>
      </w:r>
      <w:proofErr w:type="spellStart"/>
      <w:r w:rsidRPr="00641307">
        <w:rPr>
          <w:rFonts w:ascii="Calibri" w:eastAsiaTheme="minorEastAsia" w:hAnsi="Calibri" w:cs="Times New Roman"/>
          <w:color w:val="000000"/>
          <w:sz w:val="22"/>
          <w:szCs w:val="22"/>
          <w:lang w:eastAsia="en-US"/>
        </w:rPr>
        <w:t>Düsseldorf</w:t>
      </w:r>
      <w:proofErr w:type="spellEnd"/>
      <w:r w:rsidRPr="00641307">
        <w:rPr>
          <w:rFonts w:ascii="Calibri" w:eastAsiaTheme="minorEastAsia" w:hAnsi="Calibri" w:cs="Times New Roman"/>
          <w:color w:val="000000"/>
          <w:sz w:val="22"/>
          <w:szCs w:val="22"/>
          <w:lang w:eastAsia="en-US"/>
        </w:rPr>
        <w:t xml:space="preserve">, Germany). L-2-chlorophenylalanine was purchased from Shanghai </w:t>
      </w:r>
      <w:proofErr w:type="spellStart"/>
      <w:r w:rsidRPr="00641307">
        <w:rPr>
          <w:rFonts w:ascii="Calibri" w:eastAsiaTheme="minorEastAsia" w:hAnsi="Calibri" w:cs="Times New Roman"/>
          <w:color w:val="000000"/>
          <w:sz w:val="22"/>
          <w:szCs w:val="22"/>
          <w:lang w:eastAsia="en-US"/>
        </w:rPr>
        <w:t>Hengchuang</w:t>
      </w:r>
      <w:proofErr w:type="spellEnd"/>
      <w:r w:rsidRPr="00641307">
        <w:rPr>
          <w:rFonts w:ascii="Calibri" w:eastAsiaTheme="minorEastAsia" w:hAnsi="Calibri" w:cs="Times New Roman"/>
          <w:color w:val="000000"/>
          <w:sz w:val="22"/>
          <w:szCs w:val="22"/>
          <w:lang w:eastAsia="en-US"/>
        </w:rPr>
        <w:t xml:space="preserve"> Bio-technology Co., Ltd. (Shanghai, China). </w:t>
      </w:r>
    </w:p>
    <w:p w14:paraId="3BD5E05F" w14:textId="77777777" w:rsidR="00FC1D2A" w:rsidRPr="00037B21" w:rsidRDefault="00FC1D2A" w:rsidP="00FC1D2A">
      <w:pPr>
        <w:snapToGrid w:val="0"/>
        <w:spacing w:line="360" w:lineRule="auto"/>
        <w:contextualSpacing/>
        <w:jc w:val="both"/>
        <w:rPr>
          <w:rFonts w:ascii="Calibri" w:eastAsiaTheme="minorEastAsia" w:hAnsi="Calibri" w:cs="Times New Roman"/>
          <w:i/>
          <w:color w:val="000000"/>
          <w:sz w:val="22"/>
          <w:szCs w:val="22"/>
          <w:lang w:eastAsia="en-US"/>
        </w:rPr>
      </w:pPr>
      <w:r w:rsidRPr="00037B21">
        <w:rPr>
          <w:rFonts w:ascii="Calibri" w:eastAsiaTheme="minorEastAsia" w:hAnsi="Calibri" w:cs="Times New Roman"/>
          <w:i/>
          <w:color w:val="000000"/>
          <w:sz w:val="22"/>
          <w:szCs w:val="22"/>
          <w:lang w:eastAsia="en-US"/>
        </w:rPr>
        <w:t>Mass spectrometry analysis</w:t>
      </w:r>
    </w:p>
    <w:p w14:paraId="170D68FB" w14:textId="77777777" w:rsidR="00FC1D2A" w:rsidRPr="00B35C5B" w:rsidRDefault="00FC1D2A" w:rsidP="00FC1D2A">
      <w:pPr>
        <w:snapToGrid w:val="0"/>
        <w:spacing w:line="360" w:lineRule="auto"/>
        <w:ind w:firstLineChars="200" w:firstLine="440"/>
        <w:contextualSpacing/>
        <w:jc w:val="both"/>
        <w:rPr>
          <w:rFonts w:ascii="Calibri" w:eastAsiaTheme="minorEastAsia" w:hAnsi="Calibri" w:cs="Times New Roman"/>
          <w:color w:val="000000"/>
          <w:sz w:val="22"/>
          <w:szCs w:val="22"/>
          <w:lang w:eastAsia="en-US"/>
        </w:rPr>
      </w:pPr>
      <w:r w:rsidRPr="00B35C5B">
        <w:rPr>
          <w:rFonts w:ascii="Calibri" w:eastAsiaTheme="minorEastAsia" w:hAnsi="Calibri" w:cs="Times New Roman"/>
          <w:color w:val="000000"/>
          <w:sz w:val="22"/>
          <w:szCs w:val="22"/>
          <w:lang w:eastAsia="en-US"/>
        </w:rPr>
        <w:t xml:space="preserve">A total of 60 myometrial samples were for metabolite profiling by a An ACQUITY UHPLC system coupled with a </w:t>
      </w:r>
      <w:proofErr w:type="spellStart"/>
      <w:r w:rsidRPr="00B35C5B">
        <w:rPr>
          <w:rFonts w:ascii="Calibri" w:eastAsiaTheme="minorEastAsia" w:hAnsi="Calibri" w:cs="Times New Roman"/>
          <w:color w:val="000000"/>
          <w:sz w:val="22"/>
          <w:szCs w:val="22"/>
          <w:lang w:eastAsia="en-US"/>
        </w:rPr>
        <w:t>Xevo</w:t>
      </w:r>
      <w:proofErr w:type="spellEnd"/>
      <w:r w:rsidRPr="00B35C5B">
        <w:rPr>
          <w:rFonts w:ascii="Calibri" w:eastAsiaTheme="minorEastAsia" w:hAnsi="Calibri" w:cs="Times New Roman"/>
          <w:color w:val="000000"/>
          <w:sz w:val="22"/>
          <w:szCs w:val="22"/>
          <w:lang w:eastAsia="en-US"/>
        </w:rPr>
        <w:t xml:space="preserve"> G2-XS mass spectrometer (LC-MS) approach (Waters Corporation, Milford, CT, USA). An ACQUI</w:t>
      </w:r>
      <w:r w:rsidRPr="00641307">
        <w:rPr>
          <w:rFonts w:ascii="Calibri" w:eastAsiaTheme="minorEastAsia" w:hAnsi="Calibri" w:cs="Times New Roman"/>
          <w:color w:val="000000"/>
          <w:sz w:val="22"/>
          <w:szCs w:val="22"/>
          <w:lang w:eastAsia="en-US"/>
        </w:rPr>
        <w:t xml:space="preserve">TY UPLS BEH C18 column (1.7 </w:t>
      </w:r>
      <w:proofErr w:type="spellStart"/>
      <w:r w:rsidRPr="00641307">
        <w:rPr>
          <w:rFonts w:ascii="Calibri" w:eastAsiaTheme="minorEastAsia" w:hAnsi="Calibri" w:cs="Times New Roman"/>
          <w:color w:val="000000"/>
          <w:sz w:val="22"/>
          <w:szCs w:val="22"/>
          <w:lang w:eastAsia="en-US"/>
        </w:rPr>
        <w:t>μm</w:t>
      </w:r>
      <w:proofErr w:type="spellEnd"/>
      <w:r w:rsidRPr="00641307">
        <w:rPr>
          <w:rFonts w:ascii="Calibri" w:eastAsiaTheme="minorEastAsia" w:hAnsi="Calibri" w:cs="Times New Roman"/>
          <w:color w:val="000000"/>
          <w:sz w:val="22"/>
          <w:szCs w:val="22"/>
          <w:lang w:eastAsia="en-US"/>
        </w:rPr>
        <w:t xml:space="preserve">, 2.1 × 100 mm) was employed in both positive and negative modes. </w:t>
      </w:r>
      <w:bookmarkStart w:id="11" w:name="OLE_LINK104"/>
      <w:bookmarkStart w:id="12" w:name="OLE_LINK105"/>
      <w:r w:rsidRPr="00641307">
        <w:rPr>
          <w:rFonts w:ascii="Calibri" w:eastAsiaTheme="minorEastAsia" w:hAnsi="Calibri" w:cs="Times New Roman"/>
          <w:color w:val="000000"/>
          <w:sz w:val="22"/>
          <w:szCs w:val="22"/>
          <w:lang w:eastAsia="en-US"/>
        </w:rPr>
        <w:t>The binary gradient elution system consisted</w:t>
      </w:r>
      <w:bookmarkEnd w:id="11"/>
      <w:bookmarkEnd w:id="12"/>
      <w:r w:rsidRPr="00641307">
        <w:rPr>
          <w:rFonts w:ascii="Calibri" w:eastAsiaTheme="minorEastAsia" w:hAnsi="Calibri" w:cs="Times New Roman"/>
          <w:color w:val="000000"/>
          <w:sz w:val="22"/>
          <w:szCs w:val="22"/>
          <w:lang w:eastAsia="en-US"/>
        </w:rPr>
        <w:t xml:space="preserve"> of (A) water (containing 0.1% formic acid, v/v) and (B) acetonitrile (containing 0.1% formic acid, v/v). The linear gradient was as follows: 0 min, 1% B; 1 min, 30% B; 2.5 min, 60% B; 6.5 min, 90% B; 8.5 min, 100% B; 10.7 min, 100% B; 10.8 min, 1% B; and 13 min, 1% B. The flow rate was 0.4 mL/min, and the column temperature was 45°C. All the samples were kept at 4°C during the analysis. The injection vo</w:t>
      </w:r>
      <w:r w:rsidRPr="00B35C5B">
        <w:rPr>
          <w:rFonts w:ascii="Calibri" w:eastAsiaTheme="minorEastAsia" w:hAnsi="Calibri" w:cs="Times New Roman"/>
          <w:color w:val="000000"/>
          <w:sz w:val="22"/>
          <w:szCs w:val="22"/>
          <w:lang w:eastAsia="en-US"/>
        </w:rPr>
        <w:t xml:space="preserve">lume was 2 </w:t>
      </w:r>
      <w:proofErr w:type="spellStart"/>
      <w:r w:rsidRPr="00B35C5B">
        <w:rPr>
          <w:rFonts w:ascii="Calibri" w:eastAsiaTheme="minorEastAsia" w:hAnsi="Calibri" w:cs="Times New Roman"/>
          <w:color w:val="000000"/>
          <w:sz w:val="22"/>
          <w:szCs w:val="22"/>
          <w:lang w:eastAsia="en-US"/>
        </w:rPr>
        <w:t>μL</w:t>
      </w:r>
      <w:proofErr w:type="spellEnd"/>
      <w:r w:rsidRPr="00B35C5B">
        <w:rPr>
          <w:rFonts w:ascii="Calibri" w:eastAsiaTheme="minorEastAsia" w:hAnsi="Calibri" w:cs="Times New Roman"/>
          <w:color w:val="000000"/>
          <w:sz w:val="22"/>
          <w:szCs w:val="22"/>
          <w:lang w:eastAsia="en-US"/>
        </w:rPr>
        <w:t>.</w:t>
      </w:r>
    </w:p>
    <w:p w14:paraId="7881137C" w14:textId="77777777" w:rsidR="00FC1D2A" w:rsidRPr="00641307" w:rsidRDefault="00FC1D2A" w:rsidP="00FC1D2A">
      <w:pPr>
        <w:snapToGrid w:val="0"/>
        <w:spacing w:line="360" w:lineRule="auto"/>
        <w:ind w:firstLineChars="200" w:firstLine="440"/>
        <w:contextualSpacing/>
        <w:jc w:val="both"/>
        <w:rPr>
          <w:rFonts w:ascii="Calibri" w:eastAsiaTheme="minorEastAsia" w:hAnsi="Calibri" w:cs="Times New Roman"/>
          <w:color w:val="000000"/>
          <w:sz w:val="22"/>
          <w:szCs w:val="22"/>
          <w:lang w:eastAsia="en-US"/>
        </w:rPr>
      </w:pPr>
      <w:r w:rsidRPr="00B35C5B">
        <w:rPr>
          <w:rFonts w:ascii="Calibri" w:eastAsiaTheme="minorEastAsia" w:hAnsi="Calibri" w:cs="Times New Roman"/>
          <w:color w:val="000000"/>
          <w:sz w:val="22"/>
          <w:szCs w:val="22"/>
          <w:lang w:eastAsia="en-US"/>
        </w:rPr>
        <w:t>The QCs were injected at regular intervals (every 10 samples) throughout the analytical run to provide a set of data from which repeatability could be assessed (</w:t>
      </w:r>
      <w:bookmarkStart w:id="13" w:name="OLE_LINK167"/>
      <w:bookmarkStart w:id="14" w:name="OLE_LINK168"/>
      <w:r w:rsidRPr="00B35C5B">
        <w:rPr>
          <w:rFonts w:ascii="Calibri" w:eastAsiaTheme="minorEastAsia" w:hAnsi="Calibri" w:cs="Times New Roman"/>
          <w:color w:val="000000"/>
          <w:sz w:val="22"/>
          <w:szCs w:val="22"/>
          <w:lang w:eastAsia="en-US"/>
        </w:rPr>
        <w:t>Fig.1 SuppInfo</w:t>
      </w:r>
      <w:bookmarkEnd w:id="13"/>
      <w:bookmarkEnd w:id="14"/>
      <w:r w:rsidRPr="00B35C5B">
        <w:rPr>
          <w:rFonts w:ascii="Calibri" w:eastAsiaTheme="minorEastAsia" w:hAnsi="Calibri" w:cs="Times New Roman"/>
          <w:color w:val="000000"/>
          <w:sz w:val="22"/>
          <w:szCs w:val="22"/>
          <w:lang w:eastAsia="en-US"/>
        </w:rPr>
        <w:t>).</w:t>
      </w:r>
      <w:r w:rsidRPr="00641307">
        <w:rPr>
          <w:rFonts w:ascii="Calibri" w:eastAsiaTheme="minorEastAsia" w:hAnsi="Calibri" w:cs="Times New Roman"/>
          <w:color w:val="000000"/>
          <w:sz w:val="22"/>
          <w:szCs w:val="22"/>
          <w:lang w:eastAsia="en-US"/>
        </w:rPr>
        <w:t xml:space="preserve"> </w:t>
      </w:r>
    </w:p>
    <w:p w14:paraId="0AD585FE" w14:textId="77777777" w:rsidR="00FC1D2A" w:rsidRPr="00037B21" w:rsidRDefault="00FC1D2A" w:rsidP="00FC1D2A">
      <w:pPr>
        <w:snapToGrid w:val="0"/>
        <w:spacing w:line="360" w:lineRule="auto"/>
        <w:contextualSpacing/>
        <w:jc w:val="both"/>
        <w:rPr>
          <w:rFonts w:ascii="Calibri" w:eastAsiaTheme="minorEastAsia" w:hAnsi="Calibri" w:cs="Times New Roman"/>
          <w:i/>
          <w:color w:val="000000"/>
          <w:sz w:val="22"/>
          <w:szCs w:val="22"/>
          <w:lang w:eastAsia="en-US"/>
        </w:rPr>
      </w:pPr>
      <w:r w:rsidRPr="00037B21">
        <w:rPr>
          <w:rFonts w:ascii="Calibri" w:eastAsiaTheme="minorEastAsia" w:hAnsi="Calibri" w:cs="Times New Roman"/>
          <w:i/>
          <w:color w:val="000000"/>
          <w:sz w:val="22"/>
          <w:szCs w:val="22"/>
          <w:lang w:eastAsia="en-US"/>
        </w:rPr>
        <w:t xml:space="preserve">Data preprocessing and statistical analysis </w:t>
      </w:r>
    </w:p>
    <w:p w14:paraId="3922BFDA" w14:textId="360B6E0B" w:rsidR="00B35C5B" w:rsidRDefault="00FC1D2A" w:rsidP="00B35C5B">
      <w:pPr>
        <w:snapToGrid w:val="0"/>
        <w:spacing w:line="360" w:lineRule="auto"/>
        <w:ind w:firstLineChars="200" w:firstLine="440"/>
        <w:contextualSpacing/>
        <w:jc w:val="both"/>
        <w:rPr>
          <w:rFonts w:ascii="Calibri" w:eastAsiaTheme="minorEastAsia" w:hAnsi="Calibri" w:cs="Times New Roman"/>
          <w:color w:val="000000"/>
          <w:sz w:val="22"/>
          <w:szCs w:val="22"/>
          <w:lang w:eastAsia="en-US"/>
        </w:rPr>
      </w:pPr>
      <w:r w:rsidRPr="00B35C5B">
        <w:rPr>
          <w:rFonts w:ascii="Calibri" w:eastAsiaTheme="minorEastAsia" w:hAnsi="Calibri" w:cs="Times New Roman"/>
          <w:color w:val="000000"/>
          <w:sz w:val="22"/>
          <w:szCs w:val="22"/>
          <w:lang w:eastAsia="en-US"/>
        </w:rPr>
        <w:t xml:space="preserve">The acquired LC-MS raw data were analyzed by the </w:t>
      </w:r>
      <w:r w:rsidR="00583DEE" w:rsidRPr="00583DEE">
        <w:rPr>
          <w:rFonts w:ascii="Calibri" w:eastAsiaTheme="minorEastAsia" w:hAnsi="Calibri" w:cs="Times New Roman"/>
          <w:color w:val="000000"/>
          <w:sz w:val="22"/>
          <w:szCs w:val="22"/>
          <w:lang w:eastAsia="en-US"/>
        </w:rPr>
        <w:t>progqenesis</w:t>
      </w:r>
      <w:r w:rsidRPr="00B35C5B">
        <w:rPr>
          <w:rFonts w:ascii="Calibri" w:eastAsiaTheme="minorEastAsia" w:hAnsi="Calibri" w:cs="Times New Roman"/>
          <w:color w:val="000000"/>
          <w:sz w:val="22"/>
          <w:szCs w:val="22"/>
          <w:lang w:eastAsia="en-US"/>
        </w:rPr>
        <w:t xml:space="preserve"> QI software (Nonlinear Dynamics, Newcastle, UK) using the following parameters. Precursor tolerance was set 5 ppm, fragment tolerance was set 10 ppm, and retention time (RT) tolerance was set 0.02 min. </w:t>
      </w:r>
      <w:r w:rsidRPr="00B35C5B">
        <w:rPr>
          <w:rFonts w:ascii="Calibri" w:eastAsiaTheme="minorEastAsia" w:hAnsi="Calibri" w:cs="Times New Roman"/>
          <w:color w:val="000000"/>
          <w:sz w:val="22"/>
          <w:szCs w:val="22"/>
          <w:lang w:eastAsia="en-US"/>
        </w:rPr>
        <w:lastRenderedPageBreak/>
        <w:t>Internal standard detection parameters were deselected for peak RT alignment, isotopic peaks were excluded for analysis, and noise elimination level was set at 10.00, minimum intensity was set to 15 % of base peak intensity. The Excel file was obtained with three-dimension data sets including m/z, peak RT and peak intensities, and RT–m/z pairs were used as the identifier for each ion. The resulting matrix was further reduced by removing any peaks with missing value (ion intensity = 0) in more than 60 % samples.</w:t>
      </w:r>
      <w:r w:rsidRPr="00B35C5B">
        <w:rPr>
          <w:rFonts w:ascii="Calibri" w:eastAsiaTheme="minorEastAsia" w:hAnsi="Calibri" w:cs="Times New Roman" w:hint="eastAsia"/>
          <w:color w:val="000000"/>
          <w:sz w:val="22"/>
          <w:szCs w:val="22"/>
          <w:lang w:eastAsia="en-US"/>
        </w:rPr>
        <w:t xml:space="preserve"> </w:t>
      </w:r>
      <w:bookmarkStart w:id="15" w:name="OLE_LINK107"/>
      <w:bookmarkStart w:id="16" w:name="OLE_LINK113"/>
      <w:r w:rsidR="00B35C5B">
        <w:rPr>
          <w:rFonts w:ascii="Calibri" w:eastAsiaTheme="minorEastAsia" w:hAnsi="Calibri" w:cs="Times New Roman"/>
          <w:color w:val="000000"/>
          <w:sz w:val="22"/>
          <w:szCs w:val="22"/>
          <w:lang w:eastAsia="en-US"/>
        </w:rPr>
        <w:t>Q</w:t>
      </w:r>
      <w:r w:rsidR="00A34C51" w:rsidRPr="00B35C5B">
        <w:rPr>
          <w:rFonts w:ascii="Calibri" w:eastAsiaTheme="minorEastAsia" w:hAnsi="Calibri" w:cs="Times New Roman"/>
          <w:color w:val="000000"/>
          <w:sz w:val="22"/>
          <w:szCs w:val="22"/>
          <w:lang w:eastAsia="en-US"/>
        </w:rPr>
        <w:t xml:space="preserve">ualitative identification of </w:t>
      </w:r>
      <w:bookmarkStart w:id="17" w:name="OLE_LINK126"/>
      <w:bookmarkStart w:id="18" w:name="OLE_LINK127"/>
      <w:r w:rsidR="00A34C51" w:rsidRPr="00B35C5B">
        <w:rPr>
          <w:rFonts w:ascii="Calibri" w:eastAsiaTheme="minorEastAsia" w:hAnsi="Calibri" w:cs="Times New Roman"/>
          <w:color w:val="000000"/>
          <w:sz w:val="22"/>
          <w:szCs w:val="22"/>
          <w:lang w:eastAsia="en-US"/>
        </w:rPr>
        <w:t xml:space="preserve">the compounds was conducted using The Human Metabolome Database, </w:t>
      </w:r>
      <w:proofErr w:type="spellStart"/>
      <w:r w:rsidR="00A34C51" w:rsidRPr="00B35C5B">
        <w:rPr>
          <w:rFonts w:ascii="Calibri" w:eastAsiaTheme="minorEastAsia" w:hAnsi="Calibri" w:cs="Times New Roman"/>
          <w:color w:val="000000"/>
          <w:sz w:val="22"/>
          <w:szCs w:val="22"/>
          <w:lang w:eastAsia="en-US"/>
        </w:rPr>
        <w:t>Lipidmaps</w:t>
      </w:r>
      <w:proofErr w:type="spellEnd"/>
      <w:r w:rsidR="00A34C51" w:rsidRPr="00B35C5B">
        <w:rPr>
          <w:rFonts w:ascii="Calibri" w:eastAsiaTheme="minorEastAsia" w:hAnsi="Calibri" w:cs="Times New Roman"/>
          <w:color w:val="000000"/>
          <w:sz w:val="22"/>
          <w:szCs w:val="22"/>
          <w:lang w:eastAsia="en-US"/>
        </w:rPr>
        <w:t xml:space="preserve"> (v2.3), and the METLIN database.</w:t>
      </w:r>
      <w:bookmarkEnd w:id="17"/>
      <w:bookmarkEnd w:id="18"/>
      <w:r w:rsidR="00A34C51" w:rsidRPr="00B35C5B">
        <w:rPr>
          <w:rFonts w:ascii="Calibri" w:eastAsiaTheme="minorEastAsia" w:hAnsi="Calibri" w:cs="Times New Roman"/>
          <w:color w:val="000000"/>
          <w:sz w:val="22"/>
          <w:szCs w:val="22"/>
          <w:lang w:eastAsia="en-US"/>
        </w:rPr>
        <w:t xml:space="preserve"> </w:t>
      </w:r>
    </w:p>
    <w:p w14:paraId="07A24C0E" w14:textId="784C6A0F" w:rsidR="00ED169E" w:rsidRDefault="00FC1D2A" w:rsidP="00ED169E">
      <w:pPr>
        <w:snapToGrid w:val="0"/>
        <w:spacing w:line="360" w:lineRule="auto"/>
        <w:ind w:firstLineChars="200" w:firstLine="440"/>
        <w:contextualSpacing/>
        <w:jc w:val="both"/>
        <w:rPr>
          <w:rFonts w:ascii="Calibri" w:eastAsiaTheme="minorEastAsia" w:hAnsi="Calibri" w:cs="Times New Roman"/>
          <w:color w:val="000000"/>
          <w:sz w:val="22"/>
          <w:szCs w:val="22"/>
          <w:lang w:eastAsia="en-US"/>
        </w:rPr>
      </w:pPr>
      <w:r>
        <w:rPr>
          <w:rFonts w:ascii="Calibri" w:eastAsiaTheme="minorEastAsia" w:hAnsi="Calibri" w:cs="Times New Roman"/>
          <w:color w:val="000000"/>
          <w:sz w:val="22"/>
          <w:szCs w:val="22"/>
          <w:lang w:eastAsia="en-US"/>
        </w:rPr>
        <w:t>N</w:t>
      </w:r>
      <w:r w:rsidRPr="00B35C5B">
        <w:rPr>
          <w:rFonts w:ascii="Calibri" w:eastAsiaTheme="minorEastAsia" w:hAnsi="Calibri" w:cs="Times New Roman"/>
          <w:color w:val="000000"/>
          <w:sz w:val="22"/>
          <w:szCs w:val="22"/>
          <w:lang w:eastAsia="en-US"/>
        </w:rPr>
        <w:t xml:space="preserve">ext, </w:t>
      </w:r>
      <w:bookmarkEnd w:id="15"/>
      <w:bookmarkEnd w:id="16"/>
      <w:r w:rsidR="00B35C5B">
        <w:rPr>
          <w:rFonts w:ascii="Calibri" w:eastAsiaTheme="minorEastAsia" w:hAnsi="Calibri" w:cs="Times New Roman"/>
          <w:color w:val="000000"/>
          <w:sz w:val="22"/>
          <w:szCs w:val="22"/>
          <w:lang w:eastAsia="en-US"/>
        </w:rPr>
        <w:t>t</w:t>
      </w:r>
      <w:r w:rsidR="00B35C5B" w:rsidRPr="00B35C5B">
        <w:rPr>
          <w:rFonts w:ascii="Calibri" w:eastAsiaTheme="minorEastAsia" w:hAnsi="Calibri" w:cs="Times New Roman"/>
          <w:color w:val="000000"/>
          <w:sz w:val="22"/>
          <w:szCs w:val="22"/>
          <w:lang w:eastAsia="en-US"/>
        </w:rPr>
        <w:t xml:space="preserve">he positive and negative data were combined to get a combine data which was imported into SIMCA software package (version 14.0, </w:t>
      </w:r>
      <w:proofErr w:type="spellStart"/>
      <w:r w:rsidR="00B35C5B" w:rsidRPr="00B35C5B">
        <w:rPr>
          <w:rFonts w:ascii="Calibri" w:eastAsiaTheme="minorEastAsia" w:hAnsi="Calibri" w:cs="Times New Roman"/>
          <w:color w:val="000000"/>
          <w:sz w:val="22"/>
          <w:szCs w:val="22"/>
          <w:lang w:eastAsia="en-US"/>
        </w:rPr>
        <w:t>Umetrics</w:t>
      </w:r>
      <w:proofErr w:type="spellEnd"/>
      <w:r w:rsidR="00B35C5B" w:rsidRPr="00B35C5B">
        <w:rPr>
          <w:rFonts w:ascii="Calibri" w:eastAsiaTheme="minorEastAsia" w:hAnsi="Calibri" w:cs="Times New Roman"/>
          <w:color w:val="000000"/>
          <w:sz w:val="22"/>
          <w:szCs w:val="22"/>
          <w:lang w:eastAsia="en-US"/>
        </w:rPr>
        <w:t xml:space="preserve">, </w:t>
      </w:r>
      <w:proofErr w:type="spellStart"/>
      <w:r w:rsidR="00B35C5B" w:rsidRPr="00B35C5B">
        <w:rPr>
          <w:rFonts w:ascii="Calibri" w:eastAsiaTheme="minorEastAsia" w:hAnsi="Calibri" w:cs="Times New Roman"/>
          <w:color w:val="000000"/>
          <w:sz w:val="22"/>
          <w:szCs w:val="22"/>
          <w:lang w:eastAsia="en-US"/>
        </w:rPr>
        <w:t>Umeå</w:t>
      </w:r>
      <w:proofErr w:type="spellEnd"/>
      <w:r w:rsidR="00B35C5B" w:rsidRPr="00B35C5B">
        <w:rPr>
          <w:rFonts w:ascii="Calibri" w:eastAsiaTheme="minorEastAsia" w:hAnsi="Calibri" w:cs="Times New Roman"/>
          <w:color w:val="000000"/>
          <w:sz w:val="22"/>
          <w:szCs w:val="22"/>
          <w:lang w:eastAsia="en-US"/>
        </w:rPr>
        <w:t xml:space="preserve">, Sweden). Principle component analysis (PCA) and (orthogonal) partial least-squares-discriminant analysis (O)PLS-DA were carried out to visualize the metabolic alterations among </w:t>
      </w:r>
      <w:r w:rsidR="00B35C5B">
        <w:rPr>
          <w:rFonts w:ascii="Calibri" w:eastAsiaTheme="minorEastAsia" w:hAnsi="Calibri" w:cs="Times New Roman"/>
          <w:color w:val="000000"/>
          <w:sz w:val="22"/>
          <w:szCs w:val="22"/>
          <w:lang w:eastAsia="en-US"/>
        </w:rPr>
        <w:t>two</w:t>
      </w:r>
      <w:r w:rsidR="00B35C5B" w:rsidRPr="00B35C5B">
        <w:rPr>
          <w:rFonts w:ascii="Calibri" w:eastAsiaTheme="minorEastAsia" w:hAnsi="Calibri" w:cs="Times New Roman"/>
          <w:color w:val="000000"/>
          <w:sz w:val="22"/>
          <w:szCs w:val="22"/>
          <w:lang w:eastAsia="en-US"/>
        </w:rPr>
        <w:t xml:space="preserve"> groups, after mean centering (Ctr) and Pareto variance (Par) scaling, respectively. The </w:t>
      </w:r>
      <w:proofErr w:type="spellStart"/>
      <w:r w:rsidR="00B35C5B" w:rsidRPr="00B35C5B">
        <w:rPr>
          <w:rFonts w:ascii="Calibri" w:eastAsiaTheme="minorEastAsia" w:hAnsi="Calibri" w:cs="Times New Roman"/>
          <w:color w:val="000000"/>
          <w:sz w:val="22"/>
          <w:szCs w:val="22"/>
          <w:lang w:eastAsia="en-US"/>
        </w:rPr>
        <w:t>Hotelling’s</w:t>
      </w:r>
      <w:proofErr w:type="spellEnd"/>
      <w:r w:rsidR="00B35C5B" w:rsidRPr="00B35C5B">
        <w:rPr>
          <w:rFonts w:ascii="Calibri" w:eastAsiaTheme="minorEastAsia" w:hAnsi="Calibri" w:cs="Times New Roman"/>
          <w:color w:val="000000"/>
          <w:sz w:val="22"/>
          <w:szCs w:val="22"/>
          <w:lang w:eastAsia="en-US"/>
        </w:rPr>
        <w:t xml:space="preserve"> T2 region, shown as an ellipse in score plots of the models, defines the 95% confidence interval of the modeled variation. Variable importance in the projection (VIP) ranks the overall contribution of each variable to the OPLS-DA model, and those variables with VIP </w:t>
      </w:r>
      <w:bookmarkStart w:id="19" w:name="OLE_LINK75"/>
      <w:bookmarkStart w:id="20" w:name="OLE_LINK76"/>
      <w:r w:rsidR="00B35C5B" w:rsidRPr="00B35C5B">
        <w:rPr>
          <w:rFonts w:ascii="Calibri" w:eastAsiaTheme="minorEastAsia" w:hAnsi="Calibri" w:cs="Times New Roman"/>
          <w:color w:val="000000"/>
          <w:sz w:val="22"/>
          <w:szCs w:val="22"/>
          <w:lang w:eastAsia="en-US"/>
        </w:rPr>
        <w:t xml:space="preserve">&gt; </w:t>
      </w:r>
      <w:bookmarkEnd w:id="19"/>
      <w:bookmarkEnd w:id="20"/>
      <w:r w:rsidR="00B35C5B" w:rsidRPr="00B35C5B">
        <w:rPr>
          <w:rFonts w:ascii="Calibri" w:eastAsiaTheme="minorEastAsia" w:hAnsi="Calibri" w:cs="Times New Roman"/>
          <w:color w:val="000000"/>
          <w:sz w:val="22"/>
          <w:szCs w:val="22"/>
          <w:lang w:eastAsia="en-US"/>
        </w:rPr>
        <w:t>1 are considered relevant for group discrimination. In this study, the default 7-round cross-validation was applied with 1/seventh of the samples being excluded from the mathematical model in each round, in order to guard against overfitting.</w:t>
      </w:r>
      <w:r w:rsidR="006F2DB8" w:rsidRPr="006F2DB8">
        <w:rPr>
          <w:rFonts w:ascii="Calibri" w:eastAsiaTheme="minorEastAsia" w:hAnsi="Calibri" w:cs="Times New Roman"/>
          <w:color w:val="000000"/>
          <w:sz w:val="22"/>
          <w:szCs w:val="22"/>
          <w:lang w:eastAsia="en-US"/>
        </w:rPr>
        <w:t xml:space="preserve"> </w:t>
      </w:r>
      <w:r w:rsidR="00ED169E" w:rsidRPr="00ED169E">
        <w:rPr>
          <w:rFonts w:ascii="Calibri" w:eastAsiaTheme="minorEastAsia" w:hAnsi="Calibri" w:cs="Times New Roman"/>
          <w:color w:val="000000"/>
          <w:sz w:val="22"/>
          <w:szCs w:val="22"/>
          <w:lang w:eastAsia="en-US"/>
        </w:rPr>
        <w:t xml:space="preserve">The differential metabolites were selected on the basis of the combination of a statistically significant threshold of variable influence on projection (VIP) values obtained from the OPLS-DA model and p values from a two-tailed Student’s t test on the normalized peak areas, where metabolites with VIP values larger than 1.0 and p values less than 0.05 were considered as differential metabolites. </w:t>
      </w:r>
    </w:p>
    <w:p w14:paraId="67B300C7" w14:textId="4C4D4747" w:rsidR="00FC1D2A" w:rsidRPr="00641307" w:rsidRDefault="00FC1D2A" w:rsidP="00FC1D2A">
      <w:pPr>
        <w:snapToGrid w:val="0"/>
        <w:spacing w:line="360" w:lineRule="auto"/>
        <w:ind w:firstLineChars="200" w:firstLine="440"/>
        <w:contextualSpacing/>
        <w:jc w:val="both"/>
        <w:rPr>
          <w:rFonts w:ascii="Calibri" w:eastAsiaTheme="minorEastAsia" w:hAnsi="Calibri" w:cs="Times New Roman"/>
          <w:color w:val="000000"/>
          <w:sz w:val="22"/>
          <w:szCs w:val="22"/>
          <w:lang w:eastAsia="en-US"/>
        </w:rPr>
      </w:pPr>
      <w:r w:rsidRPr="00641307">
        <w:rPr>
          <w:rFonts w:ascii="Calibri" w:eastAsiaTheme="minorEastAsia" w:hAnsi="Calibri" w:cs="Times New Roman"/>
          <w:color w:val="000000"/>
          <w:sz w:val="22"/>
          <w:szCs w:val="22"/>
          <w:lang w:eastAsia="en-US"/>
        </w:rPr>
        <w:t>The statistical significance of intergroup differences was evaluated using Student’s t test or Kruskal–Wallis test, when appropriate, for pairwise comparisons and because of non-normal distribution of variables. All statistical tests were two-sided, and the level of significance was recognized as P</w:t>
      </w:r>
      <w:bookmarkStart w:id="21" w:name="OLE_LINK164"/>
      <w:bookmarkStart w:id="22" w:name="OLE_LINK163"/>
      <w:r w:rsidRPr="00641307">
        <w:rPr>
          <w:rFonts w:ascii="Calibri" w:eastAsiaTheme="minorEastAsia" w:hAnsi="Calibri" w:cs="Times New Roman"/>
          <w:color w:val="000000"/>
          <w:sz w:val="22"/>
          <w:szCs w:val="22"/>
          <w:lang w:eastAsia="en-US"/>
        </w:rPr>
        <w:t xml:space="preserve"> &lt;</w:t>
      </w:r>
      <w:bookmarkEnd w:id="21"/>
      <w:bookmarkEnd w:id="22"/>
      <w:r w:rsidRPr="00641307">
        <w:rPr>
          <w:rFonts w:ascii="Calibri" w:eastAsiaTheme="minorEastAsia" w:hAnsi="Calibri" w:cs="Times New Roman"/>
          <w:color w:val="000000"/>
          <w:sz w:val="22"/>
          <w:szCs w:val="22"/>
          <w:lang w:eastAsia="en-US"/>
        </w:rPr>
        <w:t xml:space="preserve"> 0.05. Data were analyzed using the IBM SPSS 22.0 software (SPSS Inc, Chicago, IL, USA). The trends between the duration of labor and specific steroid metabolites were fitted by the “LOESS” function of the R software.</w:t>
      </w:r>
      <w:r w:rsidRPr="00641307">
        <w:rPr>
          <w:rFonts w:ascii="Calibri" w:eastAsiaTheme="minorEastAsia" w:hAnsi="Calibri" w:cs="Times New Roman" w:hint="eastAsia"/>
          <w:color w:val="000000"/>
          <w:sz w:val="22"/>
          <w:szCs w:val="22"/>
          <w:lang w:eastAsia="en-US"/>
        </w:rPr>
        <w:t xml:space="preserve"> </w:t>
      </w:r>
    </w:p>
    <w:p w14:paraId="5931CD19" w14:textId="77777777" w:rsidR="002D6CB6" w:rsidRDefault="002D6CB6"/>
    <w:sectPr w:rsidR="002D6CB6" w:rsidSect="006D07B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2A"/>
    <w:rsid w:val="00022C24"/>
    <w:rsid w:val="000240CD"/>
    <w:rsid w:val="00030DA2"/>
    <w:rsid w:val="00035895"/>
    <w:rsid w:val="00037DA0"/>
    <w:rsid w:val="00074F8D"/>
    <w:rsid w:val="00074FE4"/>
    <w:rsid w:val="000C1201"/>
    <w:rsid w:val="000C779B"/>
    <w:rsid w:val="000F3036"/>
    <w:rsid w:val="000F7096"/>
    <w:rsid w:val="001125D0"/>
    <w:rsid w:val="00140DA9"/>
    <w:rsid w:val="001437F4"/>
    <w:rsid w:val="001534B2"/>
    <w:rsid w:val="00156161"/>
    <w:rsid w:val="00157B46"/>
    <w:rsid w:val="00160E0D"/>
    <w:rsid w:val="001C3BF2"/>
    <w:rsid w:val="001C51DC"/>
    <w:rsid w:val="001C60BB"/>
    <w:rsid w:val="001C68B1"/>
    <w:rsid w:val="001C71A4"/>
    <w:rsid w:val="001E5A80"/>
    <w:rsid w:val="001F7E55"/>
    <w:rsid w:val="002006F0"/>
    <w:rsid w:val="002007FE"/>
    <w:rsid w:val="00206929"/>
    <w:rsid w:val="002229A2"/>
    <w:rsid w:val="00271637"/>
    <w:rsid w:val="00273082"/>
    <w:rsid w:val="002920A5"/>
    <w:rsid w:val="002D1426"/>
    <w:rsid w:val="002D37EF"/>
    <w:rsid w:val="002D6795"/>
    <w:rsid w:val="002D6CB6"/>
    <w:rsid w:val="00307B84"/>
    <w:rsid w:val="003233F5"/>
    <w:rsid w:val="0035661A"/>
    <w:rsid w:val="0037053E"/>
    <w:rsid w:val="00373F43"/>
    <w:rsid w:val="003773E9"/>
    <w:rsid w:val="003A09DE"/>
    <w:rsid w:val="003A66C8"/>
    <w:rsid w:val="003C779A"/>
    <w:rsid w:val="003D1440"/>
    <w:rsid w:val="00406205"/>
    <w:rsid w:val="00406E75"/>
    <w:rsid w:val="004547F2"/>
    <w:rsid w:val="0048678A"/>
    <w:rsid w:val="004949F5"/>
    <w:rsid w:val="004B216E"/>
    <w:rsid w:val="004B43DD"/>
    <w:rsid w:val="004C05D5"/>
    <w:rsid w:val="00506BE1"/>
    <w:rsid w:val="0053219B"/>
    <w:rsid w:val="005408E9"/>
    <w:rsid w:val="00565A19"/>
    <w:rsid w:val="005700D7"/>
    <w:rsid w:val="00583DEE"/>
    <w:rsid w:val="005975E2"/>
    <w:rsid w:val="005A3282"/>
    <w:rsid w:val="005A72C0"/>
    <w:rsid w:val="005D33CD"/>
    <w:rsid w:val="005D405D"/>
    <w:rsid w:val="006208C0"/>
    <w:rsid w:val="00634019"/>
    <w:rsid w:val="0063761D"/>
    <w:rsid w:val="00654E14"/>
    <w:rsid w:val="00655986"/>
    <w:rsid w:val="006B4C7B"/>
    <w:rsid w:val="006B67F0"/>
    <w:rsid w:val="006C03CF"/>
    <w:rsid w:val="006D07B6"/>
    <w:rsid w:val="006E5C47"/>
    <w:rsid w:val="006F2DB8"/>
    <w:rsid w:val="0071328D"/>
    <w:rsid w:val="007255FA"/>
    <w:rsid w:val="00726D6A"/>
    <w:rsid w:val="00730F1C"/>
    <w:rsid w:val="00732192"/>
    <w:rsid w:val="00740B30"/>
    <w:rsid w:val="00747041"/>
    <w:rsid w:val="00750AFD"/>
    <w:rsid w:val="007550C8"/>
    <w:rsid w:val="00765EBD"/>
    <w:rsid w:val="00781520"/>
    <w:rsid w:val="00784338"/>
    <w:rsid w:val="007A456C"/>
    <w:rsid w:val="007B1D6B"/>
    <w:rsid w:val="007B4799"/>
    <w:rsid w:val="007B4E96"/>
    <w:rsid w:val="007F72AB"/>
    <w:rsid w:val="008367A7"/>
    <w:rsid w:val="008429C1"/>
    <w:rsid w:val="00853040"/>
    <w:rsid w:val="00883776"/>
    <w:rsid w:val="008A6E71"/>
    <w:rsid w:val="008B6F88"/>
    <w:rsid w:val="008D1CA3"/>
    <w:rsid w:val="008D232E"/>
    <w:rsid w:val="008D2654"/>
    <w:rsid w:val="008E5DE1"/>
    <w:rsid w:val="008E610A"/>
    <w:rsid w:val="00905A69"/>
    <w:rsid w:val="0090691F"/>
    <w:rsid w:val="00913CBA"/>
    <w:rsid w:val="00921CE9"/>
    <w:rsid w:val="0092378C"/>
    <w:rsid w:val="00940C02"/>
    <w:rsid w:val="009730DE"/>
    <w:rsid w:val="009A4EBA"/>
    <w:rsid w:val="009C7E53"/>
    <w:rsid w:val="009E2619"/>
    <w:rsid w:val="009E688A"/>
    <w:rsid w:val="009F77E7"/>
    <w:rsid w:val="00A204AB"/>
    <w:rsid w:val="00A22A8E"/>
    <w:rsid w:val="00A267AD"/>
    <w:rsid w:val="00A32502"/>
    <w:rsid w:val="00A34C51"/>
    <w:rsid w:val="00A504A5"/>
    <w:rsid w:val="00A51A31"/>
    <w:rsid w:val="00A70FF6"/>
    <w:rsid w:val="00AC074B"/>
    <w:rsid w:val="00AE18B0"/>
    <w:rsid w:val="00AE1DF2"/>
    <w:rsid w:val="00B16120"/>
    <w:rsid w:val="00B35C5B"/>
    <w:rsid w:val="00B46FFD"/>
    <w:rsid w:val="00B5370A"/>
    <w:rsid w:val="00B5414D"/>
    <w:rsid w:val="00B829AC"/>
    <w:rsid w:val="00B841E2"/>
    <w:rsid w:val="00BB21AB"/>
    <w:rsid w:val="00BB721E"/>
    <w:rsid w:val="00BC224B"/>
    <w:rsid w:val="00C33A82"/>
    <w:rsid w:val="00C646E6"/>
    <w:rsid w:val="00C668FF"/>
    <w:rsid w:val="00C70AF6"/>
    <w:rsid w:val="00C844E3"/>
    <w:rsid w:val="00CA100F"/>
    <w:rsid w:val="00CA1C45"/>
    <w:rsid w:val="00CA2040"/>
    <w:rsid w:val="00CA21E7"/>
    <w:rsid w:val="00CB0B06"/>
    <w:rsid w:val="00CF6DB3"/>
    <w:rsid w:val="00D0146D"/>
    <w:rsid w:val="00D16809"/>
    <w:rsid w:val="00D312DD"/>
    <w:rsid w:val="00D405E2"/>
    <w:rsid w:val="00D43C66"/>
    <w:rsid w:val="00D5311A"/>
    <w:rsid w:val="00D61A71"/>
    <w:rsid w:val="00D77A59"/>
    <w:rsid w:val="00D77F77"/>
    <w:rsid w:val="00D841A7"/>
    <w:rsid w:val="00D86121"/>
    <w:rsid w:val="00D95175"/>
    <w:rsid w:val="00DD0F3D"/>
    <w:rsid w:val="00DF72CF"/>
    <w:rsid w:val="00E00945"/>
    <w:rsid w:val="00E039D8"/>
    <w:rsid w:val="00E22170"/>
    <w:rsid w:val="00E34671"/>
    <w:rsid w:val="00E35FBE"/>
    <w:rsid w:val="00E434E8"/>
    <w:rsid w:val="00E54747"/>
    <w:rsid w:val="00E91A18"/>
    <w:rsid w:val="00ED0900"/>
    <w:rsid w:val="00ED169E"/>
    <w:rsid w:val="00ED3E2E"/>
    <w:rsid w:val="00EE756D"/>
    <w:rsid w:val="00F2586E"/>
    <w:rsid w:val="00F43683"/>
    <w:rsid w:val="00F55F73"/>
    <w:rsid w:val="00F56AC5"/>
    <w:rsid w:val="00F827C1"/>
    <w:rsid w:val="00F87EF0"/>
    <w:rsid w:val="00F954EF"/>
    <w:rsid w:val="00F95536"/>
    <w:rsid w:val="00FA0960"/>
    <w:rsid w:val="00FB6D51"/>
    <w:rsid w:val="00FC1D2A"/>
    <w:rsid w:val="00FC68E1"/>
    <w:rsid w:val="00FE4856"/>
    <w:rsid w:val="00FF3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CFC1E8"/>
  <w15:chartTrackingRefBased/>
  <w15:docId w15:val="{909F3CB9-785B-FB46-A149-637F276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2A"/>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FC1D2A"/>
    <w:pPr>
      <w:widowControl w:val="0"/>
    </w:pPr>
    <w:rPr>
      <w:rFonts w:asciiTheme="minorHAnsi" w:eastAsiaTheme="minorEastAsia" w:hAnsiTheme="minorHAnsi" w:cstheme="minorBidi"/>
      <w:kern w:val="2"/>
      <w:sz w:val="21"/>
    </w:rPr>
  </w:style>
  <w:style w:type="character" w:customStyle="1" w:styleId="a4">
    <w:name w:val="批注文字 字符"/>
    <w:basedOn w:val="a0"/>
    <w:link w:val="a3"/>
    <w:uiPriority w:val="99"/>
    <w:semiHidden/>
    <w:qFormat/>
    <w:rsid w:val="00FC1D2A"/>
  </w:style>
  <w:style w:type="paragraph" w:styleId="a5">
    <w:name w:val="Normal (Web)"/>
    <w:basedOn w:val="a"/>
    <w:uiPriority w:val="99"/>
    <w:unhideWhenUsed/>
    <w:qFormat/>
    <w:rsid w:val="00FC1D2A"/>
    <w:pPr>
      <w:spacing w:before="100" w:beforeAutospacing="1" w:after="100" w:afterAutospacing="1"/>
    </w:pPr>
  </w:style>
  <w:style w:type="character" w:styleId="a6">
    <w:name w:val="annotation reference"/>
    <w:basedOn w:val="a0"/>
    <w:uiPriority w:val="99"/>
    <w:semiHidden/>
    <w:unhideWhenUsed/>
    <w:qFormat/>
    <w:rsid w:val="00FC1D2A"/>
    <w:rPr>
      <w:sz w:val="21"/>
      <w:szCs w:val="21"/>
    </w:rPr>
  </w:style>
  <w:style w:type="paragraph" w:styleId="a7">
    <w:name w:val="Balloon Text"/>
    <w:basedOn w:val="a"/>
    <w:link w:val="a8"/>
    <w:uiPriority w:val="99"/>
    <w:semiHidden/>
    <w:unhideWhenUsed/>
    <w:rsid w:val="00FC1D2A"/>
    <w:rPr>
      <w:sz w:val="18"/>
      <w:szCs w:val="18"/>
    </w:rPr>
  </w:style>
  <w:style w:type="character" w:customStyle="1" w:styleId="a8">
    <w:name w:val="批注框文本 字符"/>
    <w:basedOn w:val="a0"/>
    <w:link w:val="a7"/>
    <w:uiPriority w:val="99"/>
    <w:semiHidden/>
    <w:rsid w:val="00FC1D2A"/>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5968">
      <w:bodyDiv w:val="1"/>
      <w:marLeft w:val="0"/>
      <w:marRight w:val="0"/>
      <w:marTop w:val="0"/>
      <w:marBottom w:val="0"/>
      <w:divBdr>
        <w:top w:val="none" w:sz="0" w:space="0" w:color="auto"/>
        <w:left w:val="none" w:sz="0" w:space="0" w:color="auto"/>
        <w:bottom w:val="none" w:sz="0" w:space="0" w:color="auto"/>
        <w:right w:val="none" w:sz="0" w:space="0" w:color="auto"/>
      </w:divBdr>
      <w:divsChild>
        <w:div w:id="1698047952">
          <w:marLeft w:val="0"/>
          <w:marRight w:val="0"/>
          <w:marTop w:val="0"/>
          <w:marBottom w:val="0"/>
          <w:divBdr>
            <w:top w:val="none" w:sz="0" w:space="0" w:color="auto"/>
            <w:left w:val="none" w:sz="0" w:space="0" w:color="auto"/>
            <w:bottom w:val="none" w:sz="0" w:space="0" w:color="auto"/>
            <w:right w:val="none" w:sz="0" w:space="0" w:color="auto"/>
          </w:divBdr>
          <w:divsChild>
            <w:div w:id="351881050">
              <w:marLeft w:val="0"/>
              <w:marRight w:val="0"/>
              <w:marTop w:val="0"/>
              <w:marBottom w:val="0"/>
              <w:divBdr>
                <w:top w:val="none" w:sz="0" w:space="0" w:color="auto"/>
                <w:left w:val="none" w:sz="0" w:space="0" w:color="auto"/>
                <w:bottom w:val="none" w:sz="0" w:space="0" w:color="auto"/>
                <w:right w:val="none" w:sz="0" w:space="0" w:color="auto"/>
              </w:divBdr>
              <w:divsChild>
                <w:div w:id="1942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xueya</dc:creator>
  <cp:keywords/>
  <dc:description/>
  <cp:lastModifiedBy>qian xueya</cp:lastModifiedBy>
  <cp:revision>7</cp:revision>
  <dcterms:created xsi:type="dcterms:W3CDTF">2020-06-01T07:40:00Z</dcterms:created>
  <dcterms:modified xsi:type="dcterms:W3CDTF">2020-06-03T03:19:00Z</dcterms:modified>
</cp:coreProperties>
</file>