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6B64E" w14:textId="77777777" w:rsidR="00673FF8" w:rsidRPr="00C2773B" w:rsidRDefault="00673FF8" w:rsidP="00673FF8">
      <w:pPr>
        <w:suppressLineNumbers/>
        <w:spacing w:after="120" w:line="360" w:lineRule="auto"/>
        <w:rPr>
          <w:rFonts w:ascii="Cambria" w:eastAsia="Times New Roman" w:hAnsi="Cambria"/>
          <w:b/>
          <w:bCs/>
          <w:sz w:val="26"/>
          <w:szCs w:val="26"/>
          <w:lang w:val="en-US" w:eastAsia="de-CH"/>
        </w:rPr>
      </w:pPr>
      <w:r w:rsidRPr="00C2773B">
        <w:rPr>
          <w:rFonts w:ascii="Cambria" w:eastAsia="Times New Roman" w:hAnsi="Cambria"/>
          <w:b/>
          <w:bCs/>
          <w:sz w:val="26"/>
          <w:szCs w:val="26"/>
          <w:lang w:val="en-US" w:eastAsia="de-CH"/>
        </w:rPr>
        <w:t>Figure Legends</w:t>
      </w:r>
    </w:p>
    <w:p w14:paraId="33714A6A" w14:textId="0529C054" w:rsidR="001F2E3B" w:rsidRPr="001F2E3B" w:rsidRDefault="00F33E4B" w:rsidP="001F2E3B">
      <w:pPr>
        <w:spacing w:line="360" w:lineRule="auto"/>
        <w:rPr>
          <w:rFonts w:asciiTheme="minorHAnsi" w:eastAsia="游明朝" w:hAnsiTheme="minorHAnsi" w:cstheme="minorHAns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Online suppli. fig. 1</w:t>
      </w:r>
      <w:r w:rsidR="00D2101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.</w:t>
      </w:r>
      <w:r w:rsidR="001F2E3B"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 xml:space="preserve">  A representative case of cerebral hyperperfusion syndrome (CHS). The patient presented with dysarthria and sensory disturbance of the right upper limb 2–9 days postoperatively. </w:t>
      </w:r>
    </w:p>
    <w:p w14:paraId="1C409296" w14:textId="77777777" w:rsidR="001F2E3B" w:rsidRPr="001F2E3B" w:rsidRDefault="001F2E3B" w:rsidP="001F2E3B">
      <w:pPr>
        <w:spacing w:line="360" w:lineRule="auto"/>
        <w:rPr>
          <w:rFonts w:asciiTheme="minorHAnsi" w:eastAsia="游明朝" w:hAnsiTheme="minorHAnsi" w:cstheme="minorHAnsi"/>
          <w:color w:val="000000" w:themeColor="text1"/>
          <w:sz w:val="24"/>
          <w:szCs w:val="24"/>
        </w:rPr>
      </w:pPr>
      <w:r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A, Photos of the brain surface before and after anastomosis (red arrows indicate the donor artery).</w:t>
      </w:r>
    </w:p>
    <w:p w14:paraId="7444424E" w14:textId="77777777" w:rsidR="001F2E3B" w:rsidRPr="001F2E3B" w:rsidRDefault="001F2E3B" w:rsidP="001F2E3B">
      <w:pPr>
        <w:spacing w:line="360" w:lineRule="auto"/>
        <w:rPr>
          <w:rFonts w:asciiTheme="minorHAnsi" w:eastAsia="游明朝" w:hAnsiTheme="minorHAnsi" w:cstheme="minorHAnsi"/>
          <w:color w:val="000000" w:themeColor="text1"/>
          <w:sz w:val="24"/>
          <w:szCs w:val="24"/>
        </w:rPr>
      </w:pPr>
      <w:r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B, Oxygen saturation maps of the brain surface before and after anastomosis. The saturation value of the brain surface increased from 41.9% to 55.4% after anastomosis.</w:t>
      </w:r>
    </w:p>
    <w:p w14:paraId="79B0A4EA" w14:textId="77777777" w:rsidR="001F2E3B" w:rsidRPr="001F2E3B" w:rsidRDefault="001F2E3B" w:rsidP="001F2E3B">
      <w:pPr>
        <w:spacing w:line="360" w:lineRule="auto"/>
        <w:rPr>
          <w:rFonts w:asciiTheme="minorHAnsi" w:eastAsia="游明朝" w:hAnsiTheme="minorHAnsi" w:cstheme="minorHAnsi"/>
          <w:color w:val="000000" w:themeColor="text1"/>
          <w:sz w:val="24"/>
          <w:szCs w:val="24"/>
        </w:rPr>
      </w:pPr>
      <w:r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 xml:space="preserve">C, </w:t>
      </w:r>
      <w:r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  <w:vertAlign w:val="superscript"/>
        </w:rPr>
        <w:t>123</w:t>
      </w:r>
      <w:r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I-IMP SPECT images before surgery and at the day of onset of CHS. Focal increase of cerebral blood flow is seen at the lesion site (arrow).</w:t>
      </w:r>
    </w:p>
    <w:p w14:paraId="08B3AB82" w14:textId="77777777" w:rsidR="001F2E3B" w:rsidRPr="001F2E3B" w:rsidRDefault="001F2E3B" w:rsidP="001F2E3B">
      <w:pPr>
        <w:spacing w:line="360" w:lineRule="auto"/>
        <w:rPr>
          <w:rFonts w:asciiTheme="minorHAnsi" w:eastAsia="游明朝" w:hAnsiTheme="minorHAnsi" w:cstheme="minorHAnsi"/>
          <w:color w:val="000000" w:themeColor="text1"/>
          <w:sz w:val="24"/>
          <w:szCs w:val="24"/>
        </w:rPr>
      </w:pPr>
      <w:r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A, anterior; P, posterior; R, right; L, left; 123I-IMP SPECT, 123I-iofetamine single-photon emission computed tomography</w:t>
      </w:r>
    </w:p>
    <w:p w14:paraId="6FC74F7F" w14:textId="77777777" w:rsidR="001F2E3B" w:rsidRPr="001F2E3B" w:rsidRDefault="001F2E3B" w:rsidP="001F2E3B">
      <w:pPr>
        <w:spacing w:line="360" w:lineRule="auto"/>
        <w:rPr>
          <w:rFonts w:asciiTheme="minorHAnsi" w:eastAsia="游明朝" w:hAnsiTheme="minorHAnsi" w:cstheme="minorHAnsi"/>
          <w:color w:val="000000" w:themeColor="text1"/>
          <w:sz w:val="24"/>
          <w:szCs w:val="24"/>
        </w:rPr>
      </w:pPr>
    </w:p>
    <w:p w14:paraId="4C41C0F5" w14:textId="27193D81" w:rsidR="001F2E3B" w:rsidRPr="001F2E3B" w:rsidRDefault="00F33E4B" w:rsidP="001F2E3B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>Online suppli. fig. 2</w:t>
      </w:r>
      <w:r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.</w:t>
      </w:r>
      <w:r w:rsidR="001F2E3B"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 xml:space="preserve"> The receiver operating characteristic curve of the increase rate of oxygen saturation (SO</w:t>
      </w:r>
      <w:r w:rsidR="001F2E3B"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  <w:vertAlign w:val="subscript"/>
        </w:rPr>
        <w:t>2</w:t>
      </w:r>
      <w:r w:rsidR="001F2E3B"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). If the increase rate of SO</w:t>
      </w:r>
      <w:r w:rsidR="001F2E3B"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  <w:vertAlign w:val="subscript"/>
        </w:rPr>
        <w:t>2</w:t>
      </w:r>
      <w:r w:rsidR="001F2E3B"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 xml:space="preserve"> is &gt;</w:t>
      </w:r>
      <w:r w:rsidR="00D2101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15</w:t>
      </w:r>
      <w:r w:rsidR="001F2E3B"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%, cerebral hyperperfusion syndrome (CHS) likely occurs (sensitivity, 8</w:t>
      </w:r>
      <w:r w:rsidR="00D2101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5.0</w:t>
      </w:r>
      <w:r w:rsidR="001F2E3B"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%; specificity, 8</w:t>
      </w:r>
      <w:r w:rsidR="00D2101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1.3%</w:t>
      </w:r>
      <w:r w:rsidR="001F2E3B"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; area under curve [AUC], 0.8</w:t>
      </w:r>
      <w:r w:rsidR="00D2101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71</w:t>
      </w:r>
      <w:r w:rsidR="001F2E3B" w:rsidRPr="001F2E3B">
        <w:rPr>
          <w:rFonts w:asciiTheme="minorHAnsi" w:eastAsia="游明朝" w:hAnsiTheme="minorHAnsi" w:cstheme="minorHAnsi"/>
          <w:color w:val="000000" w:themeColor="text1"/>
          <w:sz w:val="24"/>
          <w:szCs w:val="24"/>
        </w:rPr>
        <w:t>).</w:t>
      </w:r>
    </w:p>
    <w:p w14:paraId="70967989" w14:textId="77777777" w:rsidR="001F2E3B" w:rsidRPr="001F2E3B" w:rsidRDefault="001F2E3B" w:rsidP="00673FF8">
      <w:pPr>
        <w:spacing w:after="120" w:line="360" w:lineRule="auto"/>
        <w:rPr>
          <w:shd w:val="pct15" w:color="auto" w:fill="FFFFFF"/>
          <w:lang w:val="en-GB"/>
        </w:rPr>
      </w:pPr>
    </w:p>
    <w:sectPr w:rsidR="001F2E3B" w:rsidRPr="001F2E3B" w:rsidSect="00962DBE"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55B5" w14:textId="77777777" w:rsidR="00476866" w:rsidRDefault="00476866" w:rsidP="001B170B">
      <w:pPr>
        <w:spacing w:after="0" w:line="240" w:lineRule="auto"/>
      </w:pPr>
      <w:r>
        <w:separator/>
      </w:r>
    </w:p>
  </w:endnote>
  <w:endnote w:type="continuationSeparator" w:id="0">
    <w:p w14:paraId="6F3994FA" w14:textId="77777777" w:rsidR="00476866" w:rsidRDefault="00476866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4EB5" w14:textId="77777777" w:rsidR="00C52B3E" w:rsidRDefault="00C52B3E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Pr="00A305F8">
      <w:rPr>
        <w:noProof/>
        <w:lang w:val="de-DE"/>
      </w:rPr>
      <w:t>7</w:t>
    </w:r>
    <w:r>
      <w:fldChar w:fldCharType="end"/>
    </w:r>
  </w:p>
  <w:p w14:paraId="06B828EF" w14:textId="77777777" w:rsidR="00C52B3E" w:rsidRDefault="00C52B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C9D63" w14:textId="77777777" w:rsidR="00476866" w:rsidRDefault="00476866" w:rsidP="001B170B">
      <w:pPr>
        <w:spacing w:after="0" w:line="240" w:lineRule="auto"/>
      </w:pPr>
      <w:r>
        <w:separator/>
      </w:r>
    </w:p>
  </w:footnote>
  <w:footnote w:type="continuationSeparator" w:id="0">
    <w:p w14:paraId="5630D53D" w14:textId="77777777" w:rsidR="00476866" w:rsidRDefault="00476866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B17B0"/>
    <w:multiLevelType w:val="hybridMultilevel"/>
    <w:tmpl w:val="04C44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43687"/>
    <w:multiLevelType w:val="hybridMultilevel"/>
    <w:tmpl w:val="2B908E5E"/>
    <w:lvl w:ilvl="0" w:tplc="6F0C8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04"/>
    <w:rsid w:val="00015D91"/>
    <w:rsid w:val="000450B2"/>
    <w:rsid w:val="000477ED"/>
    <w:rsid w:val="00050A28"/>
    <w:rsid w:val="00072D44"/>
    <w:rsid w:val="000C28AF"/>
    <w:rsid w:val="000C4CA5"/>
    <w:rsid w:val="000E3F3D"/>
    <w:rsid w:val="001007C1"/>
    <w:rsid w:val="00104F85"/>
    <w:rsid w:val="0012261C"/>
    <w:rsid w:val="00133297"/>
    <w:rsid w:val="00141F4D"/>
    <w:rsid w:val="00174887"/>
    <w:rsid w:val="00176BA0"/>
    <w:rsid w:val="00176FF1"/>
    <w:rsid w:val="001B170B"/>
    <w:rsid w:val="001C0027"/>
    <w:rsid w:val="001F26BA"/>
    <w:rsid w:val="001F2E3B"/>
    <w:rsid w:val="001F35D9"/>
    <w:rsid w:val="001F4237"/>
    <w:rsid w:val="001F5639"/>
    <w:rsid w:val="00210168"/>
    <w:rsid w:val="002370E0"/>
    <w:rsid w:val="002466CB"/>
    <w:rsid w:val="0024761F"/>
    <w:rsid w:val="00273499"/>
    <w:rsid w:val="002741DC"/>
    <w:rsid w:val="002764A9"/>
    <w:rsid w:val="002773C6"/>
    <w:rsid w:val="00291011"/>
    <w:rsid w:val="002956C4"/>
    <w:rsid w:val="002A617F"/>
    <w:rsid w:val="002E3128"/>
    <w:rsid w:val="00301E24"/>
    <w:rsid w:val="00302F53"/>
    <w:rsid w:val="00307114"/>
    <w:rsid w:val="003508A3"/>
    <w:rsid w:val="00356141"/>
    <w:rsid w:val="003824FD"/>
    <w:rsid w:val="00390DFE"/>
    <w:rsid w:val="00393B58"/>
    <w:rsid w:val="003A6E33"/>
    <w:rsid w:val="003C14D8"/>
    <w:rsid w:val="003E0B6B"/>
    <w:rsid w:val="003E71A0"/>
    <w:rsid w:val="00412E3D"/>
    <w:rsid w:val="0041650B"/>
    <w:rsid w:val="004272E1"/>
    <w:rsid w:val="00446204"/>
    <w:rsid w:val="004662FC"/>
    <w:rsid w:val="00471521"/>
    <w:rsid w:val="00476866"/>
    <w:rsid w:val="004929A3"/>
    <w:rsid w:val="004B3A8D"/>
    <w:rsid w:val="004B414E"/>
    <w:rsid w:val="004C2BDA"/>
    <w:rsid w:val="004C2DF5"/>
    <w:rsid w:val="004D0608"/>
    <w:rsid w:val="00504C74"/>
    <w:rsid w:val="005616B9"/>
    <w:rsid w:val="00562152"/>
    <w:rsid w:val="00574D86"/>
    <w:rsid w:val="005931B0"/>
    <w:rsid w:val="005A3362"/>
    <w:rsid w:val="005A4F7B"/>
    <w:rsid w:val="005C65FE"/>
    <w:rsid w:val="005D39DD"/>
    <w:rsid w:val="005E42E9"/>
    <w:rsid w:val="00615284"/>
    <w:rsid w:val="006319EA"/>
    <w:rsid w:val="00643AC5"/>
    <w:rsid w:val="0065590C"/>
    <w:rsid w:val="006715A9"/>
    <w:rsid w:val="00673FF8"/>
    <w:rsid w:val="006E4ED7"/>
    <w:rsid w:val="006E5143"/>
    <w:rsid w:val="006F0944"/>
    <w:rsid w:val="00713CBA"/>
    <w:rsid w:val="00721932"/>
    <w:rsid w:val="00742F97"/>
    <w:rsid w:val="007503C1"/>
    <w:rsid w:val="00753D16"/>
    <w:rsid w:val="00764D03"/>
    <w:rsid w:val="007852F2"/>
    <w:rsid w:val="007A68D0"/>
    <w:rsid w:val="00814E01"/>
    <w:rsid w:val="00823CDE"/>
    <w:rsid w:val="00837D96"/>
    <w:rsid w:val="00847E57"/>
    <w:rsid w:val="00861F3F"/>
    <w:rsid w:val="008932FD"/>
    <w:rsid w:val="00893B21"/>
    <w:rsid w:val="008A4356"/>
    <w:rsid w:val="008C6B2B"/>
    <w:rsid w:val="008D0A4D"/>
    <w:rsid w:val="008F0343"/>
    <w:rsid w:val="0091035C"/>
    <w:rsid w:val="00914131"/>
    <w:rsid w:val="00950803"/>
    <w:rsid w:val="00953252"/>
    <w:rsid w:val="00962DBE"/>
    <w:rsid w:val="0096500A"/>
    <w:rsid w:val="00967994"/>
    <w:rsid w:val="00971A83"/>
    <w:rsid w:val="00974D43"/>
    <w:rsid w:val="009A20E8"/>
    <w:rsid w:val="009B707A"/>
    <w:rsid w:val="009D3590"/>
    <w:rsid w:val="009E124F"/>
    <w:rsid w:val="009E5A40"/>
    <w:rsid w:val="009E71E0"/>
    <w:rsid w:val="009F5F1D"/>
    <w:rsid w:val="00A04DF5"/>
    <w:rsid w:val="00A25273"/>
    <w:rsid w:val="00A278E2"/>
    <w:rsid w:val="00A305F8"/>
    <w:rsid w:val="00A33539"/>
    <w:rsid w:val="00A43284"/>
    <w:rsid w:val="00A43EEE"/>
    <w:rsid w:val="00A6667A"/>
    <w:rsid w:val="00A67D5F"/>
    <w:rsid w:val="00AB1796"/>
    <w:rsid w:val="00AB3D81"/>
    <w:rsid w:val="00AC7604"/>
    <w:rsid w:val="00AD352E"/>
    <w:rsid w:val="00AE27F5"/>
    <w:rsid w:val="00AF6183"/>
    <w:rsid w:val="00B01929"/>
    <w:rsid w:val="00B038D5"/>
    <w:rsid w:val="00B046B3"/>
    <w:rsid w:val="00B0476F"/>
    <w:rsid w:val="00B4085C"/>
    <w:rsid w:val="00B41F67"/>
    <w:rsid w:val="00B5628D"/>
    <w:rsid w:val="00B6622B"/>
    <w:rsid w:val="00BA5F26"/>
    <w:rsid w:val="00BB7626"/>
    <w:rsid w:val="00BC79A5"/>
    <w:rsid w:val="00BD224B"/>
    <w:rsid w:val="00BD23D7"/>
    <w:rsid w:val="00BE273E"/>
    <w:rsid w:val="00C039E6"/>
    <w:rsid w:val="00C174DD"/>
    <w:rsid w:val="00C17B64"/>
    <w:rsid w:val="00C2773B"/>
    <w:rsid w:val="00C3583D"/>
    <w:rsid w:val="00C3722C"/>
    <w:rsid w:val="00C41A22"/>
    <w:rsid w:val="00C52B3E"/>
    <w:rsid w:val="00C93672"/>
    <w:rsid w:val="00CC1BBC"/>
    <w:rsid w:val="00CC64AB"/>
    <w:rsid w:val="00CD23D2"/>
    <w:rsid w:val="00CE1408"/>
    <w:rsid w:val="00CF329B"/>
    <w:rsid w:val="00CF718A"/>
    <w:rsid w:val="00D1445C"/>
    <w:rsid w:val="00D168B4"/>
    <w:rsid w:val="00D2101B"/>
    <w:rsid w:val="00D22A92"/>
    <w:rsid w:val="00D51D65"/>
    <w:rsid w:val="00D72DC7"/>
    <w:rsid w:val="00DB55F0"/>
    <w:rsid w:val="00DC36F4"/>
    <w:rsid w:val="00DF2686"/>
    <w:rsid w:val="00E106C1"/>
    <w:rsid w:val="00E279E7"/>
    <w:rsid w:val="00E32262"/>
    <w:rsid w:val="00E65587"/>
    <w:rsid w:val="00E80A63"/>
    <w:rsid w:val="00EB649E"/>
    <w:rsid w:val="00EC19B0"/>
    <w:rsid w:val="00EE0FED"/>
    <w:rsid w:val="00F0476D"/>
    <w:rsid w:val="00F11E96"/>
    <w:rsid w:val="00F33E4B"/>
    <w:rsid w:val="00F41AFF"/>
    <w:rsid w:val="00F56CDC"/>
    <w:rsid w:val="00F63513"/>
    <w:rsid w:val="00F80689"/>
    <w:rsid w:val="00F874BB"/>
    <w:rsid w:val="00FB24BE"/>
    <w:rsid w:val="00FE070F"/>
    <w:rsid w:val="00FE2A7C"/>
    <w:rsid w:val="00FE76EE"/>
    <w:rsid w:val="00FF0E96"/>
    <w:rsid w:val="00FF27E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15763"/>
  <w15:chartTrackingRefBased/>
  <w15:docId w15:val="{3D050D9B-7923-47EE-A36F-C02A47E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CH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446204"/>
  </w:style>
  <w:style w:type="character" w:customStyle="1" w:styleId="60">
    <w:name w:val="見出し 6 (文字)"/>
    <w:link w:val="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a4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a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a5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5D91"/>
    <w:rPr>
      <w:sz w:val="20"/>
      <w:szCs w:val="20"/>
    </w:rPr>
  </w:style>
  <w:style w:type="character" w:customStyle="1" w:styleId="a7">
    <w:name w:val="コメント文字列 (文字)"/>
    <w:link w:val="a6"/>
    <w:uiPriority w:val="99"/>
    <w:semiHidden/>
    <w:rsid w:val="00015D91"/>
    <w:rPr>
      <w:lang w:eastAsia="en-US"/>
    </w:rPr>
  </w:style>
  <w:style w:type="paragraph" w:styleId="a8">
    <w:name w:val="header"/>
    <w:basedOn w:val="a"/>
    <w:link w:val="a9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a9">
    <w:name w:val="ヘッダー (文字)"/>
    <w:link w:val="a8"/>
    <w:uiPriority w:val="99"/>
    <w:rsid w:val="001B17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ab">
    <w:name w:val="フッター (文字)"/>
    <w:link w:val="aa"/>
    <w:uiPriority w:val="99"/>
    <w:rsid w:val="001B170B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E279E7"/>
    <w:rPr>
      <w:sz w:val="20"/>
      <w:szCs w:val="20"/>
    </w:rPr>
  </w:style>
  <w:style w:type="character" w:customStyle="1" w:styleId="ad">
    <w:name w:val="脚注文字列 (文字)"/>
    <w:link w:val="ac"/>
    <w:uiPriority w:val="99"/>
    <w:semiHidden/>
    <w:rsid w:val="00E279E7"/>
    <w:rPr>
      <w:lang w:eastAsia="en-US"/>
    </w:rPr>
  </w:style>
  <w:style w:type="character" w:styleId="ae">
    <w:name w:val="footnote reference"/>
    <w:uiPriority w:val="99"/>
    <w:semiHidden/>
    <w:unhideWhenUsed/>
    <w:rsid w:val="00E279E7"/>
    <w:rPr>
      <w:vertAlign w:val="superscript"/>
    </w:rPr>
  </w:style>
  <w:style w:type="paragraph" w:styleId="af">
    <w:name w:val="List Paragraph"/>
    <w:basedOn w:val="a"/>
    <w:uiPriority w:val="34"/>
    <w:qFormat/>
    <w:rsid w:val="002A617F"/>
    <w:pPr>
      <w:spacing w:after="160" w:line="259" w:lineRule="auto"/>
      <w:ind w:left="720"/>
      <w:contextualSpacing/>
    </w:pPr>
  </w:style>
  <w:style w:type="character" w:styleId="af0">
    <w:name w:val="FollowedHyperlink"/>
    <w:uiPriority w:val="99"/>
    <w:semiHidden/>
    <w:unhideWhenUsed/>
    <w:rsid w:val="00CF718A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3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37D96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0E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5619-C5FF-4B13-BCF9-708BBBA2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Links>
    <vt:vector size="36" baseType="variant">
      <vt:variant>
        <vt:i4>7405614</vt:i4>
      </vt:variant>
      <vt:variant>
        <vt:i4>15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9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7208996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nc3rs.org.uk%2Farrive-guidelines&amp;data=02%7C01%7Cauthor-guidelines%40karger.com%7C28323ed23d5b464cb3c008d7c9e5e6a7%7C69e7eb606e904a0590b15b8d6d697087%7C0%7C0%7C637199861558596413&amp;sdata=SQowW%2BVYarrBPBbuvB6BbKQemI%2Bq68I4PiFv6kNB8gY%3D&amp;reserved=0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https://www.wma.net/policies-post/wma-declaration-of-helsinki-ethical-principles-for-medical-research-involving-human-subjects/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 克馬</dc:creator>
  <cp:keywords/>
  <cp:lastModifiedBy>岩城 克馬</cp:lastModifiedBy>
  <cp:revision>24</cp:revision>
  <dcterms:created xsi:type="dcterms:W3CDTF">2020-07-13T05:24:00Z</dcterms:created>
  <dcterms:modified xsi:type="dcterms:W3CDTF">2020-09-26T17:01:00Z</dcterms:modified>
</cp:coreProperties>
</file>