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8A10" w14:textId="77777777" w:rsidR="00E2374A" w:rsidRPr="0007652D" w:rsidRDefault="00E2374A" w:rsidP="00E2374A">
      <w:pPr>
        <w:spacing w:line="480" w:lineRule="auto"/>
        <w:rPr>
          <w:rFonts w:asciiTheme="majorBidi" w:hAnsiTheme="majorBidi" w:cstheme="majorBidi"/>
          <w:b/>
          <w:bCs/>
          <w:u w:val="single"/>
        </w:rPr>
      </w:pPr>
      <w:bookmarkStart w:id="0" w:name="_Hlk56092703"/>
      <w:r w:rsidRPr="0007652D">
        <w:rPr>
          <w:rFonts w:asciiTheme="majorBidi" w:hAnsiTheme="majorBidi" w:cstheme="majorBidi"/>
          <w:b/>
          <w:bCs/>
          <w:u w:val="single"/>
        </w:rPr>
        <w:t xml:space="preserve">Methods </w:t>
      </w:r>
    </w:p>
    <w:bookmarkEnd w:id="0"/>
    <w:p w14:paraId="60CDCEF1" w14:textId="431E8B51" w:rsidR="00E2374A" w:rsidRPr="0007652D" w:rsidRDefault="00E2374A" w:rsidP="00E2374A">
      <w:pPr>
        <w:spacing w:line="480" w:lineRule="auto"/>
        <w:jc w:val="both"/>
        <w:rPr>
          <w:rFonts w:ascii="Times" w:hAnsi="Times"/>
          <w:b/>
          <w:bCs/>
          <w:i/>
          <w:iCs/>
        </w:rPr>
      </w:pPr>
      <w:r w:rsidRPr="0007652D">
        <w:rPr>
          <w:rFonts w:ascii="Times" w:hAnsi="Times"/>
          <w:b/>
          <w:bCs/>
          <w:i/>
          <w:iCs/>
        </w:rPr>
        <w:t xml:space="preserve">Study </w:t>
      </w:r>
      <w:r w:rsidR="00662170" w:rsidRPr="0007652D">
        <w:rPr>
          <w:rFonts w:ascii="Times" w:hAnsi="Times"/>
          <w:b/>
          <w:bCs/>
          <w:i/>
          <w:iCs/>
        </w:rPr>
        <w:t>D</w:t>
      </w:r>
      <w:r w:rsidRPr="0007652D">
        <w:rPr>
          <w:rFonts w:ascii="Times" w:hAnsi="Times"/>
          <w:b/>
          <w:bCs/>
          <w:i/>
          <w:iCs/>
        </w:rPr>
        <w:t xml:space="preserve">esign and </w:t>
      </w:r>
      <w:r w:rsidR="00662170" w:rsidRPr="0007652D">
        <w:rPr>
          <w:rFonts w:ascii="Times" w:hAnsi="Times"/>
          <w:b/>
          <w:bCs/>
          <w:i/>
          <w:iCs/>
        </w:rPr>
        <w:t>D</w:t>
      </w:r>
      <w:r w:rsidRPr="0007652D">
        <w:rPr>
          <w:rFonts w:ascii="Times" w:hAnsi="Times"/>
          <w:b/>
          <w:bCs/>
          <w:i/>
          <w:iCs/>
        </w:rPr>
        <w:t>atabase</w:t>
      </w:r>
    </w:p>
    <w:p w14:paraId="5288D1BC" w14:textId="75C8DF3D" w:rsidR="00E2374A" w:rsidRPr="0007652D" w:rsidRDefault="00E2374A" w:rsidP="00E2374A">
      <w:pPr>
        <w:spacing w:line="480" w:lineRule="auto"/>
        <w:ind w:firstLine="720"/>
        <w:jc w:val="both"/>
        <w:rPr>
          <w:rFonts w:asciiTheme="majorBidi" w:hAnsiTheme="majorBidi" w:cstheme="majorBidi"/>
        </w:rPr>
      </w:pPr>
      <w:r w:rsidRPr="0007652D">
        <w:rPr>
          <w:rFonts w:ascii="Times" w:hAnsi="Times"/>
        </w:rPr>
        <w:t xml:space="preserve">We performed </w:t>
      </w:r>
      <w:r w:rsidRPr="0007652D">
        <w:rPr>
          <w:rFonts w:asciiTheme="majorBidi" w:hAnsiTheme="majorBidi" w:cstheme="majorBidi"/>
        </w:rPr>
        <w:t xml:space="preserve">a retrospective population-based case-control study aiming to identify the risk of having subsequent PG following the diagnosis of UC. </w:t>
      </w:r>
      <w:r w:rsidR="00662170">
        <w:rPr>
          <w:rFonts w:asciiTheme="majorBidi" w:hAnsiTheme="majorBidi" w:cstheme="majorBidi"/>
        </w:rPr>
        <w:t>“</w:t>
      </w:r>
      <w:r w:rsidRPr="0007652D">
        <w:rPr>
          <w:rFonts w:asciiTheme="majorBidi" w:hAnsiTheme="majorBidi" w:cstheme="majorBidi"/>
        </w:rPr>
        <w:t>The rare disease assumption</w:t>
      </w:r>
      <w:r w:rsidR="00662170">
        <w:rPr>
          <w:rFonts w:asciiTheme="majorBidi" w:hAnsiTheme="majorBidi" w:cstheme="majorBidi"/>
        </w:rPr>
        <w:t>”</w:t>
      </w:r>
      <w:r w:rsidRPr="0007652D">
        <w:rPr>
          <w:rFonts w:asciiTheme="majorBidi" w:hAnsiTheme="majorBidi" w:cstheme="majorBidi"/>
        </w:rPr>
        <w:t xml:space="preserve"> hypothesizes that estimates produced by case-control studies investigating rare diseases (defined as those with a prevalence rate</w:t>
      </w:r>
      <w:r w:rsidR="00662170">
        <w:rPr>
          <w:rFonts w:asciiTheme="majorBidi" w:hAnsiTheme="majorBidi" w:cstheme="majorBidi"/>
        </w:rPr>
        <w:t xml:space="preserve"> </w:t>
      </w:r>
      <w:r w:rsidRPr="0007652D">
        <w:rPr>
          <w:rFonts w:asciiTheme="majorBidi" w:hAnsiTheme="majorBidi" w:cstheme="majorBidi"/>
        </w:rPr>
        <w:t>&lt;10%) approximates that produced by cohort studies</w:t>
      </w:r>
      <w:r w:rsidR="00662170">
        <w:rPr>
          <w:rFonts w:asciiTheme="majorBidi" w:hAnsiTheme="majorBidi" w:cstheme="majorBidi"/>
        </w:rPr>
        <w:t xml:space="preserve"> </w:t>
      </w:r>
      <w:r w:rsidRPr="0007652D">
        <w:rPr>
          <w:rFonts w:asciiTheme="majorBidi" w:hAnsiTheme="majorBidi" w:cstheme="majorBidi"/>
        </w:rPr>
        <w:fldChar w:fldCharType="begin" w:fldLock="1"/>
      </w:r>
      <w:r w:rsidRPr="0007652D">
        <w:rPr>
          <w:rFonts w:asciiTheme="majorBidi" w:hAnsiTheme="majorBidi" w:cstheme="majorBidi"/>
        </w:rPr>
        <w:instrText>ADDIN CSL_CITATION {"citationItems":[{"id":"ITEM-1","itemData":{"DOI":"10.1093/oxfordjournals.aje.a113439","ISSN":"00029262","PMID":"7124721","abstract":"The conditions under which matched and unmatched odds ratios are consistent estimators of the incidence-density ratio in case-control studies are examined. Under \"incidence-density\" sampling, In which controls are selected from those at risk at the time of onset of each case, the matched estimator is shown to be consistent. In contrast, the unmatched estimator is biased unless the proportion exposed in the population at risk is constant over the study period; the bias is, however, negligible unless there is very large variation in the proportion exposed. No assumption of rarity of the disease is needed for these results. On the other hand, when the risk ratio is the parameter of interest, the assumption of rarity is needed for the odds ratio to be a consistent estimator. In such situations, the odds ratio obtained under \"incidence-density\" sampling will in general provide a better approximation to the risk ratio than will the odds ratio obtained under \"cumulative-incidence\" sampling, in which controls are selected from those still unaffected at the end of the study period. Even if the disease is rare, however, the odds ratio obtained under cumulative sampling need not consistently estimate any parameter of interest unless the proportion exposed is approximately constant. © 1982 by The Johns Hopkins University School of Hygiene and Public Health.","author":[{"dropping-particle":"","family":"Greenland","given":"Sander","non-dropping-particle":"","parse-names":false,"suffix":""},{"dropping-particle":"","family":"Thomas","given":"Duncan C.","non-dropping-particle":"","parse-names":false,"suffix":""}],"container-title":"American Journal of Epidemiology","id":"ITEM-1","issued":{"date-parts":[["1982"]]},"title":"On the need for the rare disease assumption in case-control studies","type":"article-journal"},"uris":["http://www.mendeley.com/documents/?uuid=fac1e73b-822e-4412-a7d1-64d4a909d17e"]}],"mendeley":{"formattedCitation":"[9]","plainTextFormattedCitation":"[9]","previouslyFormattedCitation":"[9]"},"properties":{"noteIndex":0},"schema":"https://github.com/citation-style-language/schema/raw/master/csl-citation.json"}</w:instrText>
      </w:r>
      <w:r w:rsidRPr="0007652D">
        <w:rPr>
          <w:rFonts w:asciiTheme="majorBidi" w:hAnsiTheme="majorBidi" w:cstheme="majorBidi"/>
        </w:rPr>
        <w:fldChar w:fldCharType="separate"/>
      </w:r>
      <w:r w:rsidRPr="0007652D">
        <w:rPr>
          <w:rFonts w:asciiTheme="majorBidi" w:hAnsiTheme="majorBidi" w:cstheme="majorBidi"/>
          <w:noProof/>
        </w:rPr>
        <w:t>[9]</w:t>
      </w:r>
      <w:r w:rsidRPr="0007652D">
        <w:rPr>
          <w:rFonts w:asciiTheme="majorBidi" w:hAnsiTheme="majorBidi" w:cstheme="majorBidi"/>
        </w:rPr>
        <w:fldChar w:fldCharType="end"/>
      </w:r>
      <w:r w:rsidRPr="0007652D">
        <w:rPr>
          <w:rFonts w:asciiTheme="majorBidi" w:hAnsiTheme="majorBidi" w:cstheme="majorBidi"/>
        </w:rPr>
        <w:t>. Thus, the case-control study design utilized in the current study enables to evaluate the risk of PG in subjects with a history of UC.</w:t>
      </w:r>
    </w:p>
    <w:p w14:paraId="65E2FF7F" w14:textId="77777777" w:rsidR="00E2374A" w:rsidRPr="0007652D" w:rsidRDefault="00E2374A" w:rsidP="00E2374A">
      <w:pPr>
        <w:spacing w:line="480" w:lineRule="auto"/>
        <w:ind w:firstLine="720"/>
        <w:jc w:val="both"/>
        <w:rPr>
          <w:rFonts w:ascii="Times" w:hAnsi="Times"/>
        </w:rPr>
      </w:pPr>
      <w:r w:rsidRPr="0007652D">
        <w:rPr>
          <w:rFonts w:ascii="Times" w:hAnsi="Times"/>
        </w:rPr>
        <w:t xml:space="preserve">The computerized dataset of </w:t>
      </w:r>
      <w:proofErr w:type="spellStart"/>
      <w:r w:rsidRPr="0007652D">
        <w:rPr>
          <w:rFonts w:ascii="Times" w:hAnsi="Times"/>
        </w:rPr>
        <w:t>Clalit</w:t>
      </w:r>
      <w:proofErr w:type="spellEnd"/>
      <w:r w:rsidRPr="0007652D">
        <w:rPr>
          <w:rFonts w:ascii="Times" w:hAnsi="Times"/>
        </w:rPr>
        <w:t xml:space="preserve"> Health Services (CHS) was the origin of the current study. CHS is the largest health care organization in Israel, providing healthcare services for approximately 4,400,000 enrollees. It provides a wide array of both public and private healthcare services. The computerized database of CHS is characterized by incessant real-time input from medical, administrative, and pharmaceutical operating systems. It was proven highly competent to enable the performance of epidemiological studies. </w:t>
      </w:r>
    </w:p>
    <w:p w14:paraId="5070A20C" w14:textId="36290E43" w:rsidR="00E2374A" w:rsidRPr="0007652D" w:rsidRDefault="00E2374A" w:rsidP="00E2374A">
      <w:pPr>
        <w:spacing w:line="480" w:lineRule="auto"/>
        <w:ind w:firstLine="720"/>
        <w:jc w:val="both"/>
        <w:rPr>
          <w:rFonts w:ascii="Times" w:hAnsi="Times"/>
        </w:rPr>
      </w:pPr>
      <w:r w:rsidRPr="0007652D">
        <w:rPr>
          <w:rFonts w:ascii="Times" w:hAnsi="Times"/>
        </w:rPr>
        <w:t xml:space="preserve">The chronic disease registry of CHS retrieves data from various sources, including from hospital and primary care reports, drug claims. These accumulated data </w:t>
      </w:r>
      <w:proofErr w:type="gramStart"/>
      <w:r w:rsidRPr="0007652D">
        <w:rPr>
          <w:rFonts w:ascii="Times" w:hAnsi="Times"/>
        </w:rPr>
        <w:t>is</w:t>
      </w:r>
      <w:proofErr w:type="gramEnd"/>
      <w:r w:rsidRPr="0007652D">
        <w:rPr>
          <w:rFonts w:ascii="Times" w:hAnsi="Times"/>
        </w:rPr>
        <w:t xml:space="preserve"> then manually cross-checked and validated by the primary care practitioner of each patient. This registry was considered as of vast reliability on the grounds of previous epidemiological studies</w:t>
      </w:r>
      <w:r w:rsidR="00662170">
        <w:rPr>
          <w:rFonts w:ascii="Times" w:hAnsi="Times"/>
        </w:rPr>
        <w:t xml:space="preserve"> </w:t>
      </w:r>
      <w:r w:rsidRPr="0007652D">
        <w:rPr>
          <w:rFonts w:ascii="Times" w:hAnsi="Times"/>
        </w:rPr>
        <w:fldChar w:fldCharType="begin" w:fldLock="1"/>
      </w:r>
      <w:r w:rsidRPr="0007652D">
        <w:rPr>
          <w:rFonts w:ascii="Times" w:hAnsi="Times"/>
        </w:rPr>
        <w:instrText>ADDIN CSL_CITATION {"citationItems":[{"id":"ITEM-1","itemData":{"ISSN":"1565-1088","PMID":"11433630","abstract":"BACKGROUND Knowledge of the prevalence of chronic disease in the population is essential for health planners and providers. OBJECTIVES To present the results of a concentrated effort by the largest health maintenance organization in Israel (Clalit Health Services) in order to develop a comprehensive register of chronic diseases. METHODS In 1998, all 2,704 primary care physicians in Israel's largest health provider were requested to report on all patients with selected chronic diseases. In addition, all the filled prescriptions for medications relevant to the investigated diseases and all relevant hospitalization events were added to the database. Prevalence rates were calculated based on the reporting practices only (1,653 physicians responsible for a total of 1,409,725 adults). RESULTS Hypertension (10.2/100), diabetes (6.1/100), hyperlipidemia (5.7/100), peptic ulcer (4.7/100) and ischemic heart disease (4.3/100) were the most prevalent. Females had significantly higher rates of hypothyroidism, psychoses, neuroses and malignancies, and lower rates of ischemic heart disease, chronic obstructive pulmonary disease, heart failure and asthma. Arabs had higher rates of diabetes mellitus and lower rates of ischemic heart disease, hypertension and hyperlipidemia than Jews. About 20% of the adult population had one or more of the selected chronic diseases. CONCLUSIONS Differences in rates noted between physicians, not explainable by population characteristics, may reflect differences in the quality and delivery of health services. Rate differences between demographic subgroups call for further studies on the etiology, susceptibility and natural history of these diseases.","author":[{"dropping-particle":"","family":"Rennert","given":"G","non-dropping-particle":"","parse-names":false,"suffix":""},{"dropping-particle":"","family":"Peterburg","given":"Y","non-dropping-particle":"","parse-names":false,"suffix":""}],"container-title":"The Israel Medical Association journal : IMAJ","id":"ITEM-1","issue":"6","issued":{"date-parts":[["2001","6"]]},"page":"404-8","title":"Prevalence of selected chronic diseases in Israel.","type":"article-journal","volume":"3"},"uris":["http://www.mendeley.com/documents/?uuid=bafaa3ce-16f1-30ae-b769-0c4485f0af50"]}],"mendeley":{"formattedCitation":"[10]","plainTextFormattedCitation":"[10]","previouslyFormattedCitation":"[10]"},"properties":{"noteIndex":0},"schema":"https://github.com/citation-style-language/schema/raw/master/csl-citation.json"}</w:instrText>
      </w:r>
      <w:r w:rsidRPr="0007652D">
        <w:rPr>
          <w:rFonts w:ascii="Times" w:hAnsi="Times"/>
        </w:rPr>
        <w:fldChar w:fldCharType="separate"/>
      </w:r>
      <w:r w:rsidRPr="0007652D">
        <w:rPr>
          <w:rFonts w:ascii="Times" w:hAnsi="Times"/>
          <w:noProof/>
        </w:rPr>
        <w:t>[10]</w:t>
      </w:r>
      <w:r w:rsidRPr="0007652D">
        <w:rPr>
          <w:rFonts w:ascii="Times" w:hAnsi="Times"/>
        </w:rPr>
        <w:fldChar w:fldCharType="end"/>
      </w:r>
      <w:r w:rsidRPr="0007652D">
        <w:rPr>
          <w:rFonts w:ascii="Times" w:hAnsi="Times"/>
        </w:rPr>
        <w:t>.</w:t>
      </w:r>
    </w:p>
    <w:p w14:paraId="0C058A51" w14:textId="64FCFC95" w:rsidR="00E2374A" w:rsidRPr="0007652D" w:rsidRDefault="00E2374A" w:rsidP="00E2374A">
      <w:pPr>
        <w:spacing w:line="480" w:lineRule="auto"/>
        <w:ind w:firstLine="720"/>
        <w:jc w:val="both"/>
        <w:rPr>
          <w:rFonts w:ascii="Times" w:hAnsi="Times" w:cstheme="majorBidi"/>
        </w:rPr>
      </w:pPr>
      <w:r w:rsidRPr="0007652D">
        <w:rPr>
          <w:rFonts w:ascii="Times" w:hAnsi="Times" w:cstheme="majorBidi"/>
        </w:rPr>
        <w:t>The ethical committee of Ben-Gurion University approved the current study which was performed in accordance with</w:t>
      </w:r>
      <w:r w:rsidR="00662170">
        <w:rPr>
          <w:rFonts w:ascii="Times" w:hAnsi="Times" w:cstheme="majorBidi"/>
        </w:rPr>
        <w:t xml:space="preserve"> the</w:t>
      </w:r>
      <w:r w:rsidRPr="0007652D">
        <w:rPr>
          <w:rFonts w:ascii="Times" w:hAnsi="Times" w:cstheme="majorBidi"/>
        </w:rPr>
        <w:t xml:space="preserve"> </w:t>
      </w:r>
      <w:r w:rsidR="00662170" w:rsidRPr="0007652D">
        <w:rPr>
          <w:rFonts w:ascii="Times" w:hAnsi="Times" w:cstheme="majorBidi"/>
        </w:rPr>
        <w:t>D</w:t>
      </w:r>
      <w:r w:rsidRPr="0007652D">
        <w:rPr>
          <w:rFonts w:ascii="Times" w:hAnsi="Times" w:cstheme="majorBidi"/>
        </w:rPr>
        <w:t xml:space="preserve">eclaration of Helsinki. </w:t>
      </w:r>
    </w:p>
    <w:p w14:paraId="4B9804BD" w14:textId="31E83DED" w:rsidR="00E2374A" w:rsidRPr="0007652D" w:rsidRDefault="00E2374A" w:rsidP="00E2374A">
      <w:pPr>
        <w:spacing w:line="480" w:lineRule="auto"/>
        <w:jc w:val="both"/>
        <w:rPr>
          <w:rFonts w:ascii="Times" w:hAnsi="Times"/>
          <w:b/>
          <w:bCs/>
          <w:i/>
          <w:iCs/>
        </w:rPr>
      </w:pPr>
      <w:r w:rsidRPr="0007652D">
        <w:rPr>
          <w:rFonts w:ascii="Times" w:hAnsi="Times"/>
          <w:b/>
          <w:bCs/>
          <w:i/>
          <w:iCs/>
        </w:rPr>
        <w:t>Study</w:t>
      </w:r>
      <w:r w:rsidR="00662170" w:rsidRPr="0007652D">
        <w:rPr>
          <w:rFonts w:ascii="Times" w:hAnsi="Times"/>
          <w:b/>
          <w:bCs/>
          <w:i/>
          <w:iCs/>
        </w:rPr>
        <w:t xml:space="preserve"> P</w:t>
      </w:r>
      <w:r w:rsidRPr="0007652D">
        <w:rPr>
          <w:rFonts w:ascii="Times" w:hAnsi="Times"/>
          <w:b/>
          <w:bCs/>
          <w:i/>
          <w:iCs/>
        </w:rPr>
        <w:t xml:space="preserve">opulation and </w:t>
      </w:r>
      <w:r w:rsidR="00662170" w:rsidRPr="0007652D">
        <w:rPr>
          <w:rFonts w:ascii="Times" w:hAnsi="Times"/>
          <w:b/>
          <w:bCs/>
          <w:i/>
          <w:iCs/>
        </w:rPr>
        <w:t>C</w:t>
      </w:r>
      <w:r w:rsidRPr="0007652D">
        <w:rPr>
          <w:rFonts w:ascii="Times" w:hAnsi="Times"/>
          <w:b/>
          <w:bCs/>
          <w:i/>
          <w:iCs/>
        </w:rPr>
        <w:t>ovariates</w:t>
      </w:r>
    </w:p>
    <w:p w14:paraId="21FAB329" w14:textId="359C7182" w:rsidR="00E2374A" w:rsidRPr="0007652D" w:rsidRDefault="00E2374A" w:rsidP="00E2374A">
      <w:pPr>
        <w:spacing w:line="480" w:lineRule="auto"/>
        <w:ind w:firstLine="720"/>
        <w:rPr>
          <w:rFonts w:ascii="Times" w:hAnsi="Times"/>
        </w:rPr>
      </w:pPr>
      <w:r w:rsidRPr="0007652D">
        <w:rPr>
          <w:rFonts w:ascii="Times" w:hAnsi="Times"/>
        </w:rPr>
        <w:t>Between the years 2000 and 2018, we identified all individuals with diagnostic codes consistent with the diagnosis of PG. The inclusion of PG cases in this study was based on the following criteria: (</w:t>
      </w:r>
      <w:proofErr w:type="spellStart"/>
      <w:r w:rsidRPr="0007652D">
        <w:rPr>
          <w:rFonts w:ascii="Times" w:hAnsi="Times"/>
        </w:rPr>
        <w:t>i</w:t>
      </w:r>
      <w:proofErr w:type="spellEnd"/>
      <w:r w:rsidRPr="0007652D">
        <w:rPr>
          <w:rFonts w:ascii="Times" w:hAnsi="Times"/>
        </w:rPr>
        <w:t xml:space="preserve">) a documented diagnosis of PG at least twice in the medical file as registered by a community board-certified dermatologist or (ii) documentation of a diagnosis of PG in hospital discharge letters from dermatological wards. </w:t>
      </w:r>
      <w:r w:rsidRPr="00662170">
        <w:rPr>
          <w:rFonts w:ascii="Times" w:hAnsi="Times"/>
        </w:rPr>
        <w:t>Figure 1</w:t>
      </w:r>
      <w:r w:rsidRPr="0007652D">
        <w:rPr>
          <w:rFonts w:ascii="Times" w:hAnsi="Times"/>
        </w:rPr>
        <w:t xml:space="preserve"> illustrates selection of study population.</w:t>
      </w:r>
    </w:p>
    <w:p w14:paraId="29B7DFF9" w14:textId="77777777" w:rsidR="00E2374A" w:rsidRPr="0007652D" w:rsidRDefault="00E2374A" w:rsidP="00E2374A">
      <w:pPr>
        <w:spacing w:line="480" w:lineRule="auto"/>
        <w:ind w:firstLine="720"/>
        <w:rPr>
          <w:rFonts w:ascii="Times" w:eastAsia="Calibri" w:hAnsi="Times"/>
        </w:rPr>
      </w:pPr>
      <w:r w:rsidRPr="0007652D">
        <w:rPr>
          <w:rFonts w:ascii="Times" w:eastAsia="Calibri" w:hAnsi="Times"/>
        </w:rPr>
        <w:lastRenderedPageBreak/>
        <w:t>The diagnosis of UC was based on its registration in the chronic registry of CHS. To elaborate, it is based on the documentation of board-certified gastroenterologist, on the claims of UC-related drugs, and is eventually validated by the managing general practitioner.</w:t>
      </w:r>
    </w:p>
    <w:p w14:paraId="0E181027" w14:textId="77777777" w:rsidR="00E2374A" w:rsidRPr="0007652D" w:rsidRDefault="00E2374A" w:rsidP="00E2374A">
      <w:pPr>
        <w:spacing w:line="480" w:lineRule="auto"/>
        <w:ind w:firstLine="720"/>
        <w:rPr>
          <w:rFonts w:ascii="Times" w:eastAsia="Calibri" w:hAnsi="Times"/>
        </w:rPr>
      </w:pPr>
      <w:r w:rsidRPr="0007652D">
        <w:rPr>
          <w:rFonts w:ascii="Times" w:hAnsi="Times"/>
        </w:rPr>
        <w:t xml:space="preserve">The control group included up to 5 controls per patient, matched randomly by age, sex, and ethnicity. Age matching was based on the exact year of birth (1-year strata). </w:t>
      </w:r>
      <w:r w:rsidRPr="0007652D">
        <w:rPr>
          <w:rFonts w:ascii="Times" w:eastAsia="Calibri" w:hAnsi="Times"/>
        </w:rPr>
        <w:t xml:space="preserve">The diagnosis date was used as an index date for the cases, and each matched control patient. Controls were ascertained to be alive and to contribute longitudinal data to the CHS dataset at their recruitment date. </w:t>
      </w:r>
    </w:p>
    <w:p w14:paraId="4C306097" w14:textId="4DBB5BD9" w:rsidR="00E2374A" w:rsidRPr="0007652D" w:rsidRDefault="00E2374A" w:rsidP="00E2374A">
      <w:pPr>
        <w:spacing w:line="480" w:lineRule="auto"/>
        <w:jc w:val="both"/>
        <w:rPr>
          <w:rFonts w:ascii="Times" w:hAnsi="Times"/>
        </w:rPr>
      </w:pPr>
      <w:r w:rsidRPr="0007652D">
        <w:rPr>
          <w:rFonts w:ascii="Times" w:hAnsi="Times"/>
        </w:rPr>
        <w:tab/>
        <w:t xml:space="preserve">Outcome measures were adjusted for comorbid underlying diseases utilizing the </w:t>
      </w:r>
      <w:proofErr w:type="spellStart"/>
      <w:r w:rsidRPr="0007652D">
        <w:rPr>
          <w:rFonts w:ascii="Times" w:hAnsi="Times"/>
        </w:rPr>
        <w:t>Charlson</w:t>
      </w:r>
      <w:proofErr w:type="spellEnd"/>
      <w:r w:rsidRPr="0007652D">
        <w:rPr>
          <w:rFonts w:ascii="Times" w:hAnsi="Times"/>
        </w:rPr>
        <w:t xml:space="preserve"> comorbidity index, a validated epidemiological method of measuring and categorizing comorbidities. This index has been demonstrated to be reliable in forecasting mortality</w:t>
      </w:r>
      <w:r w:rsidR="00662170">
        <w:rPr>
          <w:rFonts w:ascii="Times" w:hAnsi="Times"/>
        </w:rPr>
        <w:t xml:space="preserve"> </w:t>
      </w:r>
      <w:r w:rsidRPr="0007652D">
        <w:rPr>
          <w:rFonts w:ascii="Times" w:hAnsi="Times"/>
        </w:rPr>
        <w:fldChar w:fldCharType="begin" w:fldLock="1"/>
      </w:r>
      <w:r w:rsidRPr="0007652D">
        <w:rPr>
          <w:rFonts w:ascii="Times" w:hAnsi="Times"/>
        </w:rPr>
        <w:instrText>ADDIN CSL_CITATION {"citationItems":[{"id":"ITEM-1","itemData":{"DOI":"10.1016/0021-9681(87)90171-8","ISBN":"0021-9681 (Print)\\r0021-9681 (Linking)","ISSN":"0021-9681","PMID":"3558716","abstract":"The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small.","author":[{"dropping-particle":"","family":"Charlson","given":"M E","non-dropping-particle":"","parse-names":false,"suffix":""},{"dropping-particle":"","family":"Pompei","given":"P","non-dropping-particle":"","parse-names":false,"suffix":""},{"dropping-particle":"","family":"Ales","given":"K L","non-dropping-particle":"","parse-names":false,"suffix":""},{"dropping-particle":"","family":"MacKenzie","given":"C R","non-dropping-particle":"","parse-names":false,"suffix":""}],"container-title":"Journal of chronic diseases","id":"ITEM-1","issue":"5","issued":{"date-parts":[["1987"]]},"page":"373-83","title":"A new method of classifying prognostic comorbidity in longitudinal studies: development and validation.","type":"article-journal","volume":"40"},"uris":["http://www.mendeley.com/documents/?uuid=eb53e7e0-57a7-427b-8805-7b267c72758d"]}],"mendeley":{"formattedCitation":"[11]","plainTextFormattedCitation":"[11]","previouslyFormattedCitation":"[11]"},"properties":{"noteIndex":0},"schema":"https://github.com/citation-style-language/schema/raw/master/csl-citation.json"}</w:instrText>
      </w:r>
      <w:r w:rsidRPr="0007652D">
        <w:rPr>
          <w:rFonts w:ascii="Times" w:hAnsi="Times"/>
        </w:rPr>
        <w:fldChar w:fldCharType="separate"/>
      </w:r>
      <w:r w:rsidRPr="0007652D">
        <w:rPr>
          <w:rFonts w:ascii="Times" w:hAnsi="Times"/>
          <w:noProof/>
        </w:rPr>
        <w:t>[11]</w:t>
      </w:r>
      <w:r w:rsidRPr="0007652D">
        <w:rPr>
          <w:rFonts w:ascii="Times" w:hAnsi="Times"/>
        </w:rPr>
        <w:fldChar w:fldCharType="end"/>
      </w:r>
      <w:r w:rsidRPr="0007652D">
        <w:rPr>
          <w:rFonts w:ascii="Times" w:hAnsi="Times"/>
        </w:rPr>
        <w:t>.</w:t>
      </w:r>
      <w:r w:rsidRPr="0007652D">
        <w:t xml:space="preserve"> </w:t>
      </w:r>
      <w:r w:rsidRPr="0007652D">
        <w:rPr>
          <w:rFonts w:ascii="Times" w:hAnsi="Times"/>
        </w:rPr>
        <w:t>Smoking status was classified as a current smoker or never/past smoker.</w:t>
      </w:r>
    </w:p>
    <w:p w14:paraId="76F65213" w14:textId="7435C44B" w:rsidR="00E2374A" w:rsidRPr="0007652D" w:rsidRDefault="00E2374A" w:rsidP="00E2374A">
      <w:pPr>
        <w:spacing w:line="480" w:lineRule="auto"/>
        <w:jc w:val="both"/>
        <w:rPr>
          <w:rFonts w:ascii="Times" w:hAnsi="Times"/>
          <w:b/>
          <w:bCs/>
          <w:i/>
          <w:iCs/>
        </w:rPr>
      </w:pPr>
      <w:r w:rsidRPr="0007652D">
        <w:rPr>
          <w:rFonts w:ascii="Times" w:hAnsi="Times"/>
          <w:b/>
          <w:bCs/>
          <w:i/>
          <w:iCs/>
        </w:rPr>
        <w:t xml:space="preserve">Statistical </w:t>
      </w:r>
      <w:r w:rsidR="00662170">
        <w:rPr>
          <w:rFonts w:ascii="Times" w:hAnsi="Times"/>
          <w:b/>
          <w:bCs/>
          <w:i/>
          <w:iCs/>
        </w:rPr>
        <w:t>A</w:t>
      </w:r>
      <w:r w:rsidRPr="0007652D">
        <w:rPr>
          <w:rFonts w:ascii="Times" w:hAnsi="Times"/>
          <w:b/>
          <w:bCs/>
          <w:i/>
          <w:iCs/>
        </w:rPr>
        <w:t>nalysis</w:t>
      </w:r>
    </w:p>
    <w:p w14:paraId="62B79F35" w14:textId="7B39F6F5" w:rsidR="00E2374A" w:rsidRPr="0007652D" w:rsidRDefault="00E2374A" w:rsidP="00E2374A">
      <w:pPr>
        <w:spacing w:line="480" w:lineRule="auto"/>
        <w:ind w:firstLine="720"/>
        <w:jc w:val="both"/>
        <w:rPr>
          <w:rFonts w:ascii="Times" w:hAnsi="Times"/>
        </w:rPr>
      </w:pPr>
      <w:r w:rsidRPr="0007652D">
        <w:rPr>
          <w:rFonts w:ascii="Times" w:hAnsi="Times"/>
        </w:rPr>
        <w:t xml:space="preserve">Baseline characteristics are described with means and standard deviations (SD)s for continuous variables, whereas percentages are used to represent categorical values. A comparison of the distribution of sociodemographic and clinical factors between patients with PG and controls was conducted using the </w:t>
      </w:r>
      <w:r w:rsidR="00662170" w:rsidRPr="00662170">
        <w:rPr>
          <w:rFonts w:ascii="Times" w:hAnsi="Times"/>
        </w:rPr>
        <w:t>χ</w:t>
      </w:r>
      <w:r w:rsidR="00662170" w:rsidRPr="00662170">
        <w:rPr>
          <w:rFonts w:ascii="Times" w:hAnsi="Times"/>
          <w:vertAlign w:val="superscript"/>
        </w:rPr>
        <w:t>2</w:t>
      </w:r>
      <w:r w:rsidRPr="0007652D">
        <w:rPr>
          <w:rFonts w:ascii="Times" w:hAnsi="Times"/>
        </w:rPr>
        <w:t xml:space="preserve"> test and </w:t>
      </w:r>
      <w:r w:rsidRPr="00662170">
        <w:rPr>
          <w:rFonts w:ascii="Times" w:hAnsi="Times"/>
          <w:i/>
          <w:iCs/>
        </w:rPr>
        <w:t>t</w:t>
      </w:r>
      <w:r w:rsidR="00662170">
        <w:rPr>
          <w:rFonts w:ascii="Times" w:hAnsi="Times"/>
        </w:rPr>
        <w:t xml:space="preserve"> </w:t>
      </w:r>
      <w:r w:rsidRPr="0007652D">
        <w:rPr>
          <w:rFonts w:ascii="Times" w:hAnsi="Times"/>
        </w:rPr>
        <w:t xml:space="preserve">test, as indicated.  </w:t>
      </w:r>
    </w:p>
    <w:p w14:paraId="39639B48" w14:textId="710183B2" w:rsidR="00E2374A" w:rsidRPr="0007652D" w:rsidRDefault="00E2374A" w:rsidP="00E2374A">
      <w:pPr>
        <w:spacing w:line="480" w:lineRule="auto"/>
        <w:ind w:firstLine="720"/>
        <w:jc w:val="both"/>
        <w:rPr>
          <w:rFonts w:ascii="Times" w:hAnsi="Times" w:cstheme="majorBidi"/>
        </w:rPr>
      </w:pPr>
      <w:r w:rsidRPr="0007652D">
        <w:rPr>
          <w:rFonts w:ascii="Times" w:hAnsi="Times"/>
        </w:rPr>
        <w:t xml:space="preserve">Logistic regression was used to calculate odds ratios (ORs) and 95% CIs to compare cases and control with respect to the presence of UC. The association was calculated based on individuals who developed PG following the diagnosis of UC in accordance with the presence of a temporal relationship between exposure and outcome in case-control studies. Two-tailed </w:t>
      </w:r>
      <w:r w:rsidR="0058409A" w:rsidRPr="0058409A">
        <w:rPr>
          <w:rFonts w:ascii="Times" w:hAnsi="Times"/>
          <w:i/>
          <w:iCs/>
        </w:rPr>
        <w:t>p</w:t>
      </w:r>
      <w:r w:rsidR="0058409A">
        <w:rPr>
          <w:rFonts w:ascii="Times" w:hAnsi="Times"/>
        </w:rPr>
        <w:t xml:space="preserve"> </w:t>
      </w:r>
      <w:r w:rsidRPr="0007652D">
        <w:rPr>
          <w:rFonts w:ascii="Times" w:hAnsi="Times"/>
        </w:rPr>
        <w:t xml:space="preserve">values less than 0.05 were considered as statistically significant. </w:t>
      </w:r>
      <w:r w:rsidRPr="0007652D">
        <w:rPr>
          <w:rFonts w:ascii="Times" w:hAnsi="Times" w:cstheme="majorBidi"/>
        </w:rPr>
        <w:t>All statistical analyses were performed using SPSS software, version 25 (SPSS, Armonk, NY: IBM Corp).</w:t>
      </w:r>
    </w:p>
    <w:p w14:paraId="3D48E9A1" w14:textId="72F98052" w:rsidR="00E2374A" w:rsidRPr="0007652D" w:rsidRDefault="00E2374A" w:rsidP="00E2374A">
      <w:pPr>
        <w:spacing w:line="480" w:lineRule="auto"/>
        <w:ind w:firstLine="720"/>
        <w:jc w:val="both"/>
        <w:rPr>
          <w:rFonts w:ascii="Times" w:hAnsi="Times"/>
        </w:rPr>
      </w:pPr>
      <w:r w:rsidRPr="0007652D">
        <w:rPr>
          <w:rFonts w:ascii="Times" w:hAnsi="Times"/>
        </w:rPr>
        <w:t xml:space="preserve">A sensitivity analysis was performed to ensure that the observed association was not overestimated due to ascertainment bias. This analysis was based on repeating all calculations with an exclusion period of </w:t>
      </w:r>
      <w:r w:rsidR="00AB2CE7">
        <w:rPr>
          <w:rFonts w:ascii="Times" w:hAnsi="Times"/>
        </w:rPr>
        <w:t>2</w:t>
      </w:r>
      <w:r w:rsidRPr="0007652D">
        <w:rPr>
          <w:rFonts w:ascii="Times" w:hAnsi="Times"/>
        </w:rPr>
        <w:t xml:space="preserve"> </w:t>
      </w:r>
      <w:bookmarkStart w:id="1" w:name="_GoBack"/>
      <w:r w:rsidRPr="0007652D">
        <w:rPr>
          <w:rFonts w:ascii="Times" w:hAnsi="Times"/>
        </w:rPr>
        <w:t>year</w:t>
      </w:r>
      <w:bookmarkEnd w:id="1"/>
      <w:r w:rsidRPr="0007652D">
        <w:rPr>
          <w:rFonts w:ascii="Times" w:hAnsi="Times"/>
        </w:rPr>
        <w:t xml:space="preserve">s prior to the diagnosis of PG. Thus, all individuals given a diagnosis of UC in this period were omitted from all calculations. </w:t>
      </w:r>
    </w:p>
    <w:p w14:paraId="390F4D77" w14:textId="77777777" w:rsidR="001226AA" w:rsidRDefault="001226AA"/>
    <w:sectPr w:rsidR="001226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4A"/>
    <w:rsid w:val="001226AA"/>
    <w:rsid w:val="0058409A"/>
    <w:rsid w:val="00662170"/>
    <w:rsid w:val="00AB2CE7"/>
    <w:rsid w:val="00E23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83E2"/>
  <w15:chartTrackingRefBased/>
  <w15:docId w15:val="{3167C0B6-DF77-4DFD-A929-EBBF5C2F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74A"/>
    <w:pPr>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10383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Andrea Shaw</cp:lastModifiedBy>
  <cp:revision>3</cp:revision>
  <dcterms:created xsi:type="dcterms:W3CDTF">2020-11-12T15:57:00Z</dcterms:created>
  <dcterms:modified xsi:type="dcterms:W3CDTF">2021-01-07T09:00:00Z</dcterms:modified>
</cp:coreProperties>
</file>