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80" w:rsidRDefault="00636080" w:rsidP="002A1207">
      <w:pPr>
        <w:pStyle w:val="1"/>
        <w:rPr>
          <w:rFonts w:ascii="Times New Roman" w:hAnsi="Times New Roman" w:cs="Times New Roman"/>
        </w:rPr>
      </w:pPr>
      <w:r w:rsidRPr="00636080">
        <w:rPr>
          <w:rFonts w:ascii="Times New Roman" w:hAnsi="Times New Roman" w:cs="Times New Roman" w:hint="eastAsia"/>
        </w:rPr>
        <w:t>Supplemental File</w:t>
      </w:r>
    </w:p>
    <w:p w:rsidR="00636080" w:rsidRPr="00636080" w:rsidRDefault="00636080" w:rsidP="00636080"/>
    <w:p w:rsidR="00265232" w:rsidRPr="00265232" w:rsidRDefault="00265232" w:rsidP="00265232">
      <w:pPr>
        <w:widowControl/>
        <w:wordWrap/>
        <w:autoSpaceDE/>
        <w:autoSpaceDN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232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Pr="0026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S1</w:t>
      </w:r>
      <w:r w:rsidRPr="00265232">
        <w:rPr>
          <w:rFonts w:ascii="Times New Roman" w:hAnsi="Times New Roman" w:cs="Times New Roman"/>
          <w:color w:val="000000" w:themeColor="text1"/>
          <w:sz w:val="24"/>
          <w:szCs w:val="24"/>
        </w:rPr>
        <w:t>. Odds ratio (OR) and 95% confidence interval (CI) for the association of serum phosphorus with the occurrence of intradialytic hypotension</w:t>
      </w:r>
      <w:r w:rsidR="0012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F6B" w:rsidRPr="0012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CE6D09">
        <w:rPr>
          <w:rFonts w:ascii="Times New Roman" w:hAnsi="Times New Roman" w:cs="Times New Roman"/>
          <w:color w:val="000000" w:themeColor="text1"/>
          <w:sz w:val="24"/>
          <w:szCs w:val="24"/>
        </w:rPr>
        <w:t>a different time period (</w:t>
      </w:r>
      <w:r w:rsidR="00122F6B" w:rsidRPr="00122F6B">
        <w:rPr>
          <w:rFonts w:ascii="Times New Roman" w:hAnsi="Times New Roman" w:cs="Times New Roman"/>
          <w:color w:val="000000" w:themeColor="text1"/>
          <w:sz w:val="24"/>
          <w:szCs w:val="24"/>
        </w:rPr>
        <w:t>the third week of the study month</w:t>
      </w:r>
      <w:r w:rsidR="00CE6D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6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173 maintenance hemodialysis patients.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1538"/>
        <w:gridCol w:w="3385"/>
        <w:gridCol w:w="2545"/>
      </w:tblGrid>
      <w:tr w:rsidR="00265232" w:rsidRPr="00265232" w:rsidTr="00265232">
        <w:trPr>
          <w:trHeight w:val="330"/>
        </w:trPr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Per 1mg/dL increment in serum phosphorus level</w:t>
            </w:r>
          </w:p>
        </w:tc>
      </w:tr>
      <w:tr w:rsidR="00265232" w:rsidRPr="00265232" w:rsidTr="00265232">
        <w:trPr>
          <w:trHeight w:val="33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OR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95% CI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 value</w:t>
            </w:r>
          </w:p>
        </w:tc>
      </w:tr>
      <w:tr w:rsidR="00265232" w:rsidRPr="00265232" w:rsidTr="00265232">
        <w:trPr>
          <w:trHeight w:val="330"/>
        </w:trPr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Model 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1.43 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1.10–1.85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0.008</w:t>
            </w:r>
          </w:p>
        </w:tc>
      </w:tr>
      <w:tr w:rsidR="00265232" w:rsidRPr="00265232" w:rsidTr="00265232">
        <w:trPr>
          <w:trHeight w:val="33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Model 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1.22–2.39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0.002</w:t>
            </w:r>
          </w:p>
        </w:tc>
      </w:tr>
      <w:tr w:rsidR="00265232" w:rsidRPr="00265232" w:rsidTr="00265232">
        <w:trPr>
          <w:trHeight w:val="330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Model 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1.81 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1.25–2.61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0.002</w:t>
            </w:r>
          </w:p>
        </w:tc>
      </w:tr>
      <w:tr w:rsidR="00265232" w:rsidRPr="00265232" w:rsidTr="00265232">
        <w:trPr>
          <w:trHeight w:val="330"/>
        </w:trPr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Model 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1.22–2.64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0.003</w:t>
            </w:r>
          </w:p>
        </w:tc>
      </w:tr>
    </w:tbl>
    <w:p w:rsidR="00265232" w:rsidRPr="00265232" w:rsidRDefault="00265232" w:rsidP="00265232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265232">
        <w:rPr>
          <w:rFonts w:ascii="Times New Roman" w:hAnsi="Times New Roman" w:cs="Times New Roman"/>
          <w:color w:val="000000" w:themeColor="text1"/>
          <w:szCs w:val="20"/>
        </w:rPr>
        <w:t xml:space="preserve">Model 1: unadjusted. Model 2: adjusted for age, sex, dialysis vintage, diabetes, hypertension, heart failure, and coronary artery disease. Model 3: further adjusted for pre-dialysis systolic blood pressure, pre-diastolic blood pressure, renin angiotensin system antagonists, beta blockers, calcium channel blockers, and vitamin D receptor agonist. Model 4(fully adjusted model): further adjusted for serum hemoglobin, albumin, calcium, intact parathyroid hormone, and ultrafiltration rate. </w:t>
      </w:r>
    </w:p>
    <w:p w:rsidR="00265232" w:rsidRPr="00265232" w:rsidRDefault="00265232" w:rsidP="0026523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232" w:rsidRDefault="00265232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65232" w:rsidRPr="00265232" w:rsidRDefault="00265232" w:rsidP="0026523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2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</w:t>
      </w:r>
      <w:r w:rsidRPr="0026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S2</w:t>
      </w:r>
      <w:r w:rsidRPr="00265232">
        <w:rPr>
          <w:rFonts w:ascii="Times New Roman" w:hAnsi="Times New Roman" w:cs="Times New Roman"/>
          <w:color w:val="000000" w:themeColor="text1"/>
          <w:sz w:val="24"/>
          <w:szCs w:val="24"/>
        </w:rPr>
        <w:t>. Odds ratio (OR) and 95% confidence interval (CI) for the association of categorized serum phosphorus groups with the occurrence of intradialytic hypotension</w:t>
      </w:r>
      <w:r w:rsidR="0012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F6B" w:rsidRPr="0012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CE6D09">
        <w:rPr>
          <w:rFonts w:ascii="Times New Roman" w:hAnsi="Times New Roman" w:cs="Times New Roman"/>
          <w:color w:val="000000" w:themeColor="text1"/>
          <w:sz w:val="24"/>
          <w:szCs w:val="24"/>
        </w:rPr>
        <w:t>a different time period (</w:t>
      </w:r>
      <w:r w:rsidR="00122F6B" w:rsidRPr="00122F6B">
        <w:rPr>
          <w:rFonts w:ascii="Times New Roman" w:hAnsi="Times New Roman" w:cs="Times New Roman"/>
          <w:color w:val="000000" w:themeColor="text1"/>
          <w:sz w:val="24"/>
          <w:szCs w:val="24"/>
        </w:rPr>
        <w:t>the third week of the study month</w:t>
      </w:r>
      <w:r w:rsidR="00CE6D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6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173 maintenance hemodialysis patients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2"/>
        <w:gridCol w:w="1670"/>
        <w:gridCol w:w="1668"/>
        <w:gridCol w:w="1668"/>
        <w:gridCol w:w="1668"/>
      </w:tblGrid>
      <w:tr w:rsidR="00265232" w:rsidRPr="00265232" w:rsidTr="00265232">
        <w:trPr>
          <w:trHeight w:val="330"/>
        </w:trPr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Serum phosphorus, mg/dL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Model 1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Model 2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Model 3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Model 4</w:t>
            </w:r>
          </w:p>
        </w:tc>
      </w:tr>
      <w:tr w:rsidR="00265232" w:rsidRPr="00265232" w:rsidTr="00265232">
        <w:trPr>
          <w:trHeight w:val="330"/>
        </w:trPr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Tertile 1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0.87 (0.25–3.02)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0.79 (0.21–2.92)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0.78 (0.20–3.10)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0.81 (0.20–3.31)</w:t>
            </w:r>
          </w:p>
        </w:tc>
        <w:bookmarkStart w:id="0" w:name="_GoBack"/>
        <w:bookmarkEnd w:id="0"/>
      </w:tr>
      <w:tr w:rsidR="00265232" w:rsidRPr="00265232" w:rsidTr="00265232">
        <w:trPr>
          <w:trHeight w:val="330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Tertile 2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Reference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Reference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Reference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Reference</w:t>
            </w:r>
          </w:p>
        </w:tc>
      </w:tr>
      <w:tr w:rsidR="00265232" w:rsidRPr="00265232" w:rsidTr="00265232">
        <w:trPr>
          <w:trHeight w:val="330"/>
        </w:trPr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Tertile 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3.37 (1.21–9.35)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4.22 (1.38–12.91)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4.37 (1.35–14.16)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32" w:rsidRPr="00407B14" w:rsidRDefault="00265232" w:rsidP="00D37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07B14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3.81 (1.13–12.84)</w:t>
            </w:r>
          </w:p>
        </w:tc>
      </w:tr>
    </w:tbl>
    <w:p w:rsidR="00265232" w:rsidRPr="00265232" w:rsidRDefault="00265232" w:rsidP="002652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5232">
        <w:rPr>
          <w:rFonts w:ascii="Times New Roman" w:hAnsi="Times New Roman" w:cs="Times New Roman"/>
          <w:color w:val="000000" w:themeColor="text1"/>
          <w:szCs w:val="20"/>
        </w:rPr>
        <w:t xml:space="preserve">Model 1: unadjusted. Model 2: adjusted for age, sex, dialysis vintage, diabetes, hypertension, heart failure, and coronary artery disease. Model 3: further adjusted for pre-dialysis systolic blood pressure, pre-diastolic blood pressure, renin angiotensin system antagonists, beta blockers, calcium channel blockers, and vitamin D receptor agonist. Model 4(fully adjusted model): further adjusted for serum hemoglobin, albumin, calcium, intact parathyroid hormone, and ultrafiltration rate. </w:t>
      </w:r>
    </w:p>
    <w:p w:rsidR="00416B21" w:rsidRPr="00265232" w:rsidRDefault="00416B21" w:rsidP="00265232">
      <w:pPr>
        <w:rPr>
          <w:color w:val="000000" w:themeColor="text1"/>
        </w:rPr>
      </w:pPr>
    </w:p>
    <w:sectPr w:rsidR="00416B21" w:rsidRPr="002652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6B" w:rsidRDefault="00AC426B" w:rsidP="00636080">
      <w:pPr>
        <w:spacing w:after="0" w:line="240" w:lineRule="auto"/>
      </w:pPr>
      <w:r>
        <w:separator/>
      </w:r>
    </w:p>
  </w:endnote>
  <w:endnote w:type="continuationSeparator" w:id="0">
    <w:p w:rsidR="00AC426B" w:rsidRDefault="00AC426B" w:rsidP="006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6B" w:rsidRDefault="00AC426B" w:rsidP="00636080">
      <w:pPr>
        <w:spacing w:after="0" w:line="240" w:lineRule="auto"/>
      </w:pPr>
      <w:r>
        <w:separator/>
      </w:r>
    </w:p>
  </w:footnote>
  <w:footnote w:type="continuationSeparator" w:id="0">
    <w:p w:rsidR="00AC426B" w:rsidRDefault="00AC426B" w:rsidP="00636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7"/>
    <w:rsid w:val="00122F6B"/>
    <w:rsid w:val="00196A11"/>
    <w:rsid w:val="00265232"/>
    <w:rsid w:val="002A1207"/>
    <w:rsid w:val="00416B21"/>
    <w:rsid w:val="004E3C80"/>
    <w:rsid w:val="00636080"/>
    <w:rsid w:val="00894BF8"/>
    <w:rsid w:val="00AC426B"/>
    <w:rsid w:val="00C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30C4"/>
  <w15:chartTrackingRefBased/>
  <w15:docId w15:val="{9D1AFE4D-2DC8-4D88-8209-7646368E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0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A120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A1207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360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36080"/>
  </w:style>
  <w:style w:type="paragraph" w:styleId="a4">
    <w:name w:val="footer"/>
    <w:basedOn w:val="a"/>
    <w:link w:val="Char0"/>
    <w:uiPriority w:val="99"/>
    <w:unhideWhenUsed/>
    <w:rsid w:val="006360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3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2020-11-19T06:17:00Z</dcterms:created>
  <dcterms:modified xsi:type="dcterms:W3CDTF">2020-11-19T06:51:00Z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C:\Users\USER\Desktop\BCM\Nephron\Tables.docx</vt:lpwstr>
  </property>
</Properties>
</file>