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3A195" w14:textId="77777777" w:rsidR="006A25F1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E19">
        <w:rPr>
          <w:rFonts w:ascii="Times New Roman" w:hAnsi="Times New Roman" w:cs="Times New Roman"/>
          <w:b/>
          <w:sz w:val="24"/>
          <w:szCs w:val="24"/>
        </w:rPr>
        <w:t>Materials and Methods</w:t>
      </w:r>
      <w:r w:rsidRPr="00182E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A34A4D2" w14:textId="7A960D92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E19">
        <w:rPr>
          <w:rFonts w:ascii="Times New Roman" w:hAnsi="Times New Roman" w:cs="Times New Roman"/>
          <w:b/>
          <w:i/>
          <w:sz w:val="24"/>
          <w:szCs w:val="24"/>
        </w:rPr>
        <w:t>Study design and database</w:t>
      </w:r>
    </w:p>
    <w:p w14:paraId="2E35A9D4" w14:textId="797463AB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E19">
        <w:rPr>
          <w:rFonts w:ascii="Times New Roman" w:hAnsi="Times New Roman" w:cs="Times New Roman" w:hint="eastAsia"/>
          <w:sz w:val="24"/>
          <w:szCs w:val="24"/>
        </w:rPr>
        <w:t xml:space="preserve">This study used </w:t>
      </w:r>
      <w:r w:rsidRPr="00182E19">
        <w:rPr>
          <w:rFonts w:ascii="Times New Roman" w:hAnsi="Times New Roman" w:cs="Times New Roman"/>
          <w:sz w:val="24"/>
          <w:szCs w:val="24"/>
        </w:rPr>
        <w:t>the</w:t>
      </w:r>
      <w:r w:rsidRPr="00182E19">
        <w:rPr>
          <w:rFonts w:ascii="Times New Roman" w:hAnsi="Times New Roman" w:cs="Times New Roman" w:hint="eastAsia"/>
          <w:sz w:val="24"/>
          <w:szCs w:val="24"/>
        </w:rPr>
        <w:t xml:space="preserve"> Korean Health Insurance R</w:t>
      </w:r>
      <w:r w:rsidRPr="00182E19">
        <w:rPr>
          <w:rFonts w:ascii="Times New Roman" w:hAnsi="Times New Roman" w:cs="Times New Roman"/>
          <w:sz w:val="24"/>
          <w:szCs w:val="24"/>
        </w:rPr>
        <w:t xml:space="preserve">eview and Assessment </w:t>
      </w:r>
      <w:r w:rsidRPr="00182E19">
        <w:rPr>
          <w:rFonts w:ascii="Times New Roman" w:hAnsi="Times New Roman" w:cs="Times New Roman" w:hint="eastAsia"/>
          <w:sz w:val="24"/>
          <w:szCs w:val="24"/>
        </w:rPr>
        <w:t>(</w:t>
      </w:r>
      <w:r w:rsidRPr="00182E19">
        <w:rPr>
          <w:rFonts w:ascii="Times New Roman" w:hAnsi="Times New Roman" w:cs="Times New Roman"/>
          <w:sz w:val="24"/>
          <w:szCs w:val="24"/>
        </w:rPr>
        <w:t>HIRA</w:t>
      </w:r>
      <w:r w:rsidRPr="00182E19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182E19">
        <w:rPr>
          <w:rFonts w:ascii="Times New Roman" w:hAnsi="Times New Roman" w:cs="Times New Roman"/>
          <w:sz w:val="24"/>
          <w:szCs w:val="24"/>
        </w:rPr>
        <w:t xml:space="preserve">Service claims </w:t>
      </w:r>
      <w:r w:rsidRPr="00182E19">
        <w:rPr>
          <w:rFonts w:ascii="Times New Roman" w:hAnsi="Times New Roman" w:cs="Times New Roman" w:hint="eastAsia"/>
          <w:sz w:val="24"/>
          <w:szCs w:val="24"/>
        </w:rPr>
        <w:t>database</w:t>
      </w:r>
      <w:r w:rsidRPr="00182E19">
        <w:rPr>
          <w:rFonts w:ascii="Times New Roman" w:hAnsi="Times New Roman" w:cs="Times New Roman"/>
          <w:sz w:val="24"/>
          <w:szCs w:val="24"/>
        </w:rPr>
        <w:t xml:space="preserve"> to analyze </w:t>
      </w:r>
      <w:r w:rsidRPr="00182E19">
        <w:rPr>
          <w:rFonts w:ascii="Times New Roman" w:hAnsi="Times New Roman" w:cs="Times New Roman" w:hint="eastAsia"/>
          <w:sz w:val="24"/>
          <w:szCs w:val="24"/>
        </w:rPr>
        <w:t xml:space="preserve">medical </w:t>
      </w:r>
      <w:r w:rsidRPr="00182E19">
        <w:rPr>
          <w:rFonts w:ascii="Times New Roman" w:hAnsi="Times New Roman" w:cs="Times New Roman"/>
          <w:sz w:val="24"/>
          <w:szCs w:val="24"/>
        </w:rPr>
        <w:t>data from 2007 to 2017</w:t>
      </w:r>
      <w:r w:rsidRPr="00182E19">
        <w:rPr>
          <w:rFonts w:ascii="Times New Roman" w:hAnsi="Times New Roman" w:cs="Times New Roman" w:hint="eastAsia"/>
          <w:sz w:val="24"/>
          <w:szCs w:val="24"/>
        </w:rPr>
        <w:t>. T</w:t>
      </w:r>
      <w:r w:rsidRPr="00182E19">
        <w:rPr>
          <w:rFonts w:ascii="Times New Roman" w:hAnsi="Times New Roman" w:cs="Times New Roman"/>
          <w:sz w:val="24"/>
          <w:szCs w:val="24"/>
        </w:rPr>
        <w:t>he Korean government operates a mandatory nationwide insurance service called the KNHI program. The HIRA database contains all claims data</w:t>
      </w:r>
      <w:r w:rsidR="00511085">
        <w:rPr>
          <w:rFonts w:ascii="Times New Roman" w:hAnsi="Times New Roman" w:cs="Times New Roman"/>
          <w:sz w:val="24"/>
          <w:szCs w:val="24"/>
        </w:rPr>
        <w:t>,</w:t>
      </w:r>
      <w:r w:rsidRPr="00182E19">
        <w:rPr>
          <w:rFonts w:ascii="Times New Roman" w:hAnsi="Times New Roman" w:cs="Times New Roman"/>
          <w:sz w:val="24"/>
          <w:szCs w:val="24"/>
        </w:rPr>
        <w:t xml:space="preserve"> covering the entire population of Korea (&gt;50 million people)</w:t>
      </w:r>
      <w:r w:rsidRPr="00182E1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182E19">
        <w:rPr>
          <w:rFonts w:ascii="Times New Roman" w:hAnsi="Times New Roman" w:cs="Times New Roman"/>
          <w:sz w:val="24"/>
          <w:szCs w:val="24"/>
        </w:rPr>
        <w:t>Medical institutions submit health care utilization information in electronic form for reimbursement purposes and this information is integrated into the HIRA claims database. Our nationwide population-based retrospective cohort study used HIRA database diagnoses according to International Classification of Disease, 10th revision (ICD-10) codes.</w:t>
      </w:r>
      <w:r w:rsidRPr="00182E19">
        <w:rPr>
          <w:rFonts w:ascii="Times New Roman"/>
          <w:bCs/>
          <w:sz w:val="24"/>
        </w:rPr>
        <w:t xml:space="preserve"> </w:t>
      </w:r>
      <w:r w:rsidRPr="00182E19">
        <w:rPr>
          <w:rFonts w:ascii="Times New Roman" w:hAnsi="Times New Roman"/>
          <w:sz w:val="24"/>
          <w:szCs w:val="24"/>
        </w:rPr>
        <w:t xml:space="preserve">The Korean government has enhanced benefit coverage for </w:t>
      </w:r>
      <w:r w:rsidR="00511085">
        <w:rPr>
          <w:rFonts w:ascii="Times New Roman" w:hAnsi="Times New Roman"/>
          <w:sz w:val="24"/>
          <w:szCs w:val="24"/>
        </w:rPr>
        <w:t>4</w:t>
      </w:r>
      <w:r w:rsidRPr="00182E19">
        <w:rPr>
          <w:rFonts w:ascii="Times New Roman" w:hAnsi="Times New Roman"/>
          <w:sz w:val="24"/>
          <w:szCs w:val="24"/>
        </w:rPr>
        <w:t xml:space="preserve"> major conditions: cancer, cardiovascular disease, cerebrovascular disease, and rare intractable diseases. </w:t>
      </w:r>
      <w:r w:rsidRPr="00182E19">
        <w:rPr>
          <w:rFonts w:ascii="Times New Roman" w:hint="eastAsia"/>
          <w:bCs/>
          <w:sz w:val="24"/>
        </w:rPr>
        <w:t xml:space="preserve">Within this system, the </w:t>
      </w:r>
      <w:r w:rsidRPr="00182E19">
        <w:rPr>
          <w:rFonts w:ascii="Times New Roman"/>
          <w:bCs/>
          <w:sz w:val="24"/>
        </w:rPr>
        <w:t>K</w:t>
      </w:r>
      <w:r w:rsidRPr="00182E19">
        <w:rPr>
          <w:rFonts w:ascii="Times New Roman" w:hint="eastAsia"/>
          <w:bCs/>
          <w:sz w:val="24"/>
        </w:rPr>
        <w:t xml:space="preserve">NHI </w:t>
      </w:r>
      <w:r w:rsidRPr="00182E19">
        <w:rPr>
          <w:rFonts w:ascii="Times New Roman"/>
          <w:bCs/>
          <w:sz w:val="24"/>
        </w:rPr>
        <w:t>service</w:t>
      </w:r>
      <w:r w:rsidRPr="00182E19">
        <w:rPr>
          <w:rFonts w:ascii="Times New Roman" w:hint="eastAsia"/>
          <w:bCs/>
          <w:sz w:val="24"/>
        </w:rPr>
        <w:t xml:space="preserve"> established a registration program for rare intractable diseases.</w:t>
      </w:r>
      <w:r w:rsidRPr="00182E19">
        <w:rPr>
          <w:rFonts w:ascii="Times New Roman" w:hAnsi="Times New Roman"/>
          <w:sz w:val="24"/>
          <w:szCs w:val="24"/>
        </w:rPr>
        <w:t xml:space="preserve"> BD, </w:t>
      </w:r>
      <w:r w:rsidRPr="00182E19">
        <w:rPr>
          <w:rFonts w:ascii="Times New Roman" w:eastAsia="Malgun Gothic" w:hAnsi="Times New Roman"/>
          <w:sz w:val="24"/>
          <w:szCs w:val="24"/>
          <w:shd w:val="clear" w:color="auto" w:fill="FFFFFF"/>
        </w:rPr>
        <w:t>multiple sclerosis, and rheumatoid arthritis</w:t>
      </w:r>
      <w:r w:rsidRPr="00182E19">
        <w:rPr>
          <w:rFonts w:ascii="Times New Roman" w:hAnsi="Times New Roman"/>
          <w:sz w:val="24"/>
          <w:szCs w:val="24"/>
        </w:rPr>
        <w:t xml:space="preserve"> are categorized as rare intractable diseases. </w:t>
      </w:r>
      <w:r w:rsidRPr="00182E19">
        <w:rPr>
          <w:rFonts w:ascii="Times New Roman" w:hAnsi="Times New Roman" w:cs="Times New Roman"/>
          <w:sz w:val="24"/>
          <w:szCs w:val="24"/>
        </w:rPr>
        <w:t xml:space="preserve">If a patient </w:t>
      </w:r>
      <w:r w:rsidR="00511085">
        <w:rPr>
          <w:rFonts w:ascii="Times New Roman" w:hAnsi="Times New Roman" w:cs="Times New Roman"/>
          <w:sz w:val="24"/>
          <w:szCs w:val="24"/>
        </w:rPr>
        <w:t>is</w:t>
      </w:r>
      <w:r w:rsidRPr="00182E19">
        <w:rPr>
          <w:rFonts w:ascii="Times New Roman" w:hAnsi="Times New Roman" w:cs="Times New Roman"/>
          <w:sz w:val="24"/>
          <w:szCs w:val="24"/>
        </w:rPr>
        <w:t xml:space="preserve"> enrolled in the registration system with a code for rare intractable diseases, he or she will pay only </w:t>
      </w:r>
      <w:r w:rsidRPr="00182E19">
        <w:rPr>
          <w:rFonts w:ascii="Times New Roman" w:hAnsi="Times New Roman"/>
          <w:sz w:val="24"/>
          <w:szCs w:val="24"/>
        </w:rPr>
        <w:t xml:space="preserve">10% of medical expenses. The medical specialists are responsible for the diagnoses of rare intractable diseases through medical examinations with exact diagnostic criteria. </w:t>
      </w:r>
      <w:r w:rsidRPr="00182E19">
        <w:rPr>
          <w:rFonts w:ascii="Times New Roman" w:hAnsi="Times New Roman" w:cs="Times New Roman"/>
          <w:sz w:val="24"/>
          <w:szCs w:val="24"/>
        </w:rPr>
        <w:t>Therefore, the use of code for rare intractable diseases increases the reliability of the data.</w:t>
      </w:r>
    </w:p>
    <w:p w14:paraId="5BC1001C" w14:textId="77777777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E19">
        <w:rPr>
          <w:rFonts w:ascii="Times New Roman" w:hAnsi="Times New Roman" w:cs="Times New Roman" w:hint="eastAsia"/>
          <w:b/>
          <w:i/>
          <w:sz w:val="24"/>
          <w:szCs w:val="24"/>
        </w:rPr>
        <w:lastRenderedPageBreak/>
        <w:t xml:space="preserve">Study population </w:t>
      </w:r>
    </w:p>
    <w:p w14:paraId="162E0C33" w14:textId="6B3A235E" w:rsidR="006A25F1" w:rsidRPr="00182E19" w:rsidRDefault="006A25F1" w:rsidP="006A25F1">
      <w:pPr>
        <w:pStyle w:val="KeinLeerraum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182E19">
        <w:rPr>
          <w:rFonts w:ascii="Times New Roman" w:hAnsi="Times New Roman"/>
          <w:sz w:val="24"/>
          <w:szCs w:val="24"/>
        </w:rPr>
        <w:t xml:space="preserve">BD diagnoses were based on the International Study Group diagnostic criteria for BD (recurrent oral ulceration plus at least </w:t>
      </w:r>
      <w:r w:rsidR="00511085">
        <w:rPr>
          <w:rFonts w:ascii="Times New Roman" w:hAnsi="Times New Roman"/>
          <w:sz w:val="24"/>
          <w:szCs w:val="24"/>
        </w:rPr>
        <w:t>2</w:t>
      </w:r>
      <w:r w:rsidRPr="00182E19">
        <w:rPr>
          <w:rFonts w:ascii="Times New Roman" w:hAnsi="Times New Roman"/>
          <w:sz w:val="24"/>
          <w:szCs w:val="24"/>
        </w:rPr>
        <w:t xml:space="preserve"> of the following: recurrent genital ulceration, eye lesions, skin lesions, </w:t>
      </w:r>
      <w:r w:rsidR="00511085">
        <w:rPr>
          <w:rFonts w:ascii="Times New Roman" w:hAnsi="Times New Roman"/>
          <w:sz w:val="24"/>
          <w:szCs w:val="24"/>
        </w:rPr>
        <w:t>and</w:t>
      </w:r>
      <w:r w:rsidRPr="00182E19">
        <w:rPr>
          <w:rFonts w:ascii="Times New Roman" w:hAnsi="Times New Roman"/>
          <w:sz w:val="24"/>
          <w:szCs w:val="24"/>
        </w:rPr>
        <w:t xml:space="preserve"> a positive pathergy test). </w:t>
      </w:r>
      <w:r w:rsidRPr="00182E19">
        <w:rPr>
          <w:rFonts w:ascii="Times New Roman" w:hAnsi="Times New Roman" w:hint="eastAsia"/>
          <w:sz w:val="24"/>
          <w:szCs w:val="24"/>
        </w:rPr>
        <w:t xml:space="preserve">To </w:t>
      </w:r>
      <w:r w:rsidRPr="00182E19">
        <w:rPr>
          <w:rFonts w:ascii="Times New Roman" w:hAnsi="Times New Roman"/>
          <w:sz w:val="24"/>
          <w:szCs w:val="24"/>
        </w:rPr>
        <w:t xml:space="preserve">determine the </w:t>
      </w:r>
      <w:r w:rsidRPr="00182E19">
        <w:rPr>
          <w:rFonts w:ascii="Times New Roman" w:hAnsi="Times New Roman" w:hint="eastAsia"/>
          <w:sz w:val="24"/>
          <w:szCs w:val="24"/>
        </w:rPr>
        <w:t>association</w:t>
      </w:r>
      <w:r w:rsidRPr="00182E19">
        <w:rPr>
          <w:rFonts w:ascii="Times New Roman" w:hAnsi="Times New Roman"/>
          <w:sz w:val="24"/>
          <w:szCs w:val="24"/>
        </w:rPr>
        <w:t>s</w:t>
      </w:r>
      <w:r w:rsidRPr="00182E19">
        <w:rPr>
          <w:rFonts w:ascii="Times New Roman" w:hAnsi="Times New Roman" w:hint="eastAsia"/>
          <w:sz w:val="24"/>
          <w:szCs w:val="24"/>
        </w:rPr>
        <w:t xml:space="preserve"> </w:t>
      </w:r>
      <w:r w:rsidRPr="00182E19">
        <w:rPr>
          <w:rFonts w:ascii="Times New Roman" w:hAnsi="Times New Roman"/>
          <w:sz w:val="24"/>
          <w:szCs w:val="24"/>
        </w:rPr>
        <w:t xml:space="preserve">between </w:t>
      </w:r>
      <w:r w:rsidRPr="00182E19">
        <w:rPr>
          <w:rFonts w:ascii="Times New Roman" w:hAnsi="Times New Roman" w:hint="eastAsia"/>
          <w:sz w:val="24"/>
          <w:szCs w:val="24"/>
        </w:rPr>
        <w:t>BD</w:t>
      </w:r>
      <w:r w:rsidRPr="00182E19">
        <w:rPr>
          <w:rFonts w:ascii="Times New Roman" w:hAnsi="Times New Roman"/>
          <w:sz w:val="24"/>
          <w:szCs w:val="24"/>
        </w:rPr>
        <w:t xml:space="preserve"> and other autoimmune and autoinflammatory disorders</w:t>
      </w:r>
      <w:r w:rsidRPr="00182E19">
        <w:rPr>
          <w:rFonts w:ascii="Times New Roman" w:hAnsi="Times New Roman" w:hint="eastAsia"/>
          <w:sz w:val="24"/>
          <w:szCs w:val="24"/>
        </w:rPr>
        <w:t xml:space="preserve">, </w:t>
      </w:r>
      <w:bookmarkStart w:id="0" w:name="_Hlk60064773"/>
      <w:r w:rsidRPr="00182E19">
        <w:rPr>
          <w:rFonts w:ascii="Times New Roman" w:hAnsi="Times New Roman"/>
          <w:sz w:val="24"/>
          <w:szCs w:val="24"/>
        </w:rPr>
        <w:t xml:space="preserve">we included all patients newly diagnosed with BD (ICD-10 code M35.2 and code for rare intractable diseases V139) between January 2012 and December 2017 </w:t>
      </w:r>
      <w:bookmarkEnd w:id="0"/>
      <w:r w:rsidRPr="00182E19">
        <w:rPr>
          <w:rFonts w:ascii="Times New Roman" w:hAnsi="Times New Roman"/>
          <w:sz w:val="24"/>
          <w:szCs w:val="24"/>
        </w:rPr>
        <w:t>(</w:t>
      </w:r>
      <w:r w:rsidRPr="00511085">
        <w:rPr>
          <w:rFonts w:ascii="Times New Roman" w:hAnsi="Times New Roman"/>
          <w:i/>
          <w:iCs/>
          <w:sz w:val="24"/>
          <w:szCs w:val="24"/>
        </w:rPr>
        <w:t>n</w:t>
      </w:r>
      <w:r w:rsidRPr="00182E19">
        <w:rPr>
          <w:rFonts w:ascii="Times New Roman" w:hAnsi="Times New Roman"/>
          <w:sz w:val="24"/>
          <w:szCs w:val="24"/>
        </w:rPr>
        <w:t xml:space="preserve"> = 6,448) with 5 years of washout from 2007 to 2011. Of these patients, those </w:t>
      </w:r>
      <w:r w:rsidR="00511085">
        <w:rPr>
          <w:rFonts w:ascii="Times New Roman" w:hAnsi="Times New Roman"/>
          <w:sz w:val="24"/>
          <w:szCs w:val="24"/>
        </w:rPr>
        <w:t>&lt;</w:t>
      </w:r>
      <w:r w:rsidRPr="00182E19">
        <w:rPr>
          <w:rFonts w:ascii="Times New Roman" w:hAnsi="Times New Roman"/>
          <w:sz w:val="24"/>
          <w:szCs w:val="24"/>
        </w:rPr>
        <w:t>20 years of age were excluded (</w:t>
      </w:r>
      <w:r w:rsidRPr="00511085">
        <w:rPr>
          <w:rFonts w:ascii="Times New Roman" w:hAnsi="Times New Roman"/>
          <w:i/>
          <w:iCs/>
          <w:sz w:val="24"/>
          <w:szCs w:val="24"/>
        </w:rPr>
        <w:t>n</w:t>
      </w:r>
      <w:r w:rsidRPr="00182E19">
        <w:rPr>
          <w:rFonts w:ascii="Times New Roman" w:hAnsi="Times New Roman"/>
          <w:sz w:val="24"/>
          <w:szCs w:val="24"/>
        </w:rPr>
        <w:t xml:space="preserve"> = 234). For the control cohort, an age-, sex-, index year-matched non-BD population was extracted </w:t>
      </w:r>
      <w:r w:rsidRPr="00182E19">
        <w:rPr>
          <w:rFonts w:ascii="Times New Roman" w:hAnsi="Times New Roman"/>
          <w:sz w:val="24"/>
          <w:szCs w:val="24"/>
          <w:lang w:eastAsia="ko-KR"/>
        </w:rPr>
        <w:t>during</w:t>
      </w:r>
      <w:r w:rsidRPr="00182E19">
        <w:rPr>
          <w:rFonts w:ascii="Times New Roman" w:hAnsi="Times New Roman"/>
          <w:sz w:val="24"/>
          <w:szCs w:val="24"/>
        </w:rPr>
        <w:t xml:space="preserve"> the same period with a ratio of 3:1 (</w:t>
      </w:r>
      <w:r w:rsidRPr="00511085">
        <w:rPr>
          <w:rFonts w:ascii="Times New Roman" w:hAnsi="Times New Roman"/>
          <w:i/>
          <w:iCs/>
          <w:sz w:val="24"/>
          <w:szCs w:val="24"/>
        </w:rPr>
        <w:t>n</w:t>
      </w:r>
      <w:r w:rsidRPr="00182E19">
        <w:rPr>
          <w:rFonts w:ascii="Times New Roman" w:hAnsi="Times New Roman"/>
          <w:sz w:val="24"/>
          <w:szCs w:val="24"/>
        </w:rPr>
        <w:t xml:space="preserve"> = 18,642) (</w:t>
      </w:r>
      <w:r w:rsidRPr="00182E19">
        <w:rPr>
          <w:rFonts w:ascii="Times New Roman" w:hAnsi="Times New Roman" w:hint="eastAsia"/>
          <w:sz w:val="24"/>
          <w:szCs w:val="24"/>
          <w:lang w:eastAsia="ko-KR"/>
        </w:rPr>
        <w:t>F</w:t>
      </w:r>
      <w:r w:rsidRPr="00182E19">
        <w:rPr>
          <w:rFonts w:ascii="Times New Roman" w:hAnsi="Times New Roman"/>
          <w:sz w:val="24"/>
          <w:szCs w:val="24"/>
          <w:lang w:eastAsia="ko-KR"/>
        </w:rPr>
        <w:t>igure 1).</w:t>
      </w:r>
      <w:r w:rsidRPr="00182E19">
        <w:rPr>
          <w:rFonts w:ascii="Times New Roman" w:hAnsi="Times New Roman"/>
          <w:sz w:val="24"/>
          <w:szCs w:val="24"/>
        </w:rPr>
        <w:t xml:space="preserve"> </w:t>
      </w:r>
    </w:p>
    <w:p w14:paraId="7F96D066" w14:textId="77777777" w:rsidR="006A25F1" w:rsidRPr="00182E19" w:rsidRDefault="006A25F1" w:rsidP="006A25F1">
      <w:pPr>
        <w:pStyle w:val="KeinLeerraum"/>
        <w:spacing w:line="480" w:lineRule="auto"/>
        <w:rPr>
          <w:rFonts w:ascii="Times New Roman" w:hAnsi="Times New Roman"/>
          <w:sz w:val="24"/>
          <w:szCs w:val="24"/>
          <w:lang w:eastAsia="ko-KR"/>
        </w:rPr>
      </w:pPr>
    </w:p>
    <w:p w14:paraId="57C5CB05" w14:textId="77777777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E19">
        <w:rPr>
          <w:rFonts w:ascii="Times New Roman" w:hAnsi="Times New Roman" w:cs="Times New Roman"/>
          <w:b/>
          <w:i/>
          <w:sz w:val="24"/>
          <w:szCs w:val="24"/>
        </w:rPr>
        <w:t>Concurrent autoimmune disorders</w:t>
      </w:r>
      <w:r w:rsidRPr="00182E19">
        <w:rPr>
          <w:rFonts w:ascii="Times New Roman" w:hAnsi="Times New Roman" w:cs="Times New Roman" w:hint="eastAsia"/>
          <w:b/>
          <w:i/>
          <w:sz w:val="24"/>
          <w:szCs w:val="24"/>
        </w:rPr>
        <w:t xml:space="preserve"> </w:t>
      </w:r>
      <w:r w:rsidRPr="00182E19">
        <w:rPr>
          <w:rFonts w:ascii="Times New Roman" w:hAnsi="Times New Roman" w:cs="Times New Roman"/>
          <w:b/>
          <w:i/>
          <w:sz w:val="24"/>
          <w:szCs w:val="24"/>
        </w:rPr>
        <w:t>in the BD and control group</w:t>
      </w:r>
    </w:p>
    <w:p w14:paraId="5A0A634B" w14:textId="5D02D757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" w:name="_Hlk60064880"/>
      <w:r w:rsidRPr="00182E19">
        <w:rPr>
          <w:rFonts w:ascii="Times New Roman" w:hAnsi="Times New Roman"/>
          <w:sz w:val="24"/>
          <w:szCs w:val="24"/>
        </w:rPr>
        <w:t xml:space="preserve">The presence of </w:t>
      </w:r>
      <w:r w:rsidRPr="00182E19">
        <w:rPr>
          <w:rFonts w:ascii="Times New Roman" w:eastAsia="Malgun Gothic" w:hAnsi="Times New Roman"/>
          <w:sz w:val="24"/>
          <w:szCs w:val="24"/>
          <w:shd w:val="clear" w:color="auto" w:fill="FFFFFF"/>
        </w:rPr>
        <w:t>multiple sclerosis and rheumatoid arthritis</w:t>
      </w:r>
      <w:r w:rsidRPr="00182E19">
        <w:rPr>
          <w:rFonts w:ascii="Times New Roman" w:hAnsi="Times New Roman"/>
          <w:sz w:val="24"/>
          <w:szCs w:val="24"/>
        </w:rPr>
        <w:t xml:space="preserve"> was defined </w:t>
      </w:r>
      <w:r w:rsidRPr="00182E19">
        <w:rPr>
          <w:rFonts w:ascii="Times New Roman" w:hAnsi="Times New Roman" w:cs="Times New Roman"/>
          <w:sz w:val="24"/>
          <w:szCs w:val="24"/>
        </w:rPr>
        <w:t xml:space="preserve">as a visit to an outpatient clinic or admission with a main diagnosis of </w:t>
      </w:r>
      <w:r w:rsidR="00511085">
        <w:rPr>
          <w:rFonts w:ascii="Times New Roman" w:hAnsi="Times New Roman" w:cs="Times New Roman"/>
          <w:sz w:val="24"/>
          <w:szCs w:val="24"/>
        </w:rPr>
        <w:t>these disorders a</w:t>
      </w:r>
      <w:r w:rsidRPr="00182E19">
        <w:rPr>
          <w:rFonts w:ascii="Times New Roman" w:hAnsi="Times New Roman" w:cs="Times New Roman"/>
          <w:sz w:val="24"/>
          <w:szCs w:val="24"/>
        </w:rPr>
        <w:t xml:space="preserve"> minimum of 5 years prior to the BD diagnosis</w:t>
      </w:r>
      <w:r w:rsidR="00511085">
        <w:rPr>
          <w:rFonts w:ascii="Times New Roman" w:hAnsi="Times New Roman" w:cs="Times New Roman"/>
          <w:sz w:val="24"/>
          <w:szCs w:val="24"/>
        </w:rPr>
        <w:t>.</w:t>
      </w:r>
      <w:r w:rsidRPr="00182E19">
        <w:rPr>
          <w:rFonts w:ascii="Times New Roman" w:hAnsi="Times New Roman" w:cs="Times New Roman"/>
          <w:sz w:val="24"/>
          <w:szCs w:val="24"/>
        </w:rPr>
        <w:t xml:space="preserve"> </w:t>
      </w:r>
      <w:r w:rsidR="00511085" w:rsidRPr="00182E19">
        <w:rPr>
          <w:rFonts w:ascii="Times New Roman" w:hAnsi="Times New Roman" w:cs="Times New Roman"/>
          <w:sz w:val="24"/>
          <w:szCs w:val="24"/>
        </w:rPr>
        <w:t xml:space="preserve">The </w:t>
      </w:r>
      <w:r w:rsidRPr="00182E19">
        <w:rPr>
          <w:rFonts w:ascii="Times New Roman" w:hAnsi="Times New Roman" w:cs="Times New Roman"/>
          <w:sz w:val="24"/>
          <w:szCs w:val="24"/>
        </w:rPr>
        <w:t xml:space="preserve">total observation period of this study was from January 2007 to December 2017. </w:t>
      </w:r>
      <w:bookmarkEnd w:id="1"/>
      <w:r w:rsidRPr="00182E19">
        <w:rPr>
          <w:rFonts w:ascii="Times New Roman" w:hAnsi="Times New Roman" w:cs="Times New Roman"/>
          <w:sz w:val="24"/>
          <w:szCs w:val="24"/>
        </w:rPr>
        <w:t xml:space="preserve">Rheumatoid arthritis was diagnosed by rheumatologists according to the </w:t>
      </w:r>
      <w:r w:rsidR="00511085">
        <w:rPr>
          <w:rFonts w:ascii="Times New Roman" w:hAnsi="Times New Roman" w:cs="Times New Roman"/>
          <w:sz w:val="24"/>
          <w:szCs w:val="24"/>
        </w:rPr>
        <w:t xml:space="preserve">1987 </w:t>
      </w:r>
      <w:r w:rsidRPr="00182E19">
        <w:rPr>
          <w:rFonts w:ascii="Times New Roman" w:hAnsi="Times New Roman" w:cs="Times New Roman"/>
          <w:sz w:val="24"/>
          <w:szCs w:val="24"/>
        </w:rPr>
        <w:t xml:space="preserve">diagnostic criteria of </w:t>
      </w:r>
      <w:r w:rsidR="00511085">
        <w:rPr>
          <w:rFonts w:ascii="Times New Roman" w:hAnsi="Times New Roman" w:cs="Times New Roman"/>
          <w:sz w:val="24"/>
          <w:szCs w:val="24"/>
        </w:rPr>
        <w:t>the</w:t>
      </w:r>
      <w:r w:rsidRPr="00182E19">
        <w:rPr>
          <w:rFonts w:ascii="Times New Roman" w:hAnsi="Times New Roman" w:cs="Times New Roman"/>
          <w:sz w:val="24"/>
          <w:szCs w:val="24"/>
        </w:rPr>
        <w:t xml:space="preserve"> American College of Rheumatology </w:t>
      </w:r>
      <w:r w:rsidRPr="00182E19">
        <w:rPr>
          <w:rFonts w:ascii="Times New Roman" w:hAnsi="Times New Roman" w:cs="Times New Roman"/>
          <w:sz w:val="24"/>
          <w:szCs w:val="24"/>
        </w:rPr>
        <w:fldChar w:fldCharType="begin"/>
      </w:r>
      <w:r w:rsidRPr="00182E19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&lt;EndNote&gt;&lt;Cite&gt;&lt;Author&gt;Arnett&lt;/Author&gt;&lt;Year&gt;1988&lt;/Year&gt;&lt;RecNum&gt;228&lt;/RecNum&gt;&lt;DisplayText&gt;[21]&lt;/DisplayText&gt;&lt;record&gt;&lt;rec-number&gt;228&lt;/rec-number&gt;&lt;foreign-keys&gt;&lt;key app="EN" db-id="a20r9tra79rdpbe0wzqp9zrrtvs2pav2zpep" timestamp="1597199131"&gt;228&lt;/key&gt;&lt;/foreign-keys&gt;&lt;ref-type name="Journal Article"&gt;17&lt;/ref-type&gt;&lt;contributors&gt;&lt;authors&gt;&lt;author&gt;Arnett, F. C.&lt;/author&gt;&lt;author&gt;Edworthy, S. M.&lt;/author&gt;&lt;author&gt;Bloch, D. A.&lt;/author&gt;&lt;author&gt;McShane, D. J.&lt;/author&gt;&lt;author&gt;Fries, J. F.&lt;/author&gt;&lt;author&gt;Cooper, N. S.&lt;/author&gt;&lt;author&gt;Healey, L. A.&lt;/author&gt;&lt;author&gt;Kaplan, S. R.&lt;/author&gt;&lt;author&gt;Liang, M. H.&lt;/author&gt;&lt;author&gt;Luthra, H. S.&lt;/author&gt;&lt;author&gt;et al.,&lt;/author&gt;&lt;/authors&gt;&lt;/contributors&gt;&lt;auth-address&gt;American Rheumatism Association, Atlanta, GA 30329.&lt;/auth-address&gt;&lt;titles&gt;&lt;title&gt;The American Rheumatism Association 1987 revised criteria for the classification of rheumatoid arthritis&lt;/title&gt;&lt;secondary-title&gt;Arthritis Rheum&lt;/secondary-title&gt;&lt;/titles&gt;&lt;periodical&gt;&lt;full-title&gt;Arthritis Rheum&lt;/full-title&gt;&lt;/periodical&gt;&lt;pages&gt;315-24&lt;/pages&gt;&lt;volume&gt;31&lt;/volume&gt;&lt;number&gt;3&lt;/number&gt;&lt;edition&gt;1988/03/01&lt;/edition&gt;&lt;keywords&gt;&lt;keyword&gt;Arthritis, Rheumatoid/*classification/diagnosis&lt;/keyword&gt;&lt;keyword&gt;Humans&lt;/keyword&gt;&lt;keyword&gt;*Rheumatology/trends&lt;/keyword&gt;&lt;keyword&gt;Societies, Medical&lt;/keyword&gt;&lt;keyword&gt;Terminology as Topic&lt;/keyword&gt;&lt;keyword&gt;United States&lt;/keyword&gt;&lt;/keywords&gt;&lt;dates&gt;&lt;year&gt;1988&lt;/year&gt;&lt;pub-dates&gt;&lt;date&gt;Mar&lt;/date&gt;&lt;/pub-dates&gt;&lt;/dates&gt;&lt;isbn&gt;0004-3591 (Print)&amp;#xD;0004-3591 (Linking)&lt;/isbn&gt;&lt;accession-num&gt;3358796&lt;/accession-num&gt;&lt;urls&gt;&lt;related-urls&gt;&lt;url&gt;https://www.ncbi.nlm.nih.gov/pubmed/3358796&lt;/url&gt;&lt;/related-urls&gt;&lt;/urls&gt;&lt;electronic-resource-num&gt;10.1002/art.1780310302&lt;/electronic-resource-num&gt;&lt;/record&gt;&lt;/Cite&gt;&lt;/EndNote&gt;</w:instrText>
      </w:r>
      <w:r w:rsidRPr="00182E19">
        <w:rPr>
          <w:rFonts w:ascii="Times New Roman" w:hAnsi="Times New Roman" w:cs="Times New Roman"/>
          <w:sz w:val="24"/>
          <w:szCs w:val="24"/>
        </w:rPr>
        <w:fldChar w:fldCharType="separate"/>
      </w:r>
      <w:r w:rsidRPr="00182E19">
        <w:rPr>
          <w:rFonts w:ascii="Times New Roman" w:hAnsi="Times New Roman" w:cs="Times New Roman"/>
          <w:noProof/>
          <w:sz w:val="24"/>
          <w:szCs w:val="24"/>
        </w:rPr>
        <w:t>[21]</w:t>
      </w:r>
      <w:r w:rsidRPr="00182E19">
        <w:rPr>
          <w:rFonts w:ascii="Times New Roman" w:hAnsi="Times New Roman" w:cs="Times New Roman"/>
          <w:sz w:val="24"/>
          <w:szCs w:val="24"/>
        </w:rPr>
        <w:fldChar w:fldCharType="end"/>
      </w:r>
      <w:r w:rsidRPr="00182E19">
        <w:rPr>
          <w:rFonts w:ascii="Times New Roman" w:hAnsi="Times New Roman" w:cs="Times New Roman"/>
          <w:sz w:val="24"/>
          <w:szCs w:val="24"/>
        </w:rPr>
        <w:t xml:space="preserve"> before 2010</w:t>
      </w:r>
      <w:r w:rsidR="00511085">
        <w:rPr>
          <w:rFonts w:ascii="Times New Roman" w:hAnsi="Times New Roman" w:cs="Times New Roman"/>
          <w:sz w:val="24"/>
          <w:szCs w:val="24"/>
        </w:rPr>
        <w:t>,</w:t>
      </w:r>
      <w:r w:rsidRPr="00182E19">
        <w:rPr>
          <w:rFonts w:ascii="Times New Roman" w:hAnsi="Times New Roman" w:cs="Times New Roman"/>
          <w:sz w:val="24"/>
          <w:szCs w:val="24"/>
        </w:rPr>
        <w:t xml:space="preserve"> and </w:t>
      </w:r>
      <w:r w:rsidR="00511085">
        <w:rPr>
          <w:rFonts w:ascii="Times New Roman" w:hAnsi="Times New Roman" w:cs="Times New Roman"/>
          <w:sz w:val="24"/>
          <w:szCs w:val="24"/>
        </w:rPr>
        <w:t xml:space="preserve">the </w:t>
      </w:r>
      <w:r w:rsidRPr="00182E19">
        <w:rPr>
          <w:rFonts w:ascii="Times New Roman" w:hAnsi="Times New Roman" w:cs="Times New Roman"/>
          <w:sz w:val="24"/>
          <w:szCs w:val="24"/>
        </w:rPr>
        <w:t xml:space="preserve">2010 American College of Rheumatology/European League Against Rheumatism Collaborative Initiative </w:t>
      </w:r>
      <w:r w:rsidRPr="00182E1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PEVuZE5vdGU+PENpdGU+PEF1dGhvcj5BbGV0YWhhPC9BdXRob3I+PFllYXI+MjAxMDwvWWVhcj48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</w:fldData>
        </w:fldChar>
      </w:r>
      <w:r w:rsidRPr="00182E19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Pr="00182E19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PEVuZE5vdGU+PENpdGU+PEF1dGhvcj5BbGV0YWhhPC9BdXRob3I+PFllYXI+MjAxMDwvWWVhcj48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</w:fldData>
        </w:fldChar>
      </w:r>
      <w:r w:rsidRPr="00182E19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Pr="00182E19">
        <w:rPr>
          <w:rFonts w:ascii="Times New Roman" w:hAnsi="Times New Roman" w:cs="Times New Roman"/>
          <w:sz w:val="24"/>
          <w:szCs w:val="24"/>
        </w:rPr>
      </w:r>
      <w:r w:rsidRPr="00182E19">
        <w:rPr>
          <w:rFonts w:ascii="Times New Roman" w:hAnsi="Times New Roman" w:cs="Times New Roman"/>
          <w:sz w:val="24"/>
          <w:szCs w:val="24"/>
        </w:rPr>
        <w:fldChar w:fldCharType="end"/>
      </w:r>
      <w:r w:rsidRPr="00182E19">
        <w:rPr>
          <w:rFonts w:ascii="Times New Roman" w:hAnsi="Times New Roman" w:cs="Times New Roman"/>
          <w:sz w:val="24"/>
          <w:szCs w:val="24"/>
        </w:rPr>
      </w:r>
      <w:r w:rsidRPr="00182E19">
        <w:rPr>
          <w:rFonts w:ascii="Times New Roman" w:hAnsi="Times New Roman" w:cs="Times New Roman"/>
          <w:sz w:val="24"/>
          <w:szCs w:val="24"/>
        </w:rPr>
        <w:fldChar w:fldCharType="separate"/>
      </w:r>
      <w:r w:rsidRPr="00182E19">
        <w:rPr>
          <w:rFonts w:ascii="Times New Roman" w:hAnsi="Times New Roman" w:cs="Times New Roman"/>
          <w:noProof/>
          <w:sz w:val="24"/>
          <w:szCs w:val="24"/>
        </w:rPr>
        <w:t>[22]</w:t>
      </w:r>
      <w:r w:rsidRPr="00182E19">
        <w:rPr>
          <w:rFonts w:ascii="Times New Roman" w:hAnsi="Times New Roman" w:cs="Times New Roman"/>
          <w:sz w:val="24"/>
          <w:szCs w:val="24"/>
        </w:rPr>
        <w:fldChar w:fldCharType="end"/>
      </w:r>
      <w:r w:rsidRPr="00182E19">
        <w:rPr>
          <w:rFonts w:ascii="Times New Roman" w:hAnsi="Times New Roman" w:cs="Times New Roman"/>
          <w:sz w:val="24"/>
          <w:szCs w:val="24"/>
        </w:rPr>
        <w:t xml:space="preserve"> after 2010. The ICD-10 and concomitant rare intractable disease codes for seropositive rheumatoid arthritis are M05 and V223</w:t>
      </w:r>
      <w:r w:rsidR="00511085">
        <w:rPr>
          <w:rFonts w:ascii="Times New Roman" w:hAnsi="Times New Roman" w:cs="Times New Roman"/>
          <w:sz w:val="24"/>
          <w:szCs w:val="24"/>
        </w:rPr>
        <w:t>, respectively</w:t>
      </w:r>
      <w:r w:rsidRPr="00182E19">
        <w:rPr>
          <w:rFonts w:ascii="Times New Roman" w:hAnsi="Times New Roman" w:cs="Times New Roman"/>
          <w:sz w:val="24"/>
          <w:szCs w:val="24"/>
        </w:rPr>
        <w:t xml:space="preserve">. This study excluded the ICD-10 code M06 of </w:t>
      </w:r>
      <w:proofErr w:type="spellStart"/>
      <w:r w:rsidRPr="00182E19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Pr="00182E19">
        <w:rPr>
          <w:rFonts w:ascii="Times New Roman" w:hAnsi="Times New Roman" w:cs="Times New Roman"/>
          <w:sz w:val="24"/>
          <w:szCs w:val="24"/>
        </w:rPr>
        <w:t xml:space="preserve">-negative rheumatoid arthritis to rule out misdiagnosed </w:t>
      </w:r>
      <w:proofErr w:type="spellStart"/>
      <w:r w:rsidRPr="00182E19">
        <w:rPr>
          <w:rFonts w:ascii="Times New Roman" w:hAnsi="Times New Roman" w:cs="Times New Roman"/>
          <w:sz w:val="24"/>
          <w:szCs w:val="24"/>
        </w:rPr>
        <w:t>sero</w:t>
      </w:r>
      <w:proofErr w:type="spellEnd"/>
      <w:r w:rsidRPr="00182E19">
        <w:rPr>
          <w:rFonts w:ascii="Times New Roman" w:hAnsi="Times New Roman" w:cs="Times New Roman"/>
          <w:sz w:val="24"/>
          <w:szCs w:val="24"/>
        </w:rPr>
        <w:t xml:space="preserve">-negative arthritis of BD patients who had arthritis symptoms prior to mucosal manifestations. Multiple sclerosis was diagnosed by neurologists or rheumatologists </w:t>
      </w:r>
      <w:r w:rsidR="00511085">
        <w:rPr>
          <w:rFonts w:ascii="Times New Roman" w:hAnsi="Times New Roman" w:cs="Times New Roman"/>
          <w:sz w:val="24"/>
          <w:szCs w:val="24"/>
        </w:rPr>
        <w:t>from the</w:t>
      </w:r>
      <w:r w:rsidRPr="00182E19">
        <w:rPr>
          <w:rFonts w:ascii="Times New Roman" w:hAnsi="Times New Roman" w:cs="Times New Roman"/>
          <w:sz w:val="24"/>
          <w:szCs w:val="24"/>
        </w:rPr>
        <w:t xml:space="preserve"> medical history</w:t>
      </w:r>
      <w:r w:rsidR="00511085">
        <w:rPr>
          <w:rFonts w:ascii="Times New Roman" w:hAnsi="Times New Roman" w:cs="Times New Roman"/>
          <w:sz w:val="24"/>
          <w:szCs w:val="24"/>
        </w:rPr>
        <w:t xml:space="preserve"> and</w:t>
      </w:r>
      <w:r w:rsidRPr="00182E19">
        <w:rPr>
          <w:rFonts w:ascii="Times New Roman" w:hAnsi="Times New Roman" w:cs="Times New Roman"/>
          <w:sz w:val="24"/>
          <w:szCs w:val="24"/>
        </w:rPr>
        <w:t xml:space="preserve"> neurologic examinations with </w:t>
      </w:r>
      <w:r w:rsidRPr="00182E19">
        <w:rPr>
          <w:rFonts w:ascii="Times New Roman" w:hAnsi="Times New Roman" w:cs="Times New Roman"/>
          <w:sz w:val="24"/>
          <w:szCs w:val="24"/>
        </w:rPr>
        <w:lastRenderedPageBreak/>
        <w:t xml:space="preserve">magnetic resonance imaging. The ICD-10 codes and concomitant rare intractable disease codes for multiple sclerosis are G35 and V022. </w:t>
      </w:r>
    </w:p>
    <w:p w14:paraId="5B902456" w14:textId="4594F19A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/>
          <w:sz w:val="24"/>
          <w:szCs w:val="24"/>
        </w:rPr>
      </w:pPr>
      <w:r w:rsidRPr="00182E19">
        <w:rPr>
          <w:rFonts w:ascii="Times New Roman" w:hAnsi="Times New Roman" w:cs="Times New Roman"/>
          <w:sz w:val="24"/>
          <w:szCs w:val="24"/>
        </w:rPr>
        <w:t>The presence of chronic diseases, including diabetes mellitus, hypertension, and dyslipidemia</w:t>
      </w:r>
      <w:r w:rsidRPr="00182E19">
        <w:rPr>
          <w:rFonts w:ascii="Times New Roman" w:hAnsi="Times New Roman" w:hint="eastAsia"/>
          <w:sz w:val="24"/>
          <w:szCs w:val="24"/>
        </w:rPr>
        <w:t xml:space="preserve">, </w:t>
      </w:r>
      <w:r w:rsidRPr="00182E19">
        <w:rPr>
          <w:rFonts w:ascii="Times New Roman" w:hAnsi="Times New Roman"/>
          <w:sz w:val="24"/>
          <w:szCs w:val="24"/>
        </w:rPr>
        <w:t>was also analyzed. Comorbidities were defined by a visit to an outpatient clinic or admission with a diagnosis of</w:t>
      </w:r>
      <w:r w:rsidRPr="00182E19">
        <w:rPr>
          <w:rFonts w:ascii="Times New Roman" w:hAnsi="Times New Roman" w:cs="Times New Roman"/>
          <w:sz w:val="24"/>
          <w:szCs w:val="24"/>
        </w:rPr>
        <w:t xml:space="preserve"> </w:t>
      </w:r>
      <w:r w:rsidR="00511085">
        <w:rPr>
          <w:rFonts w:ascii="Times New Roman" w:hAnsi="Times New Roman" w:cs="Times New Roman"/>
          <w:sz w:val="24"/>
          <w:szCs w:val="24"/>
        </w:rPr>
        <w:t xml:space="preserve">the </w:t>
      </w:r>
      <w:r w:rsidRPr="00182E19">
        <w:rPr>
          <w:rFonts w:ascii="Times New Roman" w:hAnsi="Times New Roman" w:hint="eastAsia"/>
          <w:sz w:val="24"/>
          <w:szCs w:val="24"/>
        </w:rPr>
        <w:t>ICD-10 code</w:t>
      </w:r>
      <w:r w:rsidRPr="00182E19">
        <w:rPr>
          <w:rFonts w:ascii="Times New Roman" w:hAnsi="Times New Roman"/>
          <w:sz w:val="24"/>
          <w:szCs w:val="24"/>
        </w:rPr>
        <w:t xml:space="preserve"> for</w:t>
      </w:r>
      <w:r w:rsidRPr="00182E19">
        <w:rPr>
          <w:rFonts w:ascii="Times New Roman" w:hAnsi="Times New Roman" w:hint="eastAsia"/>
          <w:sz w:val="24"/>
          <w:szCs w:val="24"/>
        </w:rPr>
        <w:t xml:space="preserve"> </w:t>
      </w:r>
      <w:r w:rsidRPr="00182E19">
        <w:rPr>
          <w:rFonts w:ascii="Times New Roman" w:hAnsi="Times New Roman" w:cs="Times New Roman" w:hint="eastAsia"/>
          <w:sz w:val="24"/>
          <w:szCs w:val="24"/>
          <w:lang w:val="en-GB"/>
        </w:rPr>
        <w:t>diabetes mellitus</w:t>
      </w:r>
      <w:r w:rsidRPr="00182E19">
        <w:rPr>
          <w:rFonts w:ascii="Times New Roman" w:hAnsi="Times New Roman" w:cs="Times New Roman"/>
          <w:sz w:val="24"/>
          <w:szCs w:val="24"/>
          <w:lang w:val="en-GB"/>
        </w:rPr>
        <w:t xml:space="preserve"> (E11-14</w:t>
      </w:r>
      <w:r w:rsidRPr="00182E19">
        <w:rPr>
          <w:rFonts w:ascii="Times New Roman" w:hAnsi="Times New Roman" w:cs="Times New Roman" w:hint="eastAsia"/>
          <w:sz w:val="24"/>
          <w:szCs w:val="24"/>
          <w:lang w:val="en-GB"/>
        </w:rPr>
        <w:t xml:space="preserve"> with </w:t>
      </w:r>
      <w:r w:rsidRPr="00182E19">
        <w:rPr>
          <w:rFonts w:ascii="Times New Roman" w:hAnsi="Times New Roman" w:cs="Times New Roman"/>
          <w:sz w:val="24"/>
          <w:szCs w:val="24"/>
          <w:lang w:val="en-GB"/>
        </w:rPr>
        <w:t xml:space="preserve">antidiabetic medications), </w:t>
      </w:r>
      <w:r w:rsidRPr="00182E19">
        <w:rPr>
          <w:rFonts w:ascii="Times New Roman" w:hAnsi="Times New Roman" w:cs="Times New Roman" w:hint="eastAsia"/>
          <w:sz w:val="24"/>
          <w:szCs w:val="24"/>
          <w:lang w:val="en-GB"/>
        </w:rPr>
        <w:t>hypertension</w:t>
      </w:r>
      <w:r w:rsidRPr="00182E19">
        <w:rPr>
          <w:rFonts w:ascii="Times New Roman" w:hAnsi="Times New Roman" w:cs="Times New Roman"/>
          <w:sz w:val="24"/>
          <w:szCs w:val="24"/>
          <w:lang w:val="en-GB"/>
        </w:rPr>
        <w:t xml:space="preserve"> (I10-13 and I15 with antihypertensive medications), </w:t>
      </w:r>
      <w:r w:rsidR="00511085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Pr="00182E19">
        <w:rPr>
          <w:rFonts w:ascii="Times New Roman" w:hAnsi="Times New Roman" w:cs="Times New Roman"/>
          <w:sz w:val="24"/>
          <w:szCs w:val="24"/>
          <w:lang w:val="en-GB"/>
        </w:rPr>
        <w:t xml:space="preserve"> d</w:t>
      </w:r>
      <w:proofErr w:type="spellStart"/>
      <w:r w:rsidRPr="00182E19">
        <w:rPr>
          <w:rFonts w:ascii="Times New Roman" w:hAnsi="Times New Roman" w:cs="Times New Roman"/>
          <w:sz w:val="24"/>
          <w:szCs w:val="24"/>
          <w:lang w:val="en-GB"/>
        </w:rPr>
        <w:t>yslipidemia</w:t>
      </w:r>
      <w:proofErr w:type="spellEnd"/>
      <w:r w:rsidRPr="00182E19">
        <w:rPr>
          <w:rFonts w:ascii="Times New Roman" w:hAnsi="Times New Roman" w:cs="Times New Roman"/>
          <w:sz w:val="24"/>
          <w:szCs w:val="24"/>
          <w:lang w:val="en-GB"/>
        </w:rPr>
        <w:t xml:space="preserve"> (E78 with antihyperlipidemic medications) a minimum of </w:t>
      </w:r>
      <w:r w:rsidRPr="00182E19">
        <w:rPr>
          <w:rFonts w:ascii="Times New Roman" w:hAnsi="Times New Roman" w:cs="Times New Roman"/>
          <w:sz w:val="24"/>
          <w:szCs w:val="24"/>
        </w:rPr>
        <w:t>5 years prior to the BD diagnosis.</w:t>
      </w:r>
    </w:p>
    <w:p w14:paraId="43CEED41" w14:textId="77777777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70B3AC" w14:textId="77777777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E19">
        <w:rPr>
          <w:rFonts w:ascii="Times New Roman" w:hAnsi="Times New Roman" w:cs="Times New Roman"/>
          <w:b/>
          <w:i/>
          <w:sz w:val="24"/>
          <w:szCs w:val="24"/>
        </w:rPr>
        <w:t xml:space="preserve">Statistical </w:t>
      </w:r>
      <w:r w:rsidRPr="00182E19">
        <w:rPr>
          <w:rFonts w:ascii="Times New Roman" w:hAnsi="Times New Roman" w:cs="Times New Roman" w:hint="eastAsia"/>
          <w:b/>
          <w:i/>
          <w:sz w:val="24"/>
          <w:szCs w:val="24"/>
        </w:rPr>
        <w:t>a</w:t>
      </w:r>
      <w:r w:rsidRPr="00182E19">
        <w:rPr>
          <w:rFonts w:ascii="Times New Roman" w:hAnsi="Times New Roman" w:cs="Times New Roman"/>
          <w:b/>
          <w:i/>
          <w:sz w:val="24"/>
          <w:szCs w:val="24"/>
        </w:rPr>
        <w:t>nalysis</w:t>
      </w:r>
    </w:p>
    <w:p w14:paraId="22A9BE41" w14:textId="617DE531" w:rsidR="006A25F1" w:rsidRPr="00182E19" w:rsidRDefault="006A25F1" w:rsidP="006A25F1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2E19">
        <w:rPr>
          <w:rFonts w:ascii="Times New Roman"/>
          <w:bCs/>
          <w:sz w:val="24"/>
        </w:rPr>
        <w:t xml:space="preserve">Although the comorbidities of </w:t>
      </w:r>
      <w:r w:rsidRPr="00182E19">
        <w:rPr>
          <w:rFonts w:ascii="Times New Roman" w:hint="eastAsia"/>
          <w:bCs/>
          <w:sz w:val="24"/>
        </w:rPr>
        <w:t>BD</w:t>
      </w:r>
      <w:r w:rsidRPr="00182E19">
        <w:rPr>
          <w:rFonts w:ascii="Times New Roman"/>
          <w:bCs/>
          <w:sz w:val="24"/>
        </w:rPr>
        <w:t xml:space="preserve"> have not been established, we expected that chronic diseases such as </w:t>
      </w:r>
      <w:r w:rsidRPr="00182E19">
        <w:rPr>
          <w:rFonts w:ascii="Times New Roman" w:hint="eastAsia"/>
          <w:bCs/>
          <w:sz w:val="24"/>
        </w:rPr>
        <w:t xml:space="preserve">diabetes mellitus, </w:t>
      </w:r>
      <w:r w:rsidRPr="00182E19">
        <w:rPr>
          <w:rFonts w:ascii="Times New Roman"/>
          <w:bCs/>
          <w:sz w:val="24"/>
        </w:rPr>
        <w:t xml:space="preserve">hypertension, and dyslipidemia should be considered possible confounders and </w:t>
      </w:r>
      <w:r w:rsidR="00511085">
        <w:rPr>
          <w:rFonts w:ascii="Times New Roman"/>
          <w:bCs/>
          <w:sz w:val="24"/>
        </w:rPr>
        <w:t xml:space="preserve">thus </w:t>
      </w:r>
      <w:r w:rsidRPr="00182E19">
        <w:rPr>
          <w:rFonts w:ascii="Times New Roman"/>
          <w:bCs/>
          <w:sz w:val="24"/>
        </w:rPr>
        <w:t>adjusted for in our statistical analys</w:t>
      </w:r>
      <w:r w:rsidRPr="00182E19">
        <w:rPr>
          <w:rFonts w:ascii="Times New Roman" w:hint="eastAsia"/>
          <w:bCs/>
          <w:sz w:val="24"/>
        </w:rPr>
        <w:t xml:space="preserve">es. </w:t>
      </w:r>
      <w:r w:rsidRPr="00182E19">
        <w:rPr>
          <w:rFonts w:ascii="Times New Roman"/>
          <w:bCs/>
          <w:sz w:val="24"/>
        </w:rPr>
        <w:t xml:space="preserve">The associations between BD and autoimmune disorders were analyzed using </w:t>
      </w:r>
      <w:r w:rsidRPr="00182E19">
        <w:rPr>
          <w:rFonts w:ascii="Times New Roman" w:hAnsi="Times New Roman" w:cs="Times New Roman"/>
          <w:bCs/>
          <w:sz w:val="24"/>
        </w:rPr>
        <w:t>multiple logistic</w:t>
      </w:r>
      <w:r w:rsidRPr="00182E19">
        <w:rPr>
          <w:rFonts w:ascii="Times New Roman"/>
          <w:bCs/>
          <w:sz w:val="24"/>
        </w:rPr>
        <w:t xml:space="preserve"> regression models,</w:t>
      </w:r>
      <w:r w:rsidRPr="00182E19">
        <w:rPr>
          <w:rFonts w:ascii="Times New Roman" w:hint="eastAsia"/>
          <w:bCs/>
          <w:sz w:val="24"/>
        </w:rPr>
        <w:t xml:space="preserve"> and </w:t>
      </w:r>
      <w:r w:rsidRPr="00182E19">
        <w:rPr>
          <w:rFonts w:ascii="Times New Roman"/>
          <w:bCs/>
          <w:sz w:val="24"/>
        </w:rPr>
        <w:t xml:space="preserve">odds ratios (OR) and 95% confidence interval (CI) were </w:t>
      </w:r>
      <w:r w:rsidRPr="00182E19">
        <w:rPr>
          <w:rFonts w:ascii="Times New Roman" w:hint="eastAsia"/>
          <w:bCs/>
          <w:sz w:val="24"/>
        </w:rPr>
        <w:t>presen</w:t>
      </w:r>
      <w:r w:rsidRPr="00182E19">
        <w:rPr>
          <w:rFonts w:ascii="Times New Roman"/>
          <w:bCs/>
          <w:sz w:val="24"/>
        </w:rPr>
        <w:t>ted</w:t>
      </w:r>
      <w:r w:rsidRPr="00182E19">
        <w:rPr>
          <w:rFonts w:ascii="Times New Roman" w:hint="eastAsia"/>
          <w:bCs/>
          <w:sz w:val="24"/>
        </w:rPr>
        <w:t xml:space="preserve"> </w:t>
      </w:r>
      <w:r w:rsidRPr="00182E19">
        <w:rPr>
          <w:rFonts w:ascii="Times New Roman"/>
          <w:bCs/>
          <w:sz w:val="24"/>
        </w:rPr>
        <w:t xml:space="preserve">with adjustment </w:t>
      </w:r>
      <w:r w:rsidRPr="00182E19">
        <w:rPr>
          <w:rFonts w:ascii="Times New Roman" w:hint="eastAsia"/>
          <w:bCs/>
          <w:sz w:val="24"/>
        </w:rPr>
        <w:t xml:space="preserve">models. </w:t>
      </w:r>
      <w:r w:rsidRPr="00182E19">
        <w:rPr>
          <w:rFonts w:ascii="Times New Roman" w:eastAsiaTheme="minorHAnsi" w:hAnsi="Times New Roman" w:cs="Times New Roman" w:hint="eastAsia"/>
          <w:bCs/>
          <w:sz w:val="24"/>
          <w:szCs w:val="24"/>
        </w:rPr>
        <w:t>T</w:t>
      </w:r>
      <w:r w:rsidRPr="00182E19">
        <w:rPr>
          <w:rFonts w:ascii="Times New Roman" w:eastAsiaTheme="minorHAnsi" w:hAnsi="Times New Roman" w:cs="Times New Roman"/>
          <w:bCs/>
          <w:sz w:val="24"/>
          <w:szCs w:val="24"/>
        </w:rPr>
        <w:t xml:space="preserve">o evaluate the robustness of the associations, we performed subgroup analyses separately for age, sex, and comorbidities of diabetes mellitus, hypertension, and dyslipidemia. </w:t>
      </w:r>
      <w:r w:rsidRPr="00182E19">
        <w:rPr>
          <w:rFonts w:ascii="Times New Roman"/>
          <w:bCs/>
          <w:sz w:val="24"/>
        </w:rPr>
        <w:t xml:space="preserve">All statistical analyses were performed using SAS software </w:t>
      </w:r>
      <w:r w:rsidR="00511085">
        <w:rPr>
          <w:rFonts w:ascii="Times New Roman"/>
          <w:bCs/>
          <w:sz w:val="24"/>
        </w:rPr>
        <w:t>v</w:t>
      </w:r>
      <w:r w:rsidRPr="00182E19">
        <w:rPr>
          <w:rFonts w:ascii="Times New Roman"/>
          <w:bCs/>
          <w:sz w:val="24"/>
        </w:rPr>
        <w:t xml:space="preserve">9.4 </w:t>
      </w:r>
      <w:r w:rsidR="00511085">
        <w:rPr>
          <w:rFonts w:ascii="Times New Roman"/>
          <w:bCs/>
          <w:sz w:val="24"/>
        </w:rPr>
        <w:t>(</w:t>
      </w:r>
      <w:r w:rsidRPr="00182E19">
        <w:rPr>
          <w:rFonts w:ascii="Times New Roman"/>
          <w:bCs/>
          <w:sz w:val="24"/>
        </w:rPr>
        <w:t>SAS Institute, Cary, NC, USA)</w:t>
      </w:r>
      <w:r w:rsidRPr="00182E19">
        <w:rPr>
          <w:rFonts w:ascii="Times New Roman" w:hint="eastAsia"/>
          <w:bCs/>
          <w:sz w:val="24"/>
        </w:rPr>
        <w:t>.</w:t>
      </w:r>
    </w:p>
    <w:p w14:paraId="35B9CD55" w14:textId="77777777" w:rsidR="007E4A38" w:rsidRDefault="007E4A38"/>
    <w:sectPr w:rsidR="007E4A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F1"/>
    <w:rsid w:val="00511085"/>
    <w:rsid w:val="006A25F1"/>
    <w:rsid w:val="007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5D87F"/>
  <w15:chartTrackingRefBased/>
  <w15:docId w15:val="{1F438043-C0F9-4696-A209-DCD4E77A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25F1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Theme="minorEastAsia"/>
      <w:kern w:val="2"/>
      <w:sz w:val="20"/>
      <w:lang w:val="en-US"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A25F1"/>
    <w:pPr>
      <w:spacing w:after="0" w:line="240" w:lineRule="auto"/>
    </w:pPr>
    <w:rPr>
      <w:rFonts w:ascii="Calibri" w:eastAsia="Malgun Gothic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5579</Characters>
  <Application>Microsoft Office Word</Application>
  <DocSecurity>0</DocSecurity>
  <Lines>46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Cathryn Odgers</cp:lastModifiedBy>
  <cp:revision>2</cp:revision>
  <dcterms:created xsi:type="dcterms:W3CDTF">2021-01-25T14:37:00Z</dcterms:created>
  <dcterms:modified xsi:type="dcterms:W3CDTF">2021-02-25T15:44:00Z</dcterms:modified>
</cp:coreProperties>
</file>