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8506A3" w14:textId="77777777" w:rsidR="00A725FC" w:rsidRPr="00F2736D" w:rsidRDefault="00A725FC" w:rsidP="00A725F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2736D">
        <w:rPr>
          <w:rFonts w:ascii="Times New Roman" w:hAnsi="Times New Roman" w:cs="Times New Roman"/>
          <w:b/>
          <w:sz w:val="24"/>
          <w:szCs w:val="24"/>
          <w:u w:val="single"/>
        </w:rPr>
        <w:t>SUPPLEMENTAL MATERIAL</w:t>
      </w:r>
    </w:p>
    <w:p w14:paraId="5F5C7FFE" w14:textId="77777777" w:rsidR="00A725FC" w:rsidRPr="00F2736D" w:rsidRDefault="00A725FC" w:rsidP="00A725F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736D">
        <w:rPr>
          <w:rFonts w:ascii="Times New Roman" w:hAnsi="Times New Roman" w:cs="Times New Roman"/>
          <w:b/>
          <w:sz w:val="24"/>
          <w:szCs w:val="24"/>
        </w:rPr>
        <w:t xml:space="preserve">Table S1: Risk of </w:t>
      </w:r>
      <w:r>
        <w:rPr>
          <w:rFonts w:ascii="Times New Roman" w:hAnsi="Times New Roman" w:cs="Times New Roman"/>
          <w:b/>
          <w:sz w:val="24"/>
          <w:szCs w:val="24"/>
        </w:rPr>
        <w:t xml:space="preserve">MVM </w:t>
      </w:r>
      <w:r w:rsidRPr="00F2736D">
        <w:rPr>
          <w:rFonts w:ascii="Times New Roman" w:hAnsi="Times New Roman" w:cs="Times New Roman"/>
          <w:b/>
          <w:sz w:val="24"/>
          <w:szCs w:val="24"/>
        </w:rPr>
        <w:t>placental pathology in the</w:t>
      </w:r>
      <w:r w:rsidRPr="00643CC4">
        <w:rPr>
          <w:rFonts w:ascii="Times New Roman" w:hAnsi="Times New Roman" w:cs="Times New Roman"/>
          <w:b/>
          <w:sz w:val="24"/>
          <w:szCs w:val="24"/>
        </w:rPr>
        <w:t xml:space="preserve"> smaller twin by </w:t>
      </w:r>
      <w:r w:rsidRPr="00643CC4">
        <w:rPr>
          <w:rFonts w:ascii="Times New Roman" w:hAnsi="Times New Roman" w:cs="Times New Roman"/>
          <w:b/>
          <w:bCs/>
          <w:sz w:val="24"/>
          <w:szCs w:val="24"/>
          <w:lang w:bidi="he-IL"/>
        </w:rPr>
        <w:t>dis</w:t>
      </w:r>
      <w:r w:rsidRPr="00F2736D">
        <w:rPr>
          <w:rFonts w:ascii="Times New Roman" w:hAnsi="Times New Roman" w:cs="Times New Roman"/>
          <w:b/>
          <w:bCs/>
          <w:sz w:val="24"/>
          <w:szCs w:val="24"/>
          <w:lang w:bidi="he-IL"/>
        </w:rPr>
        <w:t xml:space="preserve">cordance cut-off </w:t>
      </w:r>
      <w:r w:rsidRPr="00F2736D">
        <w:rPr>
          <w:rFonts w:ascii="Times New Roman" w:hAnsi="Times New Roman" w:cs="Times New Roman"/>
          <w:b/>
          <w:sz w:val="24"/>
          <w:szCs w:val="24"/>
        </w:rPr>
        <w:t>and SGA status of the smaller twin</w:t>
      </w:r>
    </w:p>
    <w:p w14:paraId="7AA718DF" w14:textId="77777777" w:rsidR="00A725FC" w:rsidRPr="00F2736D" w:rsidRDefault="00A725FC" w:rsidP="00A725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845" w:type="dxa"/>
        <w:tblLook w:val="04A0" w:firstRow="1" w:lastRow="0" w:firstColumn="1" w:lastColumn="0" w:noHBand="0" w:noVBand="1"/>
      </w:tblPr>
      <w:tblGrid>
        <w:gridCol w:w="1483"/>
        <w:gridCol w:w="2045"/>
        <w:gridCol w:w="696"/>
        <w:gridCol w:w="1589"/>
        <w:gridCol w:w="2016"/>
        <w:gridCol w:w="2016"/>
      </w:tblGrid>
      <w:tr w:rsidR="00A725FC" w:rsidRPr="00F2736D" w14:paraId="36A70734" w14:textId="77777777" w:rsidTr="0046326C">
        <w:trPr>
          <w:trHeight w:val="503"/>
        </w:trPr>
        <w:tc>
          <w:tcPr>
            <w:tcW w:w="1483" w:type="dxa"/>
          </w:tcPr>
          <w:p w14:paraId="77722EE6" w14:textId="77777777" w:rsidR="00A725FC" w:rsidRPr="00F2736D" w:rsidRDefault="00A725FC" w:rsidP="0046326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736D">
              <w:rPr>
                <w:rFonts w:ascii="Times New Roman" w:hAnsi="Times New Roman" w:cs="Times New Roman"/>
                <w:b/>
                <w:sz w:val="24"/>
                <w:szCs w:val="24"/>
              </w:rPr>
              <w:t>Discordance cut-off</w:t>
            </w:r>
          </w:p>
        </w:tc>
        <w:tc>
          <w:tcPr>
            <w:tcW w:w="2045" w:type="dxa"/>
          </w:tcPr>
          <w:p w14:paraId="727E328D" w14:textId="77777777" w:rsidR="00A725FC" w:rsidRDefault="00A725FC" w:rsidP="0046326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2736D">
              <w:rPr>
                <w:rFonts w:ascii="Times New Roman" w:hAnsi="Times New Roman" w:cs="Times New Roman"/>
                <w:b/>
                <w:sz w:val="24"/>
                <w:szCs w:val="24"/>
              </w:rPr>
              <w:t>SGA status of the smaller twin</w:t>
            </w:r>
          </w:p>
        </w:tc>
        <w:tc>
          <w:tcPr>
            <w:tcW w:w="696" w:type="dxa"/>
          </w:tcPr>
          <w:p w14:paraId="6E6634F2" w14:textId="77777777" w:rsidR="00A725FC" w:rsidRDefault="00A725FC" w:rsidP="0046326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</w:t>
            </w:r>
          </w:p>
        </w:tc>
        <w:tc>
          <w:tcPr>
            <w:tcW w:w="5621" w:type="dxa"/>
            <w:gridSpan w:val="3"/>
          </w:tcPr>
          <w:p w14:paraId="620A0D24" w14:textId="77777777" w:rsidR="00A725FC" w:rsidRPr="00F2736D" w:rsidRDefault="00A725FC" w:rsidP="004632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3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Risk of ≥2 MVM lesions</w:t>
            </w:r>
          </w:p>
        </w:tc>
      </w:tr>
      <w:tr w:rsidR="00A725FC" w:rsidRPr="00F2736D" w14:paraId="4521D512" w14:textId="77777777" w:rsidTr="0046326C">
        <w:trPr>
          <w:trHeight w:val="503"/>
        </w:trPr>
        <w:tc>
          <w:tcPr>
            <w:tcW w:w="1483" w:type="dxa"/>
          </w:tcPr>
          <w:p w14:paraId="40CC29A9" w14:textId="77777777" w:rsidR="00A725FC" w:rsidRPr="00F2736D" w:rsidRDefault="00A725FC" w:rsidP="004632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</w:tcPr>
          <w:p w14:paraId="73671514" w14:textId="77777777" w:rsidR="00A725FC" w:rsidRPr="00F2736D" w:rsidRDefault="00A725FC" w:rsidP="004632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14:paraId="54A0948E" w14:textId="77777777" w:rsidR="00A725FC" w:rsidRPr="00F2736D" w:rsidRDefault="00A725FC" w:rsidP="004632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</w:tcPr>
          <w:p w14:paraId="2F6FE1D4" w14:textId="77777777" w:rsidR="00A725FC" w:rsidRPr="00F2736D" w:rsidRDefault="00A725FC" w:rsidP="004632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36D">
              <w:rPr>
                <w:rFonts w:ascii="Times New Roman" w:hAnsi="Times New Roman" w:cs="Times New Roman"/>
                <w:sz w:val="24"/>
                <w:szCs w:val="24"/>
              </w:rPr>
              <w:t>Rate [N (%)]</w:t>
            </w:r>
          </w:p>
        </w:tc>
        <w:tc>
          <w:tcPr>
            <w:tcW w:w="2016" w:type="dxa"/>
          </w:tcPr>
          <w:p w14:paraId="72375E79" w14:textId="77777777" w:rsidR="00A725FC" w:rsidRPr="00F2736D" w:rsidRDefault="00A725FC" w:rsidP="00463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36D">
              <w:rPr>
                <w:rFonts w:ascii="Times New Roman" w:hAnsi="Times New Roman" w:cs="Times New Roman"/>
                <w:sz w:val="24"/>
                <w:szCs w:val="24"/>
              </w:rPr>
              <w:t xml:space="preserve">Crude RR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2736D">
              <w:rPr>
                <w:rFonts w:ascii="Times New Roman" w:hAnsi="Times New Roman" w:cs="Times New Roman"/>
                <w:sz w:val="24"/>
                <w:szCs w:val="24"/>
              </w:rPr>
              <w:t>(95%-CI)</w:t>
            </w:r>
          </w:p>
        </w:tc>
        <w:tc>
          <w:tcPr>
            <w:tcW w:w="2016" w:type="dxa"/>
          </w:tcPr>
          <w:p w14:paraId="51304DB4" w14:textId="77777777" w:rsidR="00A725FC" w:rsidRPr="00F2736D" w:rsidRDefault="00A725FC" w:rsidP="00463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36D">
              <w:rPr>
                <w:rFonts w:ascii="Times New Roman" w:hAnsi="Times New Roman" w:cs="Times New Roman"/>
                <w:sz w:val="24"/>
                <w:szCs w:val="24"/>
              </w:rPr>
              <w:t xml:space="preserve">Adjusted RR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2736D">
              <w:rPr>
                <w:rFonts w:ascii="Times New Roman" w:hAnsi="Times New Roman" w:cs="Times New Roman"/>
                <w:sz w:val="24"/>
                <w:szCs w:val="24"/>
              </w:rPr>
              <w:t xml:space="preserve">(95%-CI) </w:t>
            </w:r>
            <w:r w:rsidRPr="00F2736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</w:tr>
      <w:tr w:rsidR="00A725FC" w:rsidRPr="00F2736D" w14:paraId="240E7894" w14:textId="77777777" w:rsidTr="0046326C">
        <w:trPr>
          <w:trHeight w:val="323"/>
        </w:trPr>
        <w:tc>
          <w:tcPr>
            <w:tcW w:w="1483" w:type="dxa"/>
          </w:tcPr>
          <w:p w14:paraId="3DF7F5D8" w14:textId="77777777" w:rsidR="00A725FC" w:rsidRPr="00F2736D" w:rsidRDefault="00A725FC" w:rsidP="004632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3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&lt;10%</w:t>
            </w:r>
          </w:p>
        </w:tc>
        <w:tc>
          <w:tcPr>
            <w:tcW w:w="2045" w:type="dxa"/>
          </w:tcPr>
          <w:p w14:paraId="6C9F454B" w14:textId="77777777" w:rsidR="00A725FC" w:rsidRPr="00F2736D" w:rsidRDefault="00A725FC" w:rsidP="004632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36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Non-SGA</w:t>
            </w:r>
          </w:p>
        </w:tc>
        <w:tc>
          <w:tcPr>
            <w:tcW w:w="696" w:type="dxa"/>
          </w:tcPr>
          <w:p w14:paraId="353248AE" w14:textId="77777777" w:rsidR="00A725FC" w:rsidRPr="00F2736D" w:rsidRDefault="00A725FC" w:rsidP="004632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36D">
              <w:rPr>
                <w:rFonts w:ascii="Times New Roman" w:hAnsi="Times New Roman" w:cs="Times New Roman"/>
                <w:sz w:val="24"/>
                <w:szCs w:val="24"/>
              </w:rPr>
              <w:t>497</w:t>
            </w:r>
          </w:p>
        </w:tc>
        <w:tc>
          <w:tcPr>
            <w:tcW w:w="1589" w:type="dxa"/>
          </w:tcPr>
          <w:p w14:paraId="651B0D8E" w14:textId="77777777" w:rsidR="00A725FC" w:rsidRPr="00F2736D" w:rsidRDefault="00A725FC" w:rsidP="004632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36D">
              <w:rPr>
                <w:rFonts w:ascii="Times New Roman" w:hAnsi="Times New Roman" w:cs="Times New Roman"/>
                <w:sz w:val="24"/>
                <w:szCs w:val="24"/>
              </w:rPr>
              <w:t>8 (1.6)</w:t>
            </w:r>
          </w:p>
        </w:tc>
        <w:tc>
          <w:tcPr>
            <w:tcW w:w="2016" w:type="dxa"/>
          </w:tcPr>
          <w:p w14:paraId="59E3F253" w14:textId="77777777" w:rsidR="00A725FC" w:rsidRPr="00F2736D" w:rsidRDefault="00A725FC" w:rsidP="004632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Reference</w:t>
            </w:r>
          </w:p>
        </w:tc>
        <w:tc>
          <w:tcPr>
            <w:tcW w:w="2016" w:type="dxa"/>
          </w:tcPr>
          <w:p w14:paraId="18D45004" w14:textId="77777777" w:rsidR="00A725FC" w:rsidRPr="00F2736D" w:rsidRDefault="00A725FC" w:rsidP="004632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Reference</w:t>
            </w:r>
          </w:p>
        </w:tc>
      </w:tr>
      <w:tr w:rsidR="00A725FC" w:rsidRPr="00F2736D" w14:paraId="04637F8F" w14:textId="77777777" w:rsidTr="0046326C">
        <w:trPr>
          <w:trHeight w:val="50"/>
        </w:trPr>
        <w:tc>
          <w:tcPr>
            <w:tcW w:w="1483" w:type="dxa"/>
          </w:tcPr>
          <w:p w14:paraId="5A349869" w14:textId="77777777" w:rsidR="00A725FC" w:rsidRPr="00F2736D" w:rsidRDefault="00A725FC" w:rsidP="004632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</w:tcPr>
          <w:p w14:paraId="2EC7DB66" w14:textId="77777777" w:rsidR="00A725FC" w:rsidRPr="00F2736D" w:rsidRDefault="00A725FC" w:rsidP="004632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36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SGA</w:t>
            </w:r>
          </w:p>
        </w:tc>
        <w:tc>
          <w:tcPr>
            <w:tcW w:w="696" w:type="dxa"/>
          </w:tcPr>
          <w:p w14:paraId="44389712" w14:textId="77777777" w:rsidR="00A725FC" w:rsidRPr="00F2736D" w:rsidRDefault="00A725FC" w:rsidP="004632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36D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1589" w:type="dxa"/>
          </w:tcPr>
          <w:p w14:paraId="4A085E29" w14:textId="77777777" w:rsidR="00A725FC" w:rsidRPr="00F2736D" w:rsidRDefault="00A725FC" w:rsidP="004632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36D">
              <w:rPr>
                <w:rFonts w:ascii="Times New Roman" w:hAnsi="Times New Roman" w:cs="Times New Roman"/>
                <w:sz w:val="24"/>
                <w:szCs w:val="24"/>
              </w:rPr>
              <w:t>9 (7.9)</w:t>
            </w:r>
          </w:p>
        </w:tc>
        <w:tc>
          <w:tcPr>
            <w:tcW w:w="2016" w:type="dxa"/>
          </w:tcPr>
          <w:p w14:paraId="3E1135D1" w14:textId="77777777" w:rsidR="00A725FC" w:rsidRPr="00F2736D" w:rsidRDefault="00A725FC" w:rsidP="0046326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73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4.90 (1.93-12.43)</w:t>
            </w:r>
          </w:p>
        </w:tc>
        <w:tc>
          <w:tcPr>
            <w:tcW w:w="2016" w:type="dxa"/>
          </w:tcPr>
          <w:p w14:paraId="354A747C" w14:textId="77777777" w:rsidR="00A725FC" w:rsidRPr="00F2736D" w:rsidRDefault="00A725FC" w:rsidP="0046326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73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6.31 (2.06-19.36)</w:t>
            </w:r>
          </w:p>
        </w:tc>
      </w:tr>
      <w:tr w:rsidR="00A725FC" w:rsidRPr="00F2736D" w14:paraId="1DC3D83D" w14:textId="77777777" w:rsidTr="0046326C">
        <w:trPr>
          <w:trHeight w:val="269"/>
        </w:trPr>
        <w:tc>
          <w:tcPr>
            <w:tcW w:w="1483" w:type="dxa"/>
          </w:tcPr>
          <w:p w14:paraId="78214180" w14:textId="77777777" w:rsidR="00A725FC" w:rsidRPr="00F2736D" w:rsidRDefault="00A725FC" w:rsidP="0046326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73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≥10%</w:t>
            </w:r>
          </w:p>
        </w:tc>
        <w:tc>
          <w:tcPr>
            <w:tcW w:w="2045" w:type="dxa"/>
          </w:tcPr>
          <w:p w14:paraId="2EDAC051" w14:textId="77777777" w:rsidR="00A725FC" w:rsidRPr="00F2736D" w:rsidRDefault="00A725FC" w:rsidP="004632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36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Non-SGA</w:t>
            </w:r>
          </w:p>
        </w:tc>
        <w:tc>
          <w:tcPr>
            <w:tcW w:w="696" w:type="dxa"/>
          </w:tcPr>
          <w:p w14:paraId="19109DCC" w14:textId="77777777" w:rsidR="00A725FC" w:rsidRPr="00F2736D" w:rsidRDefault="00A725FC" w:rsidP="004632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36D"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1589" w:type="dxa"/>
          </w:tcPr>
          <w:p w14:paraId="2D8261B1" w14:textId="77777777" w:rsidR="00A725FC" w:rsidRPr="00F2736D" w:rsidRDefault="00A725FC" w:rsidP="004632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36D">
              <w:rPr>
                <w:rFonts w:ascii="Times New Roman" w:hAnsi="Times New Roman" w:cs="Times New Roman"/>
                <w:sz w:val="24"/>
                <w:szCs w:val="24"/>
              </w:rPr>
              <w:t>14 (4.9)</w:t>
            </w:r>
          </w:p>
        </w:tc>
        <w:tc>
          <w:tcPr>
            <w:tcW w:w="2016" w:type="dxa"/>
          </w:tcPr>
          <w:p w14:paraId="7DEAA12F" w14:textId="77777777" w:rsidR="00A725FC" w:rsidRPr="00F2736D" w:rsidRDefault="00A725FC" w:rsidP="0046326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73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3.02 (1.28-7.11)</w:t>
            </w:r>
          </w:p>
        </w:tc>
        <w:tc>
          <w:tcPr>
            <w:tcW w:w="2016" w:type="dxa"/>
          </w:tcPr>
          <w:p w14:paraId="2D3678C5" w14:textId="77777777" w:rsidR="00A725FC" w:rsidRPr="00F2736D" w:rsidRDefault="00A725FC" w:rsidP="0046326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73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2.73 (1.15-6.47)</w:t>
            </w:r>
          </w:p>
        </w:tc>
      </w:tr>
      <w:tr w:rsidR="00A725FC" w:rsidRPr="00F2736D" w14:paraId="2D84684C" w14:textId="77777777" w:rsidTr="0046326C">
        <w:trPr>
          <w:trHeight w:val="242"/>
        </w:trPr>
        <w:tc>
          <w:tcPr>
            <w:tcW w:w="1483" w:type="dxa"/>
          </w:tcPr>
          <w:p w14:paraId="7D4B5840" w14:textId="77777777" w:rsidR="00A725FC" w:rsidRPr="00F2736D" w:rsidRDefault="00A725FC" w:rsidP="004632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</w:tcPr>
          <w:p w14:paraId="4E858303" w14:textId="77777777" w:rsidR="00A725FC" w:rsidRPr="00F2736D" w:rsidRDefault="00A725FC" w:rsidP="004632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36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SGA</w:t>
            </w:r>
          </w:p>
        </w:tc>
        <w:tc>
          <w:tcPr>
            <w:tcW w:w="696" w:type="dxa"/>
          </w:tcPr>
          <w:p w14:paraId="72FFFC5A" w14:textId="77777777" w:rsidR="00A725FC" w:rsidRPr="00F2736D" w:rsidRDefault="00A725FC" w:rsidP="004632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36D">
              <w:rPr>
                <w:rFonts w:ascii="Times New Roman" w:hAnsi="Times New Roman" w:cs="Times New Roman"/>
                <w:sz w:val="24"/>
                <w:szCs w:val="24"/>
              </w:rPr>
              <w:t>299</w:t>
            </w:r>
          </w:p>
        </w:tc>
        <w:tc>
          <w:tcPr>
            <w:tcW w:w="1589" w:type="dxa"/>
          </w:tcPr>
          <w:p w14:paraId="618108F9" w14:textId="77777777" w:rsidR="00A725FC" w:rsidRPr="00F2736D" w:rsidRDefault="00A725FC" w:rsidP="004632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36D">
              <w:rPr>
                <w:rFonts w:ascii="Times New Roman" w:hAnsi="Times New Roman" w:cs="Times New Roman"/>
                <w:sz w:val="24"/>
                <w:szCs w:val="24"/>
              </w:rPr>
              <w:t>27 (9.0)</w:t>
            </w:r>
          </w:p>
        </w:tc>
        <w:tc>
          <w:tcPr>
            <w:tcW w:w="2016" w:type="dxa"/>
          </w:tcPr>
          <w:p w14:paraId="2E421119" w14:textId="77777777" w:rsidR="00A725FC" w:rsidRPr="00F2736D" w:rsidRDefault="00A725FC" w:rsidP="0046326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73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5.61 (2.58-12.19)</w:t>
            </w:r>
          </w:p>
        </w:tc>
        <w:tc>
          <w:tcPr>
            <w:tcW w:w="2016" w:type="dxa"/>
          </w:tcPr>
          <w:p w14:paraId="3796C15A" w14:textId="77777777" w:rsidR="00A725FC" w:rsidRPr="00F2736D" w:rsidRDefault="00A725FC" w:rsidP="0046326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73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6.56 (2.79-15.43)</w:t>
            </w:r>
          </w:p>
        </w:tc>
      </w:tr>
      <w:tr w:rsidR="00A725FC" w:rsidRPr="00F2736D" w14:paraId="1E0C0612" w14:textId="77777777" w:rsidTr="0046326C">
        <w:trPr>
          <w:trHeight w:val="260"/>
        </w:trPr>
        <w:tc>
          <w:tcPr>
            <w:tcW w:w="1483" w:type="dxa"/>
          </w:tcPr>
          <w:p w14:paraId="4BA1F3D7" w14:textId="77777777" w:rsidR="00A725FC" w:rsidRPr="00F2736D" w:rsidRDefault="00A725FC" w:rsidP="004632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3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≥15%</w:t>
            </w:r>
          </w:p>
        </w:tc>
        <w:tc>
          <w:tcPr>
            <w:tcW w:w="2045" w:type="dxa"/>
          </w:tcPr>
          <w:p w14:paraId="1F145CD8" w14:textId="77777777" w:rsidR="00A725FC" w:rsidRPr="00F2736D" w:rsidRDefault="00A725FC" w:rsidP="004632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36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Non-SGA</w:t>
            </w:r>
          </w:p>
        </w:tc>
        <w:tc>
          <w:tcPr>
            <w:tcW w:w="696" w:type="dxa"/>
          </w:tcPr>
          <w:p w14:paraId="6B3A86DC" w14:textId="77777777" w:rsidR="00A725FC" w:rsidRPr="00F2736D" w:rsidRDefault="00A725FC" w:rsidP="004632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36D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589" w:type="dxa"/>
          </w:tcPr>
          <w:p w14:paraId="3F548F32" w14:textId="77777777" w:rsidR="00A725FC" w:rsidRPr="00F2736D" w:rsidRDefault="00A725FC" w:rsidP="004632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36D">
              <w:rPr>
                <w:rFonts w:ascii="Times New Roman" w:hAnsi="Times New Roman" w:cs="Times New Roman"/>
                <w:sz w:val="24"/>
                <w:szCs w:val="24"/>
              </w:rPr>
              <w:t>5 (3.7)</w:t>
            </w:r>
          </w:p>
        </w:tc>
        <w:tc>
          <w:tcPr>
            <w:tcW w:w="2016" w:type="dxa"/>
          </w:tcPr>
          <w:p w14:paraId="2A0652F2" w14:textId="77777777" w:rsidR="00A725FC" w:rsidRPr="00F2736D" w:rsidRDefault="00A725FC" w:rsidP="004632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36D">
              <w:rPr>
                <w:rFonts w:ascii="Times New Roman" w:hAnsi="Times New Roman" w:cs="Times New Roman"/>
                <w:sz w:val="24"/>
                <w:szCs w:val="24"/>
              </w:rPr>
              <w:t>2.28 (0.76-6.87)</w:t>
            </w:r>
          </w:p>
        </w:tc>
        <w:tc>
          <w:tcPr>
            <w:tcW w:w="2016" w:type="dxa"/>
          </w:tcPr>
          <w:p w14:paraId="4FA8E953" w14:textId="77777777" w:rsidR="00A725FC" w:rsidRPr="00F2736D" w:rsidRDefault="00A725FC" w:rsidP="004632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36D">
              <w:rPr>
                <w:rFonts w:ascii="Times New Roman" w:hAnsi="Times New Roman" w:cs="Times New Roman"/>
                <w:sz w:val="24"/>
                <w:szCs w:val="24"/>
              </w:rPr>
              <w:t>1.89 (0.62-5.79)</w:t>
            </w:r>
          </w:p>
        </w:tc>
      </w:tr>
      <w:tr w:rsidR="00A725FC" w:rsidRPr="00F2736D" w14:paraId="7B8736A1" w14:textId="77777777" w:rsidTr="0046326C">
        <w:trPr>
          <w:trHeight w:val="260"/>
        </w:trPr>
        <w:tc>
          <w:tcPr>
            <w:tcW w:w="1483" w:type="dxa"/>
          </w:tcPr>
          <w:p w14:paraId="4E51B01D" w14:textId="77777777" w:rsidR="00A725FC" w:rsidRPr="00F2736D" w:rsidRDefault="00A725FC" w:rsidP="004632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</w:tcPr>
          <w:p w14:paraId="2EDE1EA1" w14:textId="77777777" w:rsidR="00A725FC" w:rsidRPr="00F2736D" w:rsidRDefault="00A725FC" w:rsidP="004632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36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SGA</w:t>
            </w:r>
          </w:p>
        </w:tc>
        <w:tc>
          <w:tcPr>
            <w:tcW w:w="696" w:type="dxa"/>
          </w:tcPr>
          <w:p w14:paraId="1A49D504" w14:textId="77777777" w:rsidR="00A725FC" w:rsidRPr="00F2736D" w:rsidRDefault="00A725FC" w:rsidP="004632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36D">
              <w:rPr>
                <w:rFonts w:ascii="Times New Roman" w:hAnsi="Times New Roman" w:cs="Times New Roman"/>
                <w:sz w:val="24"/>
                <w:szCs w:val="24"/>
              </w:rPr>
              <w:t>232</w:t>
            </w:r>
          </w:p>
        </w:tc>
        <w:tc>
          <w:tcPr>
            <w:tcW w:w="1589" w:type="dxa"/>
          </w:tcPr>
          <w:p w14:paraId="1D7DBBB8" w14:textId="77777777" w:rsidR="00A725FC" w:rsidRPr="00F2736D" w:rsidRDefault="00A725FC" w:rsidP="004632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36D">
              <w:rPr>
                <w:rFonts w:ascii="Times New Roman" w:hAnsi="Times New Roman" w:cs="Times New Roman"/>
                <w:sz w:val="24"/>
                <w:szCs w:val="24"/>
              </w:rPr>
              <w:t>22 (9.5)</w:t>
            </w:r>
          </w:p>
        </w:tc>
        <w:tc>
          <w:tcPr>
            <w:tcW w:w="2016" w:type="dxa"/>
          </w:tcPr>
          <w:p w14:paraId="7B973D55" w14:textId="77777777" w:rsidR="00A725FC" w:rsidRPr="00F2736D" w:rsidRDefault="00A725FC" w:rsidP="0046326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73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5.89 (2.67-13.03)</w:t>
            </w:r>
          </w:p>
        </w:tc>
        <w:tc>
          <w:tcPr>
            <w:tcW w:w="2016" w:type="dxa"/>
          </w:tcPr>
          <w:p w14:paraId="7418EE9F" w14:textId="77777777" w:rsidR="00A725FC" w:rsidRPr="00F2736D" w:rsidRDefault="00A725FC" w:rsidP="0046326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73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6.53 (2.75-15.49)</w:t>
            </w:r>
          </w:p>
        </w:tc>
      </w:tr>
      <w:tr w:rsidR="00A725FC" w:rsidRPr="00F2736D" w14:paraId="640B3491" w14:textId="77777777" w:rsidTr="0046326C">
        <w:trPr>
          <w:trHeight w:val="170"/>
        </w:trPr>
        <w:tc>
          <w:tcPr>
            <w:tcW w:w="1483" w:type="dxa"/>
          </w:tcPr>
          <w:p w14:paraId="0D47BBD9" w14:textId="77777777" w:rsidR="00A725FC" w:rsidRPr="00F2736D" w:rsidRDefault="00A725FC" w:rsidP="0046326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73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≥20%</w:t>
            </w:r>
          </w:p>
        </w:tc>
        <w:tc>
          <w:tcPr>
            <w:tcW w:w="2045" w:type="dxa"/>
          </w:tcPr>
          <w:p w14:paraId="13FE22F7" w14:textId="77777777" w:rsidR="00A725FC" w:rsidRPr="00F2736D" w:rsidRDefault="00A725FC" w:rsidP="004632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36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Non-SGA</w:t>
            </w:r>
          </w:p>
        </w:tc>
        <w:tc>
          <w:tcPr>
            <w:tcW w:w="696" w:type="dxa"/>
          </w:tcPr>
          <w:p w14:paraId="17901AE0" w14:textId="77777777" w:rsidR="00A725FC" w:rsidRPr="00F2736D" w:rsidRDefault="00A725FC" w:rsidP="004632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36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89" w:type="dxa"/>
          </w:tcPr>
          <w:p w14:paraId="0E63BF3F" w14:textId="77777777" w:rsidR="00A725FC" w:rsidRPr="00F2736D" w:rsidRDefault="00A725FC" w:rsidP="004632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36D">
              <w:rPr>
                <w:rFonts w:ascii="Times New Roman" w:hAnsi="Times New Roman" w:cs="Times New Roman"/>
                <w:sz w:val="24"/>
                <w:szCs w:val="24"/>
              </w:rPr>
              <w:t>3 (5.0)</w:t>
            </w:r>
          </w:p>
        </w:tc>
        <w:tc>
          <w:tcPr>
            <w:tcW w:w="2016" w:type="dxa"/>
          </w:tcPr>
          <w:p w14:paraId="23AC8C62" w14:textId="77777777" w:rsidR="00A725FC" w:rsidRPr="00F2736D" w:rsidRDefault="00A725FC" w:rsidP="004632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36D">
              <w:rPr>
                <w:rFonts w:ascii="Times New Roman" w:hAnsi="Times New Roman" w:cs="Times New Roman"/>
                <w:sz w:val="24"/>
                <w:szCs w:val="24"/>
              </w:rPr>
              <w:t>1.90 (0.33-11.01)</w:t>
            </w:r>
          </w:p>
        </w:tc>
        <w:tc>
          <w:tcPr>
            <w:tcW w:w="2016" w:type="dxa"/>
          </w:tcPr>
          <w:p w14:paraId="2D9263CB" w14:textId="77777777" w:rsidR="00A725FC" w:rsidRPr="00F2736D" w:rsidRDefault="00A725FC" w:rsidP="004632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36D">
              <w:rPr>
                <w:rFonts w:ascii="Times New Roman" w:hAnsi="Times New Roman" w:cs="Times New Roman"/>
                <w:sz w:val="24"/>
                <w:szCs w:val="24"/>
              </w:rPr>
              <w:t>0.97 (0.17-5.52)</w:t>
            </w:r>
          </w:p>
        </w:tc>
      </w:tr>
      <w:tr w:rsidR="00A725FC" w:rsidRPr="00F2736D" w14:paraId="780408CE" w14:textId="77777777" w:rsidTr="0046326C">
        <w:trPr>
          <w:trHeight w:val="188"/>
        </w:trPr>
        <w:tc>
          <w:tcPr>
            <w:tcW w:w="1483" w:type="dxa"/>
          </w:tcPr>
          <w:p w14:paraId="1CEC8601" w14:textId="77777777" w:rsidR="00A725FC" w:rsidRPr="00F2736D" w:rsidRDefault="00A725FC" w:rsidP="004632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</w:tcPr>
          <w:p w14:paraId="38DD9A59" w14:textId="77777777" w:rsidR="00A725FC" w:rsidRPr="00F2736D" w:rsidRDefault="00A725FC" w:rsidP="004632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36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SGA</w:t>
            </w:r>
          </w:p>
        </w:tc>
        <w:tc>
          <w:tcPr>
            <w:tcW w:w="696" w:type="dxa"/>
          </w:tcPr>
          <w:p w14:paraId="287714D6" w14:textId="77777777" w:rsidR="00A725FC" w:rsidRPr="00F2736D" w:rsidRDefault="00A725FC" w:rsidP="004632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36D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589" w:type="dxa"/>
          </w:tcPr>
          <w:p w14:paraId="7B671AAC" w14:textId="77777777" w:rsidR="00A725FC" w:rsidRPr="00F2736D" w:rsidRDefault="00A725FC" w:rsidP="004632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36D">
              <w:rPr>
                <w:rFonts w:ascii="Times New Roman" w:hAnsi="Times New Roman" w:cs="Times New Roman"/>
                <w:sz w:val="24"/>
                <w:szCs w:val="24"/>
              </w:rPr>
              <w:t>17 (10.6)</w:t>
            </w:r>
          </w:p>
        </w:tc>
        <w:tc>
          <w:tcPr>
            <w:tcW w:w="2016" w:type="dxa"/>
          </w:tcPr>
          <w:p w14:paraId="3D773CE2" w14:textId="77777777" w:rsidR="00A725FC" w:rsidRPr="00F2736D" w:rsidRDefault="00A725FC" w:rsidP="0046326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73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6.60 (2.90-15.00)</w:t>
            </w:r>
          </w:p>
        </w:tc>
        <w:tc>
          <w:tcPr>
            <w:tcW w:w="2016" w:type="dxa"/>
          </w:tcPr>
          <w:p w14:paraId="22678272" w14:textId="77777777" w:rsidR="00A725FC" w:rsidRPr="00F2736D" w:rsidRDefault="00A725FC" w:rsidP="0046326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73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6.83 (2.83-16.50)</w:t>
            </w:r>
          </w:p>
        </w:tc>
      </w:tr>
      <w:tr w:rsidR="00A725FC" w:rsidRPr="00F2736D" w14:paraId="576565F1" w14:textId="77777777" w:rsidTr="0046326C">
        <w:trPr>
          <w:trHeight w:val="269"/>
        </w:trPr>
        <w:tc>
          <w:tcPr>
            <w:tcW w:w="1483" w:type="dxa"/>
          </w:tcPr>
          <w:p w14:paraId="4DD2CC48" w14:textId="77777777" w:rsidR="00A725FC" w:rsidRPr="00F2736D" w:rsidRDefault="00A725FC" w:rsidP="0046326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73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≥25%</w:t>
            </w:r>
          </w:p>
        </w:tc>
        <w:tc>
          <w:tcPr>
            <w:tcW w:w="2045" w:type="dxa"/>
          </w:tcPr>
          <w:p w14:paraId="2AF3D354" w14:textId="77777777" w:rsidR="00A725FC" w:rsidRPr="00F2736D" w:rsidRDefault="00A725FC" w:rsidP="004632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36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Non-SGA</w:t>
            </w:r>
          </w:p>
        </w:tc>
        <w:tc>
          <w:tcPr>
            <w:tcW w:w="696" w:type="dxa"/>
          </w:tcPr>
          <w:p w14:paraId="66FF09F1" w14:textId="77777777" w:rsidR="00A725FC" w:rsidRPr="00F2736D" w:rsidRDefault="00A725FC" w:rsidP="004632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36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89" w:type="dxa"/>
          </w:tcPr>
          <w:p w14:paraId="612D46E1" w14:textId="77777777" w:rsidR="00A725FC" w:rsidRPr="00F2736D" w:rsidRDefault="00A725FC" w:rsidP="004632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36D">
              <w:rPr>
                <w:rFonts w:ascii="Times New Roman" w:hAnsi="Times New Roman" w:cs="Times New Roman"/>
                <w:sz w:val="24"/>
                <w:szCs w:val="24"/>
              </w:rPr>
              <w:t>3 (15.0)</w:t>
            </w:r>
          </w:p>
        </w:tc>
        <w:tc>
          <w:tcPr>
            <w:tcW w:w="2016" w:type="dxa"/>
          </w:tcPr>
          <w:p w14:paraId="210507E6" w14:textId="77777777" w:rsidR="00A725FC" w:rsidRPr="00F2736D" w:rsidRDefault="00A725FC" w:rsidP="0046326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73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9.32 (2.67-32.50)</w:t>
            </w:r>
          </w:p>
        </w:tc>
        <w:tc>
          <w:tcPr>
            <w:tcW w:w="2016" w:type="dxa"/>
          </w:tcPr>
          <w:p w14:paraId="590CB415" w14:textId="77777777" w:rsidR="00A725FC" w:rsidRPr="00F2736D" w:rsidRDefault="00A725FC" w:rsidP="0046326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73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7.01 (2.04-24.10)</w:t>
            </w:r>
          </w:p>
        </w:tc>
      </w:tr>
      <w:tr w:rsidR="00A725FC" w:rsidRPr="00F2736D" w14:paraId="6FF8A8B6" w14:textId="77777777" w:rsidTr="0046326C">
        <w:trPr>
          <w:trHeight w:val="260"/>
        </w:trPr>
        <w:tc>
          <w:tcPr>
            <w:tcW w:w="1483" w:type="dxa"/>
          </w:tcPr>
          <w:p w14:paraId="68049FFF" w14:textId="77777777" w:rsidR="00A725FC" w:rsidRPr="00F2736D" w:rsidRDefault="00A725FC" w:rsidP="004632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</w:tcPr>
          <w:p w14:paraId="147AE47D" w14:textId="77777777" w:rsidR="00A725FC" w:rsidRPr="00F2736D" w:rsidRDefault="00A725FC" w:rsidP="004632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36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SGA</w:t>
            </w:r>
          </w:p>
        </w:tc>
        <w:tc>
          <w:tcPr>
            <w:tcW w:w="696" w:type="dxa"/>
          </w:tcPr>
          <w:p w14:paraId="499C43A3" w14:textId="77777777" w:rsidR="00A725FC" w:rsidRPr="00F2736D" w:rsidRDefault="00A725FC" w:rsidP="004632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36D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589" w:type="dxa"/>
          </w:tcPr>
          <w:p w14:paraId="0ADB8ED9" w14:textId="77777777" w:rsidR="00A725FC" w:rsidRPr="00F2736D" w:rsidRDefault="00A725FC" w:rsidP="004632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36D">
              <w:rPr>
                <w:rFonts w:ascii="Times New Roman" w:hAnsi="Times New Roman" w:cs="Times New Roman"/>
                <w:sz w:val="24"/>
                <w:szCs w:val="24"/>
              </w:rPr>
              <w:t>12 (11.4)</w:t>
            </w:r>
          </w:p>
        </w:tc>
        <w:tc>
          <w:tcPr>
            <w:tcW w:w="2016" w:type="dxa"/>
          </w:tcPr>
          <w:p w14:paraId="2403CB03" w14:textId="77777777" w:rsidR="00A725FC" w:rsidRPr="00F2736D" w:rsidRDefault="00A725FC" w:rsidP="0046326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73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7.10 (2.98-16.94)</w:t>
            </w:r>
          </w:p>
        </w:tc>
        <w:tc>
          <w:tcPr>
            <w:tcW w:w="2016" w:type="dxa"/>
          </w:tcPr>
          <w:p w14:paraId="40900410" w14:textId="77777777" w:rsidR="00A725FC" w:rsidRPr="00F2736D" w:rsidRDefault="00A725FC" w:rsidP="0046326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73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6.25 (2.48-15.71)</w:t>
            </w:r>
          </w:p>
        </w:tc>
      </w:tr>
      <w:tr w:rsidR="00A725FC" w:rsidRPr="00F2736D" w14:paraId="0C56D456" w14:textId="77777777" w:rsidTr="0046326C">
        <w:trPr>
          <w:trHeight w:val="260"/>
        </w:trPr>
        <w:tc>
          <w:tcPr>
            <w:tcW w:w="1483" w:type="dxa"/>
          </w:tcPr>
          <w:p w14:paraId="316D3239" w14:textId="77777777" w:rsidR="00A725FC" w:rsidRPr="00F2736D" w:rsidRDefault="00A725FC" w:rsidP="004632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3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≥30%</w:t>
            </w:r>
          </w:p>
        </w:tc>
        <w:tc>
          <w:tcPr>
            <w:tcW w:w="2045" w:type="dxa"/>
          </w:tcPr>
          <w:p w14:paraId="452C81F5" w14:textId="77777777" w:rsidR="00A725FC" w:rsidRPr="00F2736D" w:rsidRDefault="00A725FC" w:rsidP="004632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36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Non-SGA</w:t>
            </w:r>
          </w:p>
        </w:tc>
        <w:tc>
          <w:tcPr>
            <w:tcW w:w="696" w:type="dxa"/>
          </w:tcPr>
          <w:p w14:paraId="57827842" w14:textId="77777777" w:rsidR="00A725FC" w:rsidRPr="00F2736D" w:rsidRDefault="00A725FC" w:rsidP="004632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3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89" w:type="dxa"/>
          </w:tcPr>
          <w:p w14:paraId="434C572A" w14:textId="77777777" w:rsidR="00A725FC" w:rsidRPr="00F2736D" w:rsidRDefault="00A725FC" w:rsidP="004632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36D">
              <w:rPr>
                <w:rFonts w:ascii="Times New Roman" w:hAnsi="Times New Roman" w:cs="Times New Roman"/>
                <w:sz w:val="24"/>
                <w:szCs w:val="24"/>
              </w:rPr>
              <w:t>2 (66.7)</w:t>
            </w:r>
          </w:p>
        </w:tc>
        <w:tc>
          <w:tcPr>
            <w:tcW w:w="2016" w:type="dxa"/>
          </w:tcPr>
          <w:p w14:paraId="62B8C245" w14:textId="77777777" w:rsidR="00A725FC" w:rsidRPr="00F2736D" w:rsidRDefault="00A725FC" w:rsidP="0046326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73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016" w:type="dxa"/>
          </w:tcPr>
          <w:p w14:paraId="6501AD00" w14:textId="77777777" w:rsidR="00A725FC" w:rsidRPr="00F2736D" w:rsidRDefault="00A725FC" w:rsidP="0046326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73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A725FC" w:rsidRPr="00F2736D" w14:paraId="091C22AC" w14:textId="77777777" w:rsidTr="0046326C">
        <w:trPr>
          <w:trHeight w:val="179"/>
        </w:trPr>
        <w:tc>
          <w:tcPr>
            <w:tcW w:w="1483" w:type="dxa"/>
          </w:tcPr>
          <w:p w14:paraId="7A1C99F7" w14:textId="77777777" w:rsidR="00A725FC" w:rsidRPr="00F2736D" w:rsidRDefault="00A725FC" w:rsidP="004632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</w:tcPr>
          <w:p w14:paraId="364B97CF" w14:textId="77777777" w:rsidR="00A725FC" w:rsidRPr="00F2736D" w:rsidRDefault="00A725FC" w:rsidP="004632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36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SGA</w:t>
            </w:r>
          </w:p>
        </w:tc>
        <w:tc>
          <w:tcPr>
            <w:tcW w:w="696" w:type="dxa"/>
          </w:tcPr>
          <w:p w14:paraId="0D0BBC70" w14:textId="77777777" w:rsidR="00A725FC" w:rsidRPr="00F2736D" w:rsidRDefault="00A725FC" w:rsidP="004632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36D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589" w:type="dxa"/>
          </w:tcPr>
          <w:p w14:paraId="1648DF2B" w14:textId="77777777" w:rsidR="00A725FC" w:rsidRPr="00F2736D" w:rsidRDefault="00A725FC" w:rsidP="004632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36D">
              <w:rPr>
                <w:rFonts w:ascii="Times New Roman" w:hAnsi="Times New Roman" w:cs="Times New Roman"/>
                <w:sz w:val="24"/>
                <w:szCs w:val="24"/>
              </w:rPr>
              <w:t>9 (13.4)</w:t>
            </w:r>
          </w:p>
        </w:tc>
        <w:tc>
          <w:tcPr>
            <w:tcW w:w="2016" w:type="dxa"/>
          </w:tcPr>
          <w:p w14:paraId="04A63D3B" w14:textId="77777777" w:rsidR="00A725FC" w:rsidRPr="00F2736D" w:rsidRDefault="00A725FC" w:rsidP="0046326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73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8.34 (3.33-20.89)</w:t>
            </w:r>
          </w:p>
        </w:tc>
        <w:tc>
          <w:tcPr>
            <w:tcW w:w="2016" w:type="dxa"/>
          </w:tcPr>
          <w:p w14:paraId="7887B448" w14:textId="77777777" w:rsidR="00A725FC" w:rsidRPr="00F2736D" w:rsidRDefault="00A725FC" w:rsidP="0046326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73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7.43 (2.83-19.54)</w:t>
            </w:r>
          </w:p>
        </w:tc>
      </w:tr>
    </w:tbl>
    <w:p w14:paraId="176AE559" w14:textId="77777777" w:rsidR="00A725FC" w:rsidRPr="00F2736D" w:rsidRDefault="00A725FC" w:rsidP="00A725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ED3808" w14:textId="77777777" w:rsidR="00A725FC" w:rsidRPr="00643CC4" w:rsidRDefault="00A725FC" w:rsidP="00A725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he-IL"/>
        </w:rPr>
      </w:pPr>
      <w:r w:rsidRPr="00643CC4">
        <w:rPr>
          <w:rFonts w:ascii="Times New Roman" w:hAnsi="Times New Roman" w:cs="Times New Roman"/>
          <w:sz w:val="24"/>
          <w:szCs w:val="24"/>
          <w:lang w:bidi="he-IL"/>
        </w:rPr>
        <w:t xml:space="preserve">CI, confidence interval; MVM, maternal vascular malperfusion; SGA, small for gestational age </w:t>
      </w:r>
      <w:r w:rsidRPr="00643CC4">
        <w:rPr>
          <w:rFonts w:ascii="Times New Roman" w:hAnsi="Times New Roman" w:cs="Times New Roman"/>
          <w:sz w:val="24"/>
          <w:szCs w:val="24"/>
        </w:rPr>
        <w:t>(birth weight below 10</w:t>
      </w:r>
      <w:r w:rsidRPr="00643CC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643CC4">
        <w:rPr>
          <w:rFonts w:ascii="Times New Roman" w:hAnsi="Times New Roman" w:cs="Times New Roman"/>
          <w:sz w:val="24"/>
          <w:szCs w:val="24"/>
        </w:rPr>
        <w:t xml:space="preserve"> percentile); </w:t>
      </w:r>
      <w:r w:rsidRPr="00643CC4">
        <w:rPr>
          <w:rFonts w:ascii="Times New Roman" w:hAnsi="Times New Roman" w:cs="Times New Roman"/>
          <w:sz w:val="24"/>
          <w:szCs w:val="24"/>
          <w:lang w:bidi="he-IL"/>
        </w:rPr>
        <w:t>RR, relative risk</w:t>
      </w:r>
    </w:p>
    <w:p w14:paraId="798B8DA7" w14:textId="77777777" w:rsidR="00A725FC" w:rsidRPr="00643CC4" w:rsidRDefault="00A725FC" w:rsidP="00A725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he-IL"/>
        </w:rPr>
      </w:pPr>
      <w:r w:rsidRPr="00643CC4">
        <w:rPr>
          <w:rFonts w:ascii="Times New Roman" w:hAnsi="Times New Roman" w:cs="Times New Roman"/>
          <w:sz w:val="24"/>
          <w:szCs w:val="24"/>
          <w:lang w:bidi="he-IL"/>
        </w:rPr>
        <w:t>Significant associations are emphasized in bold font.</w:t>
      </w:r>
    </w:p>
    <w:p w14:paraId="79C63E85" w14:textId="77777777" w:rsidR="00A725FC" w:rsidRPr="00F2736D" w:rsidRDefault="00A725FC" w:rsidP="00A725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he-IL"/>
        </w:rPr>
      </w:pPr>
      <w:r w:rsidRPr="00F2736D">
        <w:rPr>
          <w:rFonts w:ascii="Times New Roman" w:hAnsi="Times New Roman" w:cs="Times New Roman"/>
          <w:sz w:val="24"/>
          <w:szCs w:val="24"/>
          <w:vertAlign w:val="superscript"/>
        </w:rPr>
        <w:t xml:space="preserve">a </w:t>
      </w:r>
      <w:r w:rsidRPr="00F2736D">
        <w:rPr>
          <w:rFonts w:ascii="Times New Roman" w:hAnsi="Times New Roman" w:cs="Times New Roman"/>
          <w:sz w:val="24"/>
          <w:szCs w:val="24"/>
        </w:rPr>
        <w:t xml:space="preserve">Values reflect the results of multivariable log binomial regression analysis to determine the association between discordance (using the corresponding cut-off) and </w:t>
      </w:r>
      <w:r>
        <w:rPr>
          <w:rFonts w:ascii="Times New Roman" w:hAnsi="Times New Roman" w:cs="Times New Roman"/>
          <w:sz w:val="24"/>
          <w:szCs w:val="24"/>
        </w:rPr>
        <w:t>MVM</w:t>
      </w:r>
      <w:r w:rsidRPr="00F2736D">
        <w:rPr>
          <w:rFonts w:ascii="Times New Roman" w:hAnsi="Times New Roman" w:cs="Times New Roman"/>
          <w:sz w:val="24"/>
          <w:szCs w:val="24"/>
        </w:rPr>
        <w:t xml:space="preserve"> placental pathology. Models are adjusted for maternal age, hypertensive disorders of pregnancy (preeclampsia or gestational hypertension), gestational age at delivery, and neonatal sex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2736D">
        <w:rPr>
          <w:rFonts w:ascii="Times New Roman" w:hAnsi="Times New Roman" w:cs="Times New Roman"/>
          <w:sz w:val="24"/>
          <w:szCs w:val="24"/>
        </w:rPr>
        <w:t>and are presented as adjusted RR (95%-CI).</w:t>
      </w:r>
    </w:p>
    <w:p w14:paraId="45596216" w14:textId="77777777" w:rsidR="00A725FC" w:rsidRDefault="00A725FC" w:rsidP="00A725FC">
      <w:pPr>
        <w:spacing w:after="200" w:line="480" w:lineRule="auto"/>
        <w:jc w:val="both"/>
        <w:rPr>
          <w:rStyle w:val="fontstyle01"/>
          <w:rFonts w:ascii="Times New Roman" w:hAnsi="Times New Roman" w:cs="Times New Roman"/>
          <w:color w:val="auto"/>
          <w:sz w:val="24"/>
          <w:szCs w:val="24"/>
          <w:lang w:bidi="he-IL"/>
        </w:rPr>
      </w:pPr>
    </w:p>
    <w:p w14:paraId="1114C3E1" w14:textId="77777777" w:rsidR="00A725FC" w:rsidRPr="000B3E3B" w:rsidRDefault="00A725FC" w:rsidP="00A725FC">
      <w:pPr>
        <w:spacing w:after="200" w:line="480" w:lineRule="auto"/>
        <w:jc w:val="both"/>
        <w:rPr>
          <w:rStyle w:val="fontstyle01"/>
          <w:rFonts w:ascii="Times New Roman" w:hAnsi="Times New Roman" w:cs="Times New Roman"/>
          <w:color w:val="auto"/>
          <w:sz w:val="24"/>
          <w:szCs w:val="24"/>
          <w:lang w:bidi="he-IL"/>
        </w:rPr>
      </w:pPr>
    </w:p>
    <w:p w14:paraId="0F976802" w14:textId="77777777" w:rsidR="00A725FC" w:rsidRDefault="00A725FC"/>
    <w:sectPr w:rsidR="00A725FC" w:rsidSect="00CA6F4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5FC"/>
    <w:rsid w:val="00A72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B86196"/>
  <w15:chartTrackingRefBased/>
  <w15:docId w15:val="{32B99FCF-882D-46DC-ABDB-F58949E2A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25FC"/>
    <w:rPr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qFormat/>
    <w:rsid w:val="00A725FC"/>
    <w:rPr>
      <w:rFonts w:asciiTheme="majorBidi" w:hAnsiTheme="majorBidi" w:hint="default"/>
      <w:b w:val="0"/>
      <w:bCs w:val="0"/>
      <w:i w:val="0"/>
      <w:iCs w:val="0"/>
      <w:color w:val="000000"/>
      <w:sz w:val="18"/>
      <w:szCs w:val="18"/>
    </w:rPr>
  </w:style>
  <w:style w:type="table" w:styleId="TableGrid">
    <w:name w:val="Table Grid"/>
    <w:basedOn w:val="TableNormal"/>
    <w:uiPriority w:val="59"/>
    <w:rsid w:val="00A725FC"/>
    <w:pPr>
      <w:spacing w:after="0" w:line="240" w:lineRule="auto"/>
    </w:pPr>
    <w:rPr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1306</Characters>
  <Application>Microsoft Office Word</Application>
  <DocSecurity>0</DocSecurity>
  <Lines>10</Lines>
  <Paragraphs>3</Paragraphs>
  <ScaleCrop>false</ScaleCrop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Eran Ashwal</dc:creator>
  <cp:keywords/>
  <dc:description/>
  <cp:lastModifiedBy>Eran Ashwal</cp:lastModifiedBy>
  <cp:revision>1</cp:revision>
  <dcterms:created xsi:type="dcterms:W3CDTF">2020-12-11T16:52:00Z</dcterms:created>
  <dcterms:modified xsi:type="dcterms:W3CDTF">2020-12-11T16:53:00Z</dcterms:modified>
</cp:coreProperties>
</file>