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1B269" w14:textId="77777777" w:rsidR="00E51D7E" w:rsidRPr="00B46DDF" w:rsidRDefault="00E51D7E" w:rsidP="005835E8">
      <w:pPr>
        <w:pStyle w:val="Kop1"/>
        <w:jc w:val="center"/>
        <w:rPr>
          <w:rFonts w:ascii="Times New Roman" w:hAnsi="Times New Roman"/>
          <w:i w:val="0"/>
          <w:lang w:val="en-US"/>
        </w:rPr>
      </w:pPr>
      <w:bookmarkStart w:id="0" w:name="_GoBack"/>
      <w:r w:rsidRPr="00B46DDF">
        <w:rPr>
          <w:rFonts w:ascii="Times New Roman" w:hAnsi="Times New Roman"/>
          <w:i w:val="0"/>
          <w:lang w:val="en-US"/>
        </w:rPr>
        <w:t xml:space="preserve">Supplementary </w:t>
      </w:r>
      <w:r w:rsidR="00F428A5" w:rsidRPr="00B46DDF">
        <w:rPr>
          <w:rFonts w:ascii="Times New Roman" w:hAnsi="Times New Roman"/>
          <w:i w:val="0"/>
          <w:lang w:val="en-US"/>
        </w:rPr>
        <w:t>Material</w:t>
      </w:r>
    </w:p>
    <w:p w14:paraId="6C966179" w14:textId="77777777" w:rsidR="00E51D7E" w:rsidRPr="00B46DDF" w:rsidRDefault="00E51D7E" w:rsidP="00E51D7E">
      <w:pPr>
        <w:shd w:val="clear" w:color="000000" w:fill="FFFFFF"/>
        <w:wordWrap w:val="0"/>
        <w:spacing w:after="120" w:line="276" w:lineRule="auto"/>
        <w:jc w:val="both"/>
        <w:rPr>
          <w:i/>
          <w:color w:val="000000" w:themeColor="text1"/>
          <w:sz w:val="22"/>
          <w:lang w:val="en-US"/>
        </w:rPr>
      </w:pPr>
    </w:p>
    <w:p w14:paraId="60265E8F" w14:textId="77777777" w:rsidR="00E51D7E" w:rsidRPr="00B46DDF" w:rsidRDefault="00E51D7E" w:rsidP="00E51D7E">
      <w:pPr>
        <w:spacing w:line="360" w:lineRule="auto"/>
        <w:ind w:left="360"/>
        <w:rPr>
          <w:b/>
          <w:lang w:val="en-US"/>
        </w:rPr>
      </w:pPr>
      <w:r w:rsidRPr="00B46DDF">
        <w:rPr>
          <w:b/>
          <w:lang w:val="en-US"/>
        </w:rPr>
        <w:t>Table S1. Type of surgery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230"/>
        <w:gridCol w:w="1898"/>
        <w:gridCol w:w="1809"/>
        <w:gridCol w:w="1639"/>
      </w:tblGrid>
      <w:tr w:rsidR="00E51D7E" w:rsidRPr="00B46DDF" w14:paraId="69110114" w14:textId="77777777" w:rsidTr="00E51D7E">
        <w:tc>
          <w:tcPr>
            <w:tcW w:w="2424" w:type="dxa"/>
          </w:tcPr>
          <w:p w14:paraId="3B067AAD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b/>
              </w:rPr>
            </w:pPr>
            <w:r w:rsidRPr="00B46D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Surgery</w:t>
            </w:r>
          </w:p>
        </w:tc>
        <w:tc>
          <w:tcPr>
            <w:tcW w:w="2095" w:type="dxa"/>
          </w:tcPr>
          <w:p w14:paraId="029D19D1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b/>
              </w:rPr>
            </w:pPr>
            <w:r w:rsidRPr="00B46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AKI (n=10)</w:t>
            </w:r>
          </w:p>
        </w:tc>
        <w:tc>
          <w:tcPr>
            <w:tcW w:w="1988" w:type="dxa"/>
          </w:tcPr>
          <w:p w14:paraId="5FF407AB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b/>
              </w:rPr>
            </w:pPr>
            <w:r w:rsidRPr="00B46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No-AKI (n=42)</w:t>
            </w:r>
          </w:p>
        </w:tc>
        <w:tc>
          <w:tcPr>
            <w:tcW w:w="1789" w:type="dxa"/>
          </w:tcPr>
          <w:p w14:paraId="2FD7136D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b/>
              </w:rPr>
            </w:pPr>
            <w:r w:rsidRPr="00B46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E51D7E" w:rsidRPr="00B46DDF" w14:paraId="44EF7E5B" w14:textId="77777777" w:rsidTr="00E51D7E">
        <w:tc>
          <w:tcPr>
            <w:tcW w:w="2424" w:type="dxa"/>
          </w:tcPr>
          <w:p w14:paraId="4C635D37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B46DDF">
              <w:rPr>
                <w:rFonts w:ascii="Times New Roman" w:hAnsi="Times New Roman"/>
                <w:lang w:val="en-US"/>
              </w:rPr>
              <w:t>Cardiac surgery</w:t>
            </w:r>
          </w:p>
        </w:tc>
        <w:tc>
          <w:tcPr>
            <w:tcW w:w="2095" w:type="dxa"/>
          </w:tcPr>
          <w:p w14:paraId="1AFBF7FA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B46DDF">
              <w:rPr>
                <w:rFonts w:ascii="Times New Roman" w:hAnsi="Times New Roman"/>
                <w:lang w:val="en-US"/>
              </w:rPr>
              <w:t>4 (40.00%)</w:t>
            </w:r>
          </w:p>
        </w:tc>
        <w:tc>
          <w:tcPr>
            <w:tcW w:w="1988" w:type="dxa"/>
          </w:tcPr>
          <w:p w14:paraId="4F64E200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B46DDF">
              <w:rPr>
                <w:rFonts w:ascii="Times New Roman" w:hAnsi="Times New Roman"/>
                <w:lang w:val="en-US"/>
              </w:rPr>
              <w:t>19 (45.24%)</w:t>
            </w:r>
          </w:p>
        </w:tc>
        <w:tc>
          <w:tcPr>
            <w:tcW w:w="1789" w:type="dxa"/>
            <w:vMerge w:val="restart"/>
          </w:tcPr>
          <w:p w14:paraId="6C3EEBF8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B46DDF">
              <w:rPr>
                <w:rFonts w:ascii="Times New Roman" w:hAnsi="Times New Roman"/>
                <w:lang w:val="en-US"/>
              </w:rPr>
              <w:t>0.447 (Fisher’s exact test)</w:t>
            </w:r>
          </w:p>
        </w:tc>
      </w:tr>
      <w:tr w:rsidR="00E51D7E" w:rsidRPr="00B46DDF" w14:paraId="71E88F64" w14:textId="77777777" w:rsidTr="00E51D7E">
        <w:tc>
          <w:tcPr>
            <w:tcW w:w="2424" w:type="dxa"/>
          </w:tcPr>
          <w:p w14:paraId="32CF4D3D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B46DDF">
              <w:rPr>
                <w:rFonts w:ascii="Times New Roman" w:hAnsi="Times New Roman"/>
                <w:lang w:val="en-US"/>
              </w:rPr>
              <w:t>Gastro-intestinal surgery</w:t>
            </w:r>
          </w:p>
        </w:tc>
        <w:tc>
          <w:tcPr>
            <w:tcW w:w="2095" w:type="dxa"/>
          </w:tcPr>
          <w:p w14:paraId="55D2F161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B46DDF">
              <w:rPr>
                <w:rFonts w:ascii="Times New Roman" w:hAnsi="Times New Roman"/>
                <w:lang w:val="en-US"/>
              </w:rPr>
              <w:t>0 (0%)</w:t>
            </w:r>
          </w:p>
        </w:tc>
        <w:tc>
          <w:tcPr>
            <w:tcW w:w="1988" w:type="dxa"/>
          </w:tcPr>
          <w:p w14:paraId="1882F660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B46DDF">
              <w:rPr>
                <w:rFonts w:ascii="Times New Roman" w:hAnsi="Times New Roman"/>
                <w:lang w:val="en-US"/>
              </w:rPr>
              <w:t>3 (7.14%)</w:t>
            </w:r>
          </w:p>
        </w:tc>
        <w:tc>
          <w:tcPr>
            <w:tcW w:w="1789" w:type="dxa"/>
            <w:vMerge/>
          </w:tcPr>
          <w:p w14:paraId="73327612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E51D7E" w:rsidRPr="00B46DDF" w14:paraId="314B4854" w14:textId="77777777" w:rsidTr="00E51D7E">
        <w:tc>
          <w:tcPr>
            <w:tcW w:w="2424" w:type="dxa"/>
          </w:tcPr>
          <w:p w14:paraId="01D1DD1A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B46DDF">
              <w:rPr>
                <w:rFonts w:ascii="Times New Roman" w:hAnsi="Times New Roman"/>
                <w:lang w:val="en-US"/>
              </w:rPr>
              <w:t>Hepatobiliary surgery</w:t>
            </w:r>
          </w:p>
        </w:tc>
        <w:tc>
          <w:tcPr>
            <w:tcW w:w="2095" w:type="dxa"/>
          </w:tcPr>
          <w:p w14:paraId="6B1BE5F7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B46DDF">
              <w:rPr>
                <w:rFonts w:ascii="Times New Roman" w:hAnsi="Times New Roman"/>
                <w:lang w:val="en-US"/>
              </w:rPr>
              <w:t>0 (0%)</w:t>
            </w:r>
          </w:p>
        </w:tc>
        <w:tc>
          <w:tcPr>
            <w:tcW w:w="1988" w:type="dxa"/>
          </w:tcPr>
          <w:p w14:paraId="2852256D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B46DDF">
              <w:rPr>
                <w:rFonts w:ascii="Times New Roman" w:hAnsi="Times New Roman"/>
                <w:lang w:val="en-US"/>
              </w:rPr>
              <w:t>4 (9.52%)</w:t>
            </w:r>
          </w:p>
        </w:tc>
        <w:tc>
          <w:tcPr>
            <w:tcW w:w="1789" w:type="dxa"/>
            <w:vMerge/>
          </w:tcPr>
          <w:p w14:paraId="72729857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E51D7E" w:rsidRPr="00B46DDF" w14:paraId="3610513E" w14:textId="77777777" w:rsidTr="00E51D7E">
        <w:tc>
          <w:tcPr>
            <w:tcW w:w="2424" w:type="dxa"/>
          </w:tcPr>
          <w:p w14:paraId="302288C5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B46DDF">
              <w:rPr>
                <w:rFonts w:ascii="Times New Roman" w:hAnsi="Times New Roman"/>
              </w:rPr>
              <w:t>Thoracic</w:t>
            </w:r>
            <w:proofErr w:type="spellEnd"/>
            <w:r w:rsidRPr="00B46DDF">
              <w:rPr>
                <w:rFonts w:ascii="Times New Roman" w:hAnsi="Times New Roman"/>
              </w:rPr>
              <w:t xml:space="preserve"> </w:t>
            </w:r>
            <w:proofErr w:type="spellStart"/>
            <w:r w:rsidRPr="00B46DDF">
              <w:rPr>
                <w:rFonts w:ascii="Times New Roman" w:hAnsi="Times New Roman"/>
              </w:rPr>
              <w:t>surgery</w:t>
            </w:r>
            <w:proofErr w:type="spellEnd"/>
          </w:p>
        </w:tc>
        <w:tc>
          <w:tcPr>
            <w:tcW w:w="2095" w:type="dxa"/>
          </w:tcPr>
          <w:p w14:paraId="37E5C7A2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</w:rPr>
            </w:pPr>
            <w:r w:rsidRPr="00B46DDF">
              <w:rPr>
                <w:rFonts w:ascii="Times New Roman" w:hAnsi="Times New Roman"/>
              </w:rPr>
              <w:t>3 (30.00%)</w:t>
            </w:r>
          </w:p>
        </w:tc>
        <w:tc>
          <w:tcPr>
            <w:tcW w:w="1988" w:type="dxa"/>
          </w:tcPr>
          <w:p w14:paraId="05285212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</w:rPr>
            </w:pPr>
            <w:r w:rsidRPr="00B46DDF">
              <w:rPr>
                <w:rFonts w:ascii="Times New Roman" w:hAnsi="Times New Roman"/>
              </w:rPr>
              <w:t>11 (26.19%)</w:t>
            </w:r>
          </w:p>
        </w:tc>
        <w:tc>
          <w:tcPr>
            <w:tcW w:w="1789" w:type="dxa"/>
            <w:vMerge/>
          </w:tcPr>
          <w:p w14:paraId="76E12333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</w:rPr>
            </w:pPr>
          </w:p>
        </w:tc>
      </w:tr>
      <w:tr w:rsidR="00E51D7E" w:rsidRPr="00B46DDF" w14:paraId="30AC7598" w14:textId="77777777" w:rsidTr="00E51D7E">
        <w:tc>
          <w:tcPr>
            <w:tcW w:w="2424" w:type="dxa"/>
          </w:tcPr>
          <w:p w14:paraId="2B0978CA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</w:rPr>
            </w:pPr>
            <w:r w:rsidRPr="00B46DDF">
              <w:rPr>
                <w:rFonts w:ascii="Times New Roman" w:hAnsi="Times New Roman"/>
              </w:rPr>
              <w:t xml:space="preserve">Trauma </w:t>
            </w:r>
            <w:proofErr w:type="spellStart"/>
            <w:r w:rsidRPr="00B46DDF">
              <w:rPr>
                <w:rFonts w:ascii="Times New Roman" w:hAnsi="Times New Roman"/>
              </w:rPr>
              <w:t>surgery</w:t>
            </w:r>
            <w:proofErr w:type="spellEnd"/>
          </w:p>
        </w:tc>
        <w:tc>
          <w:tcPr>
            <w:tcW w:w="2095" w:type="dxa"/>
          </w:tcPr>
          <w:p w14:paraId="256B98E1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</w:rPr>
            </w:pPr>
            <w:r w:rsidRPr="00B46DDF">
              <w:rPr>
                <w:rFonts w:ascii="Times New Roman" w:hAnsi="Times New Roman"/>
              </w:rPr>
              <w:t>0 (0%)</w:t>
            </w:r>
          </w:p>
        </w:tc>
        <w:tc>
          <w:tcPr>
            <w:tcW w:w="1988" w:type="dxa"/>
          </w:tcPr>
          <w:p w14:paraId="2BD4ABC2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</w:rPr>
            </w:pPr>
            <w:r w:rsidRPr="00B46DDF">
              <w:rPr>
                <w:rFonts w:ascii="Times New Roman" w:hAnsi="Times New Roman"/>
              </w:rPr>
              <w:t>2 (4.76%)</w:t>
            </w:r>
          </w:p>
        </w:tc>
        <w:tc>
          <w:tcPr>
            <w:tcW w:w="1789" w:type="dxa"/>
            <w:vMerge/>
          </w:tcPr>
          <w:p w14:paraId="18CDF7E9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</w:rPr>
            </w:pPr>
          </w:p>
        </w:tc>
      </w:tr>
      <w:tr w:rsidR="00E51D7E" w:rsidRPr="00B46DDF" w14:paraId="683A8B26" w14:textId="77777777" w:rsidTr="00E51D7E">
        <w:tc>
          <w:tcPr>
            <w:tcW w:w="2424" w:type="dxa"/>
            <w:tcBorders>
              <w:right w:val="single" w:sz="4" w:space="0" w:color="auto"/>
            </w:tcBorders>
          </w:tcPr>
          <w:p w14:paraId="63281ACA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B46DDF">
              <w:rPr>
                <w:rFonts w:ascii="Times New Roman" w:hAnsi="Times New Roman"/>
              </w:rPr>
              <w:t>Vascular</w:t>
            </w:r>
            <w:proofErr w:type="spellEnd"/>
            <w:r w:rsidRPr="00B46DDF">
              <w:rPr>
                <w:rFonts w:ascii="Times New Roman" w:hAnsi="Times New Roman"/>
              </w:rPr>
              <w:t xml:space="preserve"> </w:t>
            </w:r>
            <w:proofErr w:type="spellStart"/>
            <w:r w:rsidRPr="00B46DDF">
              <w:rPr>
                <w:rFonts w:ascii="Times New Roman" w:hAnsi="Times New Roman"/>
              </w:rPr>
              <w:t>surgery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7AB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</w:rPr>
            </w:pPr>
            <w:r w:rsidRPr="00B46DDF">
              <w:rPr>
                <w:rFonts w:ascii="Times New Roman" w:hAnsi="Times New Roman"/>
              </w:rPr>
              <w:t>3 (30%)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F3E42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</w:rPr>
            </w:pPr>
            <w:r w:rsidRPr="00B46DDF">
              <w:rPr>
                <w:rFonts w:ascii="Times New Roman" w:hAnsi="Times New Roman"/>
              </w:rPr>
              <w:t>3 (7.14%)</w:t>
            </w:r>
          </w:p>
        </w:tc>
        <w:tc>
          <w:tcPr>
            <w:tcW w:w="1789" w:type="dxa"/>
            <w:vMerge/>
          </w:tcPr>
          <w:p w14:paraId="27043A3A" w14:textId="77777777" w:rsidR="00E51D7E" w:rsidRPr="00B46DDF" w:rsidRDefault="00E51D7E" w:rsidP="00E51D7E">
            <w:pPr>
              <w:pStyle w:val="Lijstalinea"/>
              <w:autoSpaceDE w:val="0"/>
              <w:autoSpaceDN w:val="0"/>
              <w:spacing w:line="400" w:lineRule="atLeast"/>
              <w:ind w:left="0"/>
              <w:contextualSpacing/>
              <w:rPr>
                <w:rFonts w:ascii="Times New Roman" w:hAnsi="Times New Roman"/>
              </w:rPr>
            </w:pPr>
          </w:p>
        </w:tc>
      </w:tr>
    </w:tbl>
    <w:p w14:paraId="28F926F8" w14:textId="77777777" w:rsidR="00E51D7E" w:rsidRPr="00B46DDF" w:rsidRDefault="00E51D7E" w:rsidP="00E51D7E">
      <w:pPr>
        <w:spacing w:line="360" w:lineRule="auto"/>
        <w:ind w:left="360" w:firstLine="348"/>
        <w:rPr>
          <w:i/>
          <w:iCs/>
          <w:vertAlign w:val="superscript"/>
          <w:lang w:val="en-US"/>
        </w:rPr>
      </w:pPr>
      <w:r w:rsidRPr="00B46DDF">
        <w:rPr>
          <w:i/>
          <w:iCs/>
          <w:vertAlign w:val="superscript"/>
          <w:lang w:val="en-US"/>
        </w:rPr>
        <w:t xml:space="preserve">AKI = acute kidney injury; No-AKI = no acute kidney injury </w:t>
      </w:r>
    </w:p>
    <w:p w14:paraId="7958BCBA" w14:textId="77777777" w:rsidR="00E51D7E" w:rsidRPr="00B46DDF" w:rsidRDefault="00E51D7E" w:rsidP="00E51D7E">
      <w:pPr>
        <w:spacing w:line="360" w:lineRule="auto"/>
        <w:ind w:left="360"/>
        <w:rPr>
          <w:i/>
          <w:iCs/>
          <w:vertAlign w:val="superscript"/>
          <w:lang w:val="en-US"/>
        </w:rPr>
      </w:pPr>
    </w:p>
    <w:p w14:paraId="5C4D1418" w14:textId="77777777" w:rsidR="00E51D7E" w:rsidRPr="00B46DDF" w:rsidRDefault="00E51D7E" w:rsidP="00E51D7E">
      <w:pPr>
        <w:spacing w:line="360" w:lineRule="auto"/>
        <w:rPr>
          <w:b/>
          <w:lang w:val="en-US"/>
        </w:rPr>
      </w:pPr>
    </w:p>
    <w:p w14:paraId="215D476B" w14:textId="77777777" w:rsidR="00E51D7E" w:rsidRPr="00B46DDF" w:rsidRDefault="00E51D7E" w:rsidP="00E51D7E">
      <w:pPr>
        <w:spacing w:line="360" w:lineRule="auto"/>
        <w:ind w:left="410"/>
        <w:rPr>
          <w:bCs/>
          <w:i/>
          <w:iCs/>
          <w:vertAlign w:val="superscript"/>
          <w:lang w:val="en-US"/>
        </w:rPr>
      </w:pPr>
    </w:p>
    <w:p w14:paraId="128986E6" w14:textId="77777777" w:rsidR="00E51D7E" w:rsidRPr="00B46DDF" w:rsidRDefault="00E51D7E" w:rsidP="00E51D7E">
      <w:pPr>
        <w:pStyle w:val="Geenafstand"/>
        <w:ind w:left="410"/>
        <w:jc w:val="both"/>
        <w:rPr>
          <w:rFonts w:ascii="Times New Roman" w:hAnsi="Times New Roman"/>
          <w:b/>
          <w:sz w:val="18"/>
          <w:lang w:val="en-US"/>
        </w:rPr>
      </w:pPr>
    </w:p>
    <w:p w14:paraId="776D323A" w14:textId="77777777" w:rsidR="00E51D7E" w:rsidRPr="00B46DDF" w:rsidRDefault="00E51D7E" w:rsidP="00E51D7E">
      <w:pPr>
        <w:shd w:val="clear" w:color="000000" w:fill="FFFFFF"/>
        <w:wordWrap w:val="0"/>
        <w:spacing w:after="120" w:line="276" w:lineRule="auto"/>
        <w:ind w:left="450"/>
        <w:rPr>
          <w:i/>
          <w:iCs/>
          <w:vertAlign w:val="superscript"/>
          <w:lang w:val="en-US"/>
        </w:rPr>
      </w:pPr>
    </w:p>
    <w:p w14:paraId="332CC193" w14:textId="77777777" w:rsidR="00E51D7E" w:rsidRPr="00B46DDF" w:rsidRDefault="00E51D7E" w:rsidP="00E51D7E">
      <w:pPr>
        <w:shd w:val="clear" w:color="000000" w:fill="FFFFFF"/>
        <w:wordWrap w:val="0"/>
        <w:spacing w:after="120" w:line="276" w:lineRule="auto"/>
        <w:ind w:left="450"/>
        <w:rPr>
          <w:i/>
          <w:iCs/>
          <w:vertAlign w:val="superscript"/>
          <w:lang w:val="en-US"/>
        </w:rPr>
      </w:pPr>
    </w:p>
    <w:p w14:paraId="570AEA76" w14:textId="77777777" w:rsidR="00E51D7E" w:rsidRPr="00B46DDF" w:rsidRDefault="00E51D7E" w:rsidP="00E51D7E">
      <w:pPr>
        <w:shd w:val="clear" w:color="000000" w:fill="FFFFFF"/>
        <w:wordWrap w:val="0"/>
        <w:spacing w:after="120" w:line="276" w:lineRule="auto"/>
        <w:ind w:left="708"/>
        <w:jc w:val="both"/>
        <w:rPr>
          <w:bCs/>
          <w:i/>
          <w:color w:val="000000" w:themeColor="text1"/>
          <w:sz w:val="18"/>
          <w:vertAlign w:val="superscript"/>
          <w:lang w:val="en-US"/>
        </w:rPr>
      </w:pPr>
    </w:p>
    <w:p w14:paraId="58D18456" w14:textId="77777777" w:rsidR="00E51D7E" w:rsidRPr="00B46DDF" w:rsidRDefault="00E51D7E" w:rsidP="00E51D7E">
      <w:pPr>
        <w:shd w:val="clear" w:color="000000" w:fill="FFFFFF"/>
        <w:wordWrap w:val="0"/>
        <w:spacing w:after="120" w:line="276" w:lineRule="auto"/>
        <w:jc w:val="both"/>
        <w:rPr>
          <w:i/>
          <w:color w:val="000000" w:themeColor="text1"/>
          <w:sz w:val="18"/>
          <w:lang w:val="en-US"/>
        </w:rPr>
      </w:pPr>
    </w:p>
    <w:p w14:paraId="1CE1E38D" w14:textId="77777777" w:rsidR="00E51D7E" w:rsidRPr="00B46DDF" w:rsidRDefault="00E51D7E" w:rsidP="00E51D7E">
      <w:pPr>
        <w:shd w:val="clear" w:color="000000" w:fill="FFFFFF"/>
        <w:wordWrap w:val="0"/>
        <w:spacing w:after="120" w:line="276" w:lineRule="auto"/>
        <w:jc w:val="both"/>
        <w:rPr>
          <w:i/>
          <w:sz w:val="18"/>
          <w:lang w:val="en-US"/>
        </w:rPr>
      </w:pPr>
    </w:p>
    <w:bookmarkEnd w:id="0"/>
    <w:p w14:paraId="20E36A59" w14:textId="77777777" w:rsidR="001406B1" w:rsidRPr="000725F9" w:rsidRDefault="001406B1">
      <w:pPr>
        <w:rPr>
          <w:lang w:val="en-US"/>
        </w:rPr>
      </w:pPr>
    </w:p>
    <w:sectPr w:rsidR="001406B1" w:rsidRPr="000725F9" w:rsidSect="00F733CF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7E"/>
    <w:rsid w:val="0001444D"/>
    <w:rsid w:val="000725F9"/>
    <w:rsid w:val="001406B1"/>
    <w:rsid w:val="0019590B"/>
    <w:rsid w:val="0029226D"/>
    <w:rsid w:val="00437B79"/>
    <w:rsid w:val="00553F0F"/>
    <w:rsid w:val="005835E8"/>
    <w:rsid w:val="0082686B"/>
    <w:rsid w:val="008B23F2"/>
    <w:rsid w:val="00A1310E"/>
    <w:rsid w:val="00B23379"/>
    <w:rsid w:val="00B46DDF"/>
    <w:rsid w:val="00D227EF"/>
    <w:rsid w:val="00D824E7"/>
    <w:rsid w:val="00E51D7E"/>
    <w:rsid w:val="00F428A5"/>
    <w:rsid w:val="00F733CF"/>
    <w:rsid w:val="00F90FED"/>
    <w:rsid w:val="00FD02EC"/>
    <w:rsid w:val="00FE2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4C745"/>
  <w15:docId w15:val="{E2B207E4-DE38-49F0-ACC5-878A6CEE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1D7E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51D7E"/>
    <w:pPr>
      <w:keepNext/>
      <w:keepLines/>
      <w:outlineLvl w:val="0"/>
    </w:pPr>
    <w:rPr>
      <w:rFonts w:ascii="Cambria" w:eastAsia="Cambria" w:hAnsi="Cambria"/>
      <w:b/>
      <w:i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51D7E"/>
    <w:rPr>
      <w:rFonts w:ascii="Cambria" w:eastAsia="Cambria" w:hAnsi="Cambria" w:cs="Times New Roman"/>
      <w:b/>
      <w:i/>
      <w:color w:val="365F91" w:themeColor="accent1" w:themeShade="BF"/>
      <w:sz w:val="28"/>
      <w:szCs w:val="28"/>
      <w:lang w:eastAsia="nl-NL"/>
    </w:rPr>
  </w:style>
  <w:style w:type="paragraph" w:styleId="Geenafstand">
    <w:name w:val="No Spacing"/>
    <w:basedOn w:val="Standaard"/>
    <w:uiPriority w:val="1"/>
    <w:qFormat/>
    <w:rsid w:val="00E51D7E"/>
    <w:rPr>
      <w:rFonts w:ascii="Segoe UI" w:eastAsia="Calibri" w:hAnsi="Segoe UI"/>
      <w:i/>
      <w:sz w:val="20"/>
      <w:szCs w:val="20"/>
    </w:rPr>
  </w:style>
  <w:style w:type="paragraph" w:styleId="Lijstalinea">
    <w:name w:val="List Paragraph"/>
    <w:uiPriority w:val="26"/>
    <w:qFormat/>
    <w:rsid w:val="00E51D7E"/>
    <w:pPr>
      <w:ind w:left="850"/>
      <w:jc w:val="both"/>
    </w:pPr>
    <w:rPr>
      <w:rFonts w:ascii="Calibri" w:eastAsia="Calibri" w:hAnsi="Calibri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E51D7E"/>
    <w:rPr>
      <w:sz w:val="18"/>
      <w:szCs w:val="18"/>
    </w:rPr>
  </w:style>
  <w:style w:type="paragraph" w:styleId="Tekstopmerking">
    <w:name w:val="annotation text"/>
    <w:basedOn w:val="Standaard"/>
    <w:link w:val="TekstopmerkingChar"/>
    <w:unhideWhenUsed/>
    <w:rsid w:val="00E51D7E"/>
    <w:rPr>
      <w:rFonts w:ascii="Segoe UI" w:eastAsia="Calibri" w:hAnsi="Segoe UI"/>
      <w:i/>
    </w:rPr>
  </w:style>
  <w:style w:type="character" w:customStyle="1" w:styleId="TekstopmerkingChar">
    <w:name w:val="Tekst opmerking Char"/>
    <w:basedOn w:val="Standaardalinea-lettertype"/>
    <w:link w:val="Tekstopmerking"/>
    <w:rsid w:val="00E51D7E"/>
    <w:rPr>
      <w:rFonts w:ascii="Segoe UI" w:eastAsia="Calibri" w:hAnsi="Segoe UI" w:cs="Times New Roman"/>
      <w:i/>
      <w:lang w:eastAsia="nl-NL"/>
    </w:rPr>
  </w:style>
  <w:style w:type="table" w:styleId="Tabelraster">
    <w:name w:val="Table Grid"/>
    <w:basedOn w:val="Standaardtabel"/>
    <w:uiPriority w:val="38"/>
    <w:rsid w:val="00E51D7E"/>
    <w:rPr>
      <w:rFonts w:ascii="Calibri" w:eastAsia="Times New Roman" w:hAnsi="Calibri" w:cs="Times New Roman"/>
      <w:sz w:val="22"/>
      <w:szCs w:val="22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D7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1D7E"/>
    <w:rPr>
      <w:rFonts w:ascii="Lucida Grande" w:eastAsia="Times New Roman" w:hAnsi="Lucida Grande" w:cs="Lucida Grande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B23379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Van Craenenbroeck</dc:creator>
  <cp:keywords/>
  <dc:description/>
  <cp:lastModifiedBy>nz36</cp:lastModifiedBy>
  <cp:revision>2</cp:revision>
  <dcterms:created xsi:type="dcterms:W3CDTF">2020-12-01T19:27:00Z</dcterms:created>
  <dcterms:modified xsi:type="dcterms:W3CDTF">2020-12-01T19:27:00Z</dcterms:modified>
</cp:coreProperties>
</file>