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AE" w:rsidRPr="00B526EA" w:rsidRDefault="00DC2CC6" w:rsidP="00B52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SUPPLEMENTARY INFORMATION </w:t>
      </w:r>
    </w:p>
    <w:p w:rsidR="00AE36AE" w:rsidRDefault="00AE36AE" w:rsidP="00F7396E">
      <w:pPr>
        <w:rPr>
          <w:bCs/>
          <w:i/>
          <w:u w:val="single"/>
        </w:rPr>
      </w:pPr>
    </w:p>
    <w:p w:rsidR="00872247" w:rsidRPr="00872247" w:rsidRDefault="00F7396E" w:rsidP="00872247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872247">
        <w:rPr>
          <w:b/>
          <w:sz w:val="22"/>
          <w:szCs w:val="22"/>
        </w:rPr>
        <w:t>TITLE:</w:t>
      </w:r>
      <w:r w:rsidR="00872247" w:rsidRPr="00872247">
        <w:rPr>
          <w:b/>
          <w:sz w:val="22"/>
          <w:szCs w:val="22"/>
        </w:rPr>
        <w:t xml:space="preserve"> </w:t>
      </w:r>
      <w:r w:rsidR="00872247" w:rsidRPr="00872247">
        <w:rPr>
          <w:rFonts w:ascii="Arial" w:hAnsi="Arial" w:cs="Arial"/>
          <w:b/>
          <w:sz w:val="22"/>
          <w:szCs w:val="22"/>
          <w:lang w:val="en-US"/>
        </w:rPr>
        <w:t>Intrapleural Fibrinolytics and Deoxyribonuclease for Treatment of Indwelling Pleural Catheter-Related Pleural Infection: a multi-center observational study</w:t>
      </w:r>
    </w:p>
    <w:p w:rsidR="00872247" w:rsidRPr="00872247" w:rsidRDefault="00872247" w:rsidP="00872247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Deirdre B Fitzgerald, MB </w:t>
      </w:r>
      <w:proofErr w:type="spellStart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BCh</w:t>
      </w:r>
      <w:proofErr w:type="spellEnd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BAO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1,2,3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, </w:t>
      </w:r>
      <w:proofErr w:type="spellStart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Sanjeevan</w:t>
      </w:r>
      <w:proofErr w:type="spellEnd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Muruganandan</w:t>
      </w:r>
      <w:proofErr w:type="spellEnd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MBBS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1,3,4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, Selina </w:t>
      </w:r>
      <w:proofErr w:type="spellStart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Tsim</w:t>
      </w:r>
      <w:proofErr w:type="spellEnd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PhD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5, 6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Hugh Ip, MBBS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7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Rachelle </w:t>
      </w:r>
      <w:proofErr w:type="spellStart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Asciak</w:t>
      </w:r>
      <w:proofErr w:type="spellEnd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MD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8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Steven Walker, MBChB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9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Juan-Pablo Uribe-Becerra, MD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10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Adnan Majid, MD FCCP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10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Liju</w:t>
      </w:r>
      <w:proofErr w:type="spellEnd"/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Ahmed, FRCP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7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Najib M Rahman, DPhil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8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Nick A Maskell, DM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9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Kevin G Blyth, MBBS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5. 6</w:t>
      </w:r>
      <w:r w:rsidRPr="00872247">
        <w:rPr>
          <w:rFonts w:ascii="Arial" w:hAnsi="Arial" w:cs="Arial"/>
          <w:bCs/>
          <w:color w:val="000000"/>
          <w:sz w:val="22"/>
          <w:szCs w:val="22"/>
          <w:lang w:val="en-US"/>
        </w:rPr>
        <w:t>, Y C Gary Lee, PhD</w:t>
      </w:r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1</w:t>
      </w:r>
      <w:proofErr w:type="gramStart"/>
      <w:r w:rsidRPr="00872247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,2,3</w:t>
      </w:r>
      <w:proofErr w:type="gramEnd"/>
    </w:p>
    <w:p w:rsidR="0021685D" w:rsidRDefault="00872247" w:rsidP="0021685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72247">
        <w:rPr>
          <w:rFonts w:ascii="Arial" w:hAnsi="Arial" w:cs="Arial"/>
          <w:b/>
          <w:sz w:val="22"/>
          <w:szCs w:val="22"/>
          <w:lang w:val="en-US"/>
        </w:rPr>
        <w:t>Affiliations:</w:t>
      </w:r>
      <w:r w:rsidRPr="00872247">
        <w:rPr>
          <w:rFonts w:ascii="Arial" w:hAnsi="Arial" w:cs="Arial"/>
          <w:sz w:val="22"/>
          <w:szCs w:val="22"/>
          <w:lang w:val="en-US"/>
        </w:rPr>
        <w:t xml:space="preserve"> 1. Sir Charles Gairdner Hospital, WA; 2. Institute for Respiratory Health, WA; 3. University of Western Australia, WA; 4. Northern Hospital, Epping, VIC;5. Queen Elizabeth University Hospital, Glasgow, UK; 6. Institute of Cancer Sciences, University of Glasgow, UK; 7. Guy’s and St. Thomas’ Hospital, London. 8. Oxford University Hospitals NHS Foundation Trust, Oxford; 9. Academic Respiratory Unit, School of Clinical Sciences, University of Bristol, Bristol; 10. Beth Israel Deaconess Medical Centre, Harvard Medical School, Boston, MA.</w:t>
      </w:r>
    </w:p>
    <w:p w:rsidR="0021685D" w:rsidRDefault="0021685D" w:rsidP="0021685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1685D" w:rsidRPr="0021685D" w:rsidRDefault="0021685D" w:rsidP="0021685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Table S1: Period of audit and ethical approval for each site. </w:t>
      </w:r>
    </w:p>
    <w:tbl>
      <w:tblPr>
        <w:tblpPr w:leftFromText="180" w:rightFromText="180" w:vertAnchor="text" w:horzAnchor="margin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438"/>
        <w:gridCol w:w="1934"/>
        <w:gridCol w:w="1727"/>
      </w:tblGrid>
      <w:tr w:rsidR="00320A16" w:rsidTr="00320A16">
        <w:tc>
          <w:tcPr>
            <w:tcW w:w="7479" w:type="dxa"/>
            <w:gridSpan w:val="3"/>
            <w:shd w:val="clear" w:color="auto" w:fill="000000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shd w:val="clear" w:color="auto" w:fill="000000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20A16" w:rsidTr="00320A16">
        <w:trPr>
          <w:trHeight w:val="399"/>
        </w:trPr>
        <w:tc>
          <w:tcPr>
            <w:tcW w:w="1951" w:type="dxa"/>
            <w:shd w:val="clear" w:color="auto" w:fill="D0CECE"/>
          </w:tcPr>
          <w:p w:rsidR="00320A16" w:rsidRPr="00181DEE" w:rsidRDefault="00320A16" w:rsidP="00181DEE">
            <w:pPr>
              <w:spacing w:before="120" w:line="48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81DEE">
              <w:rPr>
                <w:rFonts w:ascii="Arial" w:eastAsia="Calibri" w:hAnsi="Arial" w:cs="Arial"/>
                <w:sz w:val="22"/>
                <w:szCs w:val="22"/>
                <w:lang w:val="en-US"/>
              </w:rPr>
              <w:t>Hospital</w:t>
            </w:r>
          </w:p>
        </w:tc>
        <w:tc>
          <w:tcPr>
            <w:tcW w:w="3544" w:type="dxa"/>
            <w:shd w:val="clear" w:color="auto" w:fill="D0CECE"/>
          </w:tcPr>
          <w:p w:rsidR="00320A16" w:rsidRPr="00181DEE" w:rsidRDefault="00320A16" w:rsidP="00181DEE">
            <w:pPr>
              <w:spacing w:before="120" w:line="48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81DE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HREC and No. </w:t>
            </w:r>
          </w:p>
        </w:tc>
        <w:tc>
          <w:tcPr>
            <w:tcW w:w="1984" w:type="dxa"/>
            <w:shd w:val="clear" w:color="auto" w:fill="D0CECE"/>
          </w:tcPr>
          <w:p w:rsidR="00320A16" w:rsidRPr="00181DEE" w:rsidRDefault="00320A16" w:rsidP="00181DEE">
            <w:pPr>
              <w:spacing w:before="120" w:line="48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81DEE">
              <w:rPr>
                <w:rFonts w:ascii="Arial" w:eastAsia="Calibri" w:hAnsi="Arial" w:cs="Arial"/>
                <w:sz w:val="22"/>
                <w:szCs w:val="22"/>
                <w:lang w:val="en-US"/>
              </w:rPr>
              <w:t>Data Period</w:t>
            </w:r>
          </w:p>
        </w:tc>
        <w:tc>
          <w:tcPr>
            <w:tcW w:w="1764" w:type="dxa"/>
            <w:shd w:val="clear" w:color="auto" w:fill="D0CECE"/>
          </w:tcPr>
          <w:p w:rsidR="00320A16" w:rsidRPr="00181DEE" w:rsidRDefault="00320A16" w:rsidP="00320A16">
            <w:pPr>
              <w:spacing w:before="120" w:line="48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No. of patients</w:t>
            </w:r>
          </w:p>
        </w:tc>
      </w:tr>
      <w:tr w:rsidR="00320A16" w:rsidTr="00320A16">
        <w:trPr>
          <w:trHeight w:val="396"/>
        </w:trPr>
        <w:tc>
          <w:tcPr>
            <w:tcW w:w="1951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Sir Charles Gairdner Hospital</w:t>
            </w:r>
          </w:p>
        </w:tc>
        <w:tc>
          <w:tcPr>
            <w:tcW w:w="354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SCGH HREC </w:t>
            </w:r>
          </w:p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No: 2012-214</w:t>
            </w:r>
          </w:p>
        </w:tc>
        <w:tc>
          <w:tcPr>
            <w:tcW w:w="198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06/2010 – 09/2019</w:t>
            </w:r>
          </w:p>
        </w:tc>
        <w:tc>
          <w:tcPr>
            <w:tcW w:w="1764" w:type="dxa"/>
          </w:tcPr>
          <w:p w:rsidR="00320A16" w:rsidRPr="00181DEE" w:rsidRDefault="00320A16" w:rsidP="003A75A8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320A16" w:rsidTr="00320A16">
        <w:trPr>
          <w:trHeight w:val="396"/>
        </w:trPr>
        <w:tc>
          <w:tcPr>
            <w:tcW w:w="1951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Queen Elizabeth University Hospital</w:t>
            </w:r>
          </w:p>
        </w:tc>
        <w:tc>
          <w:tcPr>
            <w:tcW w:w="354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NHS Scotland </w:t>
            </w:r>
            <w:proofErr w:type="spellStart"/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Caldicott</w:t>
            </w:r>
            <w:proofErr w:type="spellEnd"/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Waiver </w:t>
            </w:r>
          </w:p>
        </w:tc>
        <w:tc>
          <w:tcPr>
            <w:tcW w:w="198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09/2015 – 04/2017</w:t>
            </w:r>
          </w:p>
        </w:tc>
        <w:tc>
          <w:tcPr>
            <w:tcW w:w="1764" w:type="dxa"/>
          </w:tcPr>
          <w:p w:rsidR="00320A16" w:rsidRPr="00181DEE" w:rsidRDefault="003A75A8" w:rsidP="003A75A8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320A16" w:rsidTr="00320A16">
        <w:trPr>
          <w:trHeight w:val="396"/>
        </w:trPr>
        <w:tc>
          <w:tcPr>
            <w:tcW w:w="1951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Southmead Hospital, Bristol</w:t>
            </w:r>
          </w:p>
        </w:tc>
        <w:tc>
          <w:tcPr>
            <w:tcW w:w="3544" w:type="dxa"/>
            <w:shd w:val="clear" w:color="auto" w:fill="auto"/>
          </w:tcPr>
          <w:p w:rsidR="00320A16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Frenchay</w:t>
            </w:r>
            <w:proofErr w:type="spellEnd"/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Rec, </w:t>
            </w:r>
          </w:p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Waiver</w:t>
            </w:r>
          </w:p>
        </w:tc>
        <w:tc>
          <w:tcPr>
            <w:tcW w:w="198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05/2016 – 02/2018</w:t>
            </w:r>
          </w:p>
        </w:tc>
        <w:tc>
          <w:tcPr>
            <w:tcW w:w="1764" w:type="dxa"/>
          </w:tcPr>
          <w:p w:rsidR="00320A16" w:rsidRPr="00181DEE" w:rsidRDefault="003A75A8" w:rsidP="003A75A8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320A16" w:rsidTr="00320A16">
        <w:trPr>
          <w:trHeight w:val="396"/>
        </w:trPr>
        <w:tc>
          <w:tcPr>
            <w:tcW w:w="1951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Guy’s and St. Thomas’ Hospital</w:t>
            </w:r>
          </w:p>
        </w:tc>
        <w:tc>
          <w:tcPr>
            <w:tcW w:w="354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Guy’s and St. Thomas’ R&amp;D Department, Waiver</w:t>
            </w:r>
          </w:p>
        </w:tc>
        <w:tc>
          <w:tcPr>
            <w:tcW w:w="198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01/2017 – 01/2018</w:t>
            </w:r>
          </w:p>
        </w:tc>
        <w:tc>
          <w:tcPr>
            <w:tcW w:w="1764" w:type="dxa"/>
          </w:tcPr>
          <w:p w:rsidR="00320A16" w:rsidRPr="00181DEE" w:rsidRDefault="003A75A8" w:rsidP="00F443EB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320A16" w:rsidTr="00320A16">
        <w:trPr>
          <w:trHeight w:val="396"/>
        </w:trPr>
        <w:tc>
          <w:tcPr>
            <w:tcW w:w="1951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Oxford University Hospitals Trust</w:t>
            </w:r>
          </w:p>
        </w:tc>
        <w:tc>
          <w:tcPr>
            <w:tcW w:w="3544" w:type="dxa"/>
            <w:shd w:val="clear" w:color="auto" w:fill="auto"/>
          </w:tcPr>
          <w:p w:rsidR="00320A16" w:rsidRPr="00320A16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</w:rPr>
              <w:t>Clinical Trials &amp; Research Governance (CTRG), University of Oxford, Waiver</w:t>
            </w:r>
          </w:p>
        </w:tc>
        <w:tc>
          <w:tcPr>
            <w:tcW w:w="1984" w:type="dxa"/>
            <w:shd w:val="clear" w:color="auto" w:fill="auto"/>
          </w:tcPr>
          <w:p w:rsidR="00320A16" w:rsidRPr="00181DEE" w:rsidRDefault="00320A16" w:rsidP="00181D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1DEE">
              <w:rPr>
                <w:rFonts w:ascii="Arial" w:eastAsia="Calibri" w:hAnsi="Arial" w:cs="Arial"/>
                <w:sz w:val="20"/>
                <w:szCs w:val="20"/>
                <w:lang w:val="en-US"/>
              </w:rPr>
              <w:t>01/2009 – 01/2018</w:t>
            </w:r>
          </w:p>
        </w:tc>
        <w:tc>
          <w:tcPr>
            <w:tcW w:w="1764" w:type="dxa"/>
          </w:tcPr>
          <w:p w:rsidR="00320A16" w:rsidRPr="00181DEE" w:rsidRDefault="003A75A8" w:rsidP="003A75A8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:rsidR="00280DAA" w:rsidRDefault="00280DAA" w:rsidP="00DC2CC6">
      <w:pPr>
        <w:outlineLvl w:val="0"/>
        <w:rPr>
          <w:b/>
          <w:bCs/>
        </w:rPr>
      </w:pPr>
    </w:p>
    <w:p w:rsidR="0049251C" w:rsidRPr="00872247" w:rsidRDefault="00872247" w:rsidP="00872247">
      <w:pPr>
        <w:outlineLvl w:val="0"/>
        <w:rPr>
          <w:bCs/>
          <w:i/>
          <w:sz w:val="22"/>
          <w:szCs w:val="22"/>
        </w:rPr>
      </w:pPr>
      <w:r w:rsidRPr="00872247">
        <w:rPr>
          <w:rFonts w:ascii="Arial" w:hAnsi="Arial" w:cs="Arial"/>
          <w:sz w:val="22"/>
          <w:szCs w:val="22"/>
          <w:lang w:val="en-US"/>
        </w:rPr>
        <w:lastRenderedPageBreak/>
        <w:t>The five participating centers are listed. The period during which tPA/DNase treated patients were included from each center varied based on availability of database. This study qualified for a waiver of ethical approval at all UK sites.</w:t>
      </w:r>
    </w:p>
    <w:p w:rsidR="00035BEB" w:rsidRPr="00B526EA" w:rsidRDefault="00035BEB" w:rsidP="00035BEB">
      <w:pPr>
        <w:jc w:val="center"/>
        <w:rPr>
          <w:bCs/>
          <w:i/>
        </w:rPr>
      </w:pPr>
    </w:p>
    <w:sectPr w:rsidR="00035BEB" w:rsidRPr="00B526EA" w:rsidSect="00F7396E">
      <w:headerReference w:type="default" r:id="rId7"/>
      <w:headerReference w:type="first" r:id="rId8"/>
      <w:pgSz w:w="11907" w:h="16840" w:code="9"/>
      <w:pgMar w:top="1440" w:right="1440" w:bottom="1440" w:left="1440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FA" w:rsidRDefault="00AB66FA">
      <w:r>
        <w:separator/>
      </w:r>
    </w:p>
  </w:endnote>
  <w:endnote w:type="continuationSeparator" w:id="0">
    <w:p w:rsidR="00AB66FA" w:rsidRDefault="00AB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FA" w:rsidRDefault="00AB66FA">
      <w:r>
        <w:separator/>
      </w:r>
    </w:p>
  </w:footnote>
  <w:footnote w:type="continuationSeparator" w:id="0">
    <w:p w:rsidR="00AB66FA" w:rsidRDefault="00AB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0D" w:rsidRPr="0083380D" w:rsidRDefault="0083380D" w:rsidP="0083380D">
    <w:pPr>
      <w:jc w:val="both"/>
      <w:outlineLvl w:val="0"/>
      <w:rPr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C6" w:rsidRPr="0083380D" w:rsidRDefault="00DC2CC6" w:rsidP="0083380D">
    <w:pPr>
      <w:jc w:val="both"/>
      <w:outlineLvl w:val="0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9E4"/>
    <w:multiLevelType w:val="hybridMultilevel"/>
    <w:tmpl w:val="CB54079A"/>
    <w:lvl w:ilvl="0" w:tplc="DA38545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B21"/>
    <w:multiLevelType w:val="hybridMultilevel"/>
    <w:tmpl w:val="5762C1B0"/>
    <w:lvl w:ilvl="0" w:tplc="F13A0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D16"/>
    <w:multiLevelType w:val="hybridMultilevel"/>
    <w:tmpl w:val="A94691CA"/>
    <w:lvl w:ilvl="0" w:tplc="B76C54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B0F"/>
    <w:multiLevelType w:val="hybridMultilevel"/>
    <w:tmpl w:val="1B7E19E4"/>
    <w:lvl w:ilvl="0" w:tplc="F650230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2C32"/>
    <w:multiLevelType w:val="hybridMultilevel"/>
    <w:tmpl w:val="7D3CD336"/>
    <w:lvl w:ilvl="0" w:tplc="23C46F12"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3"/>
    <w:rsid w:val="00035BEB"/>
    <w:rsid w:val="00181DEE"/>
    <w:rsid w:val="001B34CB"/>
    <w:rsid w:val="0021685D"/>
    <w:rsid w:val="00217F1C"/>
    <w:rsid w:val="00240498"/>
    <w:rsid w:val="00280DAA"/>
    <w:rsid w:val="00320A16"/>
    <w:rsid w:val="003A75A8"/>
    <w:rsid w:val="003D30D2"/>
    <w:rsid w:val="00431E96"/>
    <w:rsid w:val="0046162A"/>
    <w:rsid w:val="0049251C"/>
    <w:rsid w:val="004B1311"/>
    <w:rsid w:val="005547CC"/>
    <w:rsid w:val="006367E7"/>
    <w:rsid w:val="0083380D"/>
    <w:rsid w:val="00872247"/>
    <w:rsid w:val="008D540A"/>
    <w:rsid w:val="009028B9"/>
    <w:rsid w:val="0092008E"/>
    <w:rsid w:val="009A7B43"/>
    <w:rsid w:val="00A803D4"/>
    <w:rsid w:val="00AB66FA"/>
    <w:rsid w:val="00AE36AE"/>
    <w:rsid w:val="00B02395"/>
    <w:rsid w:val="00B526EA"/>
    <w:rsid w:val="00C12B2E"/>
    <w:rsid w:val="00C177FE"/>
    <w:rsid w:val="00CC60DC"/>
    <w:rsid w:val="00CF71F7"/>
    <w:rsid w:val="00D52860"/>
    <w:rsid w:val="00D74FE3"/>
    <w:rsid w:val="00DA6E81"/>
    <w:rsid w:val="00DC2CC6"/>
    <w:rsid w:val="00DF263E"/>
    <w:rsid w:val="00E22CC7"/>
    <w:rsid w:val="00E93202"/>
    <w:rsid w:val="00F318F4"/>
    <w:rsid w:val="00F443EB"/>
    <w:rsid w:val="00F7396E"/>
    <w:rsid w:val="00F76DD7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BD59-320B-4F73-A4FC-D804D28D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agecontents1">
    <w:name w:val="pagecontents1"/>
    <w:rsid w:val="001537D3"/>
    <w:rPr>
      <w:rFonts w:ascii="Verdana" w:hAnsi="Verdana" w:hint="default"/>
      <w:color w:val="000000"/>
      <w:sz w:val="22"/>
      <w:szCs w:val="22"/>
    </w:rPr>
  </w:style>
  <w:style w:type="paragraph" w:styleId="Header">
    <w:name w:val="header"/>
    <w:basedOn w:val="Normal"/>
    <w:rsid w:val="00551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6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B6F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860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AE3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36A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6AE"/>
    <w:rPr>
      <w:b/>
      <w:bCs/>
      <w:lang w:eastAsia="ja-JP"/>
    </w:rPr>
  </w:style>
  <w:style w:type="character" w:styleId="Hyperlink">
    <w:name w:val="Hyperlink"/>
    <w:uiPriority w:val="99"/>
    <w:unhideWhenUsed/>
    <w:rsid w:val="00B526EA"/>
    <w:rPr>
      <w:color w:val="0563C1"/>
      <w:u w:val="single"/>
    </w:rPr>
  </w:style>
  <w:style w:type="table" w:styleId="TableGrid">
    <w:name w:val="Table Grid"/>
    <w:basedOn w:val="TableNormal"/>
    <w:uiPriority w:val="39"/>
    <w:rsid w:val="008722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Manuscript Central set up:</vt:lpstr>
    </vt:vector>
  </TitlesOfParts>
  <Company>Asthma and Allergy Research Institute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Manuscript Central set up:</dc:title>
  <dc:subject/>
  <dc:creator>Christel Norman</dc:creator>
  <cp:keywords/>
  <cp:lastModifiedBy>Deirdre Fitzgerald (22565324)</cp:lastModifiedBy>
  <cp:revision>2</cp:revision>
  <dcterms:created xsi:type="dcterms:W3CDTF">2020-10-30T09:32:00Z</dcterms:created>
  <dcterms:modified xsi:type="dcterms:W3CDTF">2020-10-30T09:32:00Z</dcterms:modified>
</cp:coreProperties>
</file>