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Supplementary Material</w:t>
      </w: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Figure S1. Baseline urine KIM-1 was not correlated with eGFR, global and segmental sclerosis, interstitial fibrosis or tubular atrophy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(A)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KIM-1*eGFR (Spearman’s rho=-0.01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=0.98)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(B)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KIM-1*Global Sclerosis (Spearman’s rho=-0.23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=0.26)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54230C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5496" cy="2121408"/>
                  <wp:effectExtent l="0" t="0" r="0" b="0"/>
                  <wp:docPr id="1" name="Picture 1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54230C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5496" cy="2121408"/>
                  <wp:effectExtent l="0" t="0" r="0" b="0"/>
                  <wp:docPr id="3" name="Picture 3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(C)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KIM-1*Segmental Sclerosis (Spearman’s rho=0.28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=0.17)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(D)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KIM-1*Intestinal fibrosis (Spearman’s rho=0.06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=0.72)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54230C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5496" cy="2121408"/>
                  <wp:effectExtent l="0" t="0" r="0" b="0"/>
                  <wp:docPr id="4" name="Picture 4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092F00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5496" cy="2121408"/>
                  <wp:effectExtent l="0" t="0" r="0" b="0"/>
                  <wp:docPr id="5" name="Picture 5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>(E)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 KIM-1*Tubular atrophy (Spearman’s rho=0.04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=0.81)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092F00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25496" cy="2121408"/>
                  <wp:effectExtent l="0" t="0" r="0" b="0"/>
                  <wp:docPr id="6" name="Picture 6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DD240E" w:rsidRPr="005A306A" w:rsidRDefault="00DD240E" w:rsidP="00DD240E">
      <w:pPr>
        <w:rPr>
          <w:rFonts w:cstheme="minorHAnsi"/>
        </w:rPr>
      </w:pPr>
      <w:r w:rsidRPr="005A306A">
        <w:rPr>
          <w:rFonts w:cstheme="minorHAnsi"/>
        </w:rPr>
        <w:lastRenderedPageBreak/>
        <w:t>KIM1, kidney injury molecule; uKIM-1/UCR, urine KIM-1/urine creatinine concentration</w:t>
      </w:r>
    </w:p>
    <w:p w:rsidR="00DD240E" w:rsidRPr="005A306A" w:rsidRDefault="00DD240E" w:rsidP="00DD240E">
      <w:pPr>
        <w:rPr>
          <w:rFonts w:cstheme="minorHAnsi"/>
        </w:rPr>
      </w:pPr>
      <w:r w:rsidRPr="005A306A">
        <w:rPr>
          <w:rFonts w:cstheme="minorHAnsi"/>
        </w:rPr>
        <w:br w:type="page"/>
      </w: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Figure S2. Baseline urine POSTN was not correlated with global and segmental sclerosis, interstitial fibrosis or tubular atrophy, foot process effacement or time to complete remission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(A)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POSTN*Global Sclerosis (Spearman’s rho=0.11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=0.61)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(B)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POSTN*Segmental Sclerosis (Spearman’s rho=0.31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=0.13)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0809DB36" wp14:editId="7D2B6960">
                  <wp:extent cx="2825496" cy="2121408"/>
                  <wp:effectExtent l="0" t="0" r="0" b="0"/>
                  <wp:docPr id="55" name="Picture 55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05768203" wp14:editId="2E666390">
                  <wp:extent cx="2825496" cy="2121408"/>
                  <wp:effectExtent l="0" t="0" r="0" b="0"/>
                  <wp:docPr id="56" name="Picture 56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(C) 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POSTN*Intestinal fibrosis (Spearman’s rho=0.31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=0.05)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>(D)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 POSTN *Tubular atrophy (Spearman’s rho=0.29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=0.06)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2906672D" wp14:editId="75B0F758">
                  <wp:extent cx="2825496" cy="2121408"/>
                  <wp:effectExtent l="0" t="0" r="0" b="0"/>
                  <wp:docPr id="57" name="Picture 57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210DEE8C" wp14:editId="2E8522D7">
                  <wp:extent cx="2825496" cy="2121408"/>
                  <wp:effectExtent l="0" t="0" r="0" b="0"/>
                  <wp:docPr id="58" name="Picture 58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(E) </w:t>
            </w:r>
            <w:r w:rsidRPr="005A306A">
              <w:rPr>
                <w:rFonts w:asciiTheme="minorHAnsi" w:hAnsiTheme="minorHAnsi" w:cstheme="minorHAnsi"/>
                <w:sz w:val="22"/>
              </w:rPr>
              <w:t>POSTN*Foot process effacement (Spearman’s rho=0.28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=0.11)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 xml:space="preserve">(F) </w:t>
            </w:r>
            <w:r w:rsidRPr="005A306A">
              <w:rPr>
                <w:rFonts w:asciiTheme="minorHAnsi" w:hAnsiTheme="minorHAnsi" w:cstheme="minorHAnsi"/>
                <w:sz w:val="22"/>
              </w:rPr>
              <w:t>POSTN*Time to complete remission (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=0.17)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44964B80" wp14:editId="54DB4C95">
                  <wp:extent cx="2825496" cy="2121408"/>
                  <wp:effectExtent l="0" t="0" r="0" b="0"/>
                  <wp:docPr id="11" name="Picture 11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7C15DD39" wp14:editId="6DD4BF87">
                  <wp:extent cx="2807208" cy="2103120"/>
                  <wp:effectExtent l="0" t="0" r="0" b="0"/>
                  <wp:docPr id="83" name="Picture 83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0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40E" w:rsidRPr="005A306A" w:rsidRDefault="00DD240E" w:rsidP="00DD240E">
      <w:pPr>
        <w:rPr>
          <w:rFonts w:cstheme="minorHAnsi"/>
        </w:rPr>
      </w:pPr>
      <w:r w:rsidRPr="005A306A">
        <w:rPr>
          <w:rFonts w:cstheme="minorHAnsi"/>
        </w:rPr>
        <w:t xml:space="preserve">POSTN, </w:t>
      </w:r>
      <w:proofErr w:type="spellStart"/>
      <w:r w:rsidRPr="005A306A">
        <w:rPr>
          <w:rFonts w:cstheme="minorHAnsi"/>
        </w:rPr>
        <w:t>Periostin</w:t>
      </w:r>
      <w:proofErr w:type="spellEnd"/>
      <w:r w:rsidRPr="005A306A">
        <w:rPr>
          <w:rFonts w:cstheme="minorHAnsi"/>
        </w:rPr>
        <w:t xml:space="preserve">; </w:t>
      </w:r>
      <w:proofErr w:type="spellStart"/>
      <w:r w:rsidRPr="005A306A">
        <w:rPr>
          <w:rFonts w:cstheme="minorHAnsi"/>
        </w:rPr>
        <w:t>uPN</w:t>
      </w:r>
      <w:proofErr w:type="spellEnd"/>
      <w:r w:rsidRPr="005A306A">
        <w:rPr>
          <w:rFonts w:cstheme="minorHAnsi"/>
        </w:rPr>
        <w:t xml:space="preserve">/UCR, urine </w:t>
      </w:r>
      <w:proofErr w:type="spellStart"/>
      <w:r w:rsidRPr="005A306A">
        <w:rPr>
          <w:rFonts w:cstheme="minorHAnsi"/>
        </w:rPr>
        <w:t>periostin</w:t>
      </w:r>
      <w:proofErr w:type="spellEnd"/>
      <w:r w:rsidRPr="005A306A">
        <w:rPr>
          <w:rFonts w:cstheme="minorHAnsi"/>
        </w:rPr>
        <w:t>/urine creatinine concentration</w:t>
      </w:r>
    </w:p>
    <w:p w:rsidR="00DD240E" w:rsidRPr="005A306A" w:rsidRDefault="00DD240E" w:rsidP="00DD240E">
      <w:pPr>
        <w:rPr>
          <w:rFonts w:cstheme="minorHAnsi"/>
        </w:rPr>
      </w:pPr>
      <w:r w:rsidRPr="005A306A">
        <w:rPr>
          <w:rFonts w:cstheme="minorHAnsi"/>
        </w:rPr>
        <w:br w:type="page"/>
      </w: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Figure S3 Glomerular KIM-1 expression was not correlated with interstitial fibrosis, tubular atrophy, or global sclerosis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KIM-1-Glom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=0.06 rho=0.19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KIM-1-Glom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=0.08 rho=0.18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15C48692" wp14:editId="2F6B5180">
                  <wp:extent cx="2825496" cy="2121408"/>
                  <wp:effectExtent l="0" t="0" r="0" b="0"/>
                  <wp:docPr id="59" name="Picture 59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432279C3" wp14:editId="1CA5F4A6">
                  <wp:extent cx="2825496" cy="2121408"/>
                  <wp:effectExtent l="0" t="0" r="0" b="0"/>
                  <wp:docPr id="60" name="Picture 60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KIM-1-Glom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=0.95 rho=-0.01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25A750BC" wp14:editId="1ED0FA44">
                  <wp:extent cx="2825496" cy="2121408"/>
                  <wp:effectExtent l="0" t="0" r="0" b="0"/>
                  <wp:docPr id="61" name="Picture 61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DD240E" w:rsidRPr="005A306A" w:rsidRDefault="00DD240E" w:rsidP="00DD240E">
      <w:pPr>
        <w:rPr>
          <w:rFonts w:cstheme="minorHAnsi"/>
          <w:b/>
        </w:rPr>
      </w:pP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br w:type="page"/>
      </w: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Figure S4. No relationship with POSTN expression and biopsy morphology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POSTN-TI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p=</w:t>
            </w:r>
            <w:r w:rsidRPr="005A306A">
              <w:rPr>
                <w:rFonts w:asciiTheme="minorHAnsi" w:hAnsiTheme="minorHAnsi" w:cstheme="minorHAnsi"/>
                <w:sz w:val="22"/>
              </w:rPr>
              <w:t>0.61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=0.19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521DBE7F" wp14:editId="5A21E607">
                  <wp:extent cx="2825496" cy="2121408"/>
                  <wp:effectExtent l="0" t="0" r="0" b="0"/>
                  <wp:docPr id="62" name="Picture 62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618276DA" wp14:editId="65168101">
                  <wp:extent cx="2825496" cy="2121408"/>
                  <wp:effectExtent l="0" t="0" r="0" b="0"/>
                  <wp:docPr id="9" name="Picture 9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>POSTN-TI p=0.05 rho=0.19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=0.96rho=0.01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2B5FEE36" wp14:editId="1A426835">
                  <wp:extent cx="2825496" cy="2121408"/>
                  <wp:effectExtent l="0" t="0" r="0" b="0"/>
                  <wp:docPr id="63" name="Picture 63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00A483E3" wp14:editId="42644BA5">
                  <wp:extent cx="2825496" cy="2121408"/>
                  <wp:effectExtent l="0" t="0" r="0" b="0"/>
                  <wp:docPr id="64" name="Picture 64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POSTN-TI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=0.06 rho=0.17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=0.92rho=-0.01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1CB6CAEB" wp14:editId="2B934D5F">
                  <wp:extent cx="2825496" cy="2121408"/>
                  <wp:effectExtent l="0" t="0" r="0" b="0"/>
                  <wp:docPr id="65" name="Picture 65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4D0C1199" wp14:editId="630BFD7C">
                  <wp:extent cx="2825496" cy="2121408"/>
                  <wp:effectExtent l="0" t="0" r="0" b="0"/>
                  <wp:docPr id="66" name="Picture 66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POSTN-TI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p=</w:t>
            </w:r>
            <w:r w:rsidRPr="005A306A">
              <w:rPr>
                <w:rFonts w:asciiTheme="minorHAnsi" w:hAnsiTheme="minorHAnsi" w:cstheme="minorHAnsi"/>
                <w:sz w:val="22"/>
              </w:rPr>
              <w:t>0.32 rho=0.12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 xml:space="preserve">POSTN-Glom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=0.32rho=0.15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5E087542" wp14:editId="05873E72">
                  <wp:extent cx="2825496" cy="2121408"/>
                  <wp:effectExtent l="0" t="0" r="0" b="0"/>
                  <wp:docPr id="67" name="Picture 67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30734A3F" wp14:editId="51F41A84">
                  <wp:extent cx="2825496" cy="2121408"/>
                  <wp:effectExtent l="0" t="0" r="0" b="0"/>
                  <wp:docPr id="68" name="Picture 68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</w:rPr>
        <w:t xml:space="preserve">Glom, glomerular; POSTN, </w:t>
      </w:r>
      <w:proofErr w:type="spellStart"/>
      <w:r w:rsidRPr="005A306A">
        <w:rPr>
          <w:rFonts w:cstheme="minorHAnsi"/>
        </w:rPr>
        <w:t>Periostin</w:t>
      </w:r>
      <w:proofErr w:type="spellEnd"/>
      <w:r w:rsidRPr="005A306A">
        <w:rPr>
          <w:rFonts w:cstheme="minorHAnsi"/>
        </w:rPr>
        <w:t>; TI, tubulointerstitial;</w:t>
      </w:r>
      <w:r w:rsidRPr="005A306A">
        <w:rPr>
          <w:rFonts w:cstheme="minorHAnsi"/>
          <w:b/>
        </w:rPr>
        <w:br w:type="page"/>
      </w:r>
    </w:p>
    <w:p w:rsidR="00DD240E" w:rsidRPr="005A306A" w:rsidRDefault="00DD240E" w:rsidP="00DD240E">
      <w:pPr>
        <w:rPr>
          <w:rFonts w:cstheme="minorHAnsi"/>
          <w:b/>
        </w:rPr>
      </w:pPr>
      <w:r w:rsidRPr="005A306A">
        <w:rPr>
          <w:rFonts w:cstheme="minorHAnsi"/>
          <w:b/>
        </w:rPr>
        <w:t>Figure S5 The relationship between UACR and KIM-1 and POSTN expression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sz w:val="22"/>
              </w:rPr>
              <w:t>(</w:t>
            </w:r>
            <w:r w:rsidRPr="005A306A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) KIM-1-TI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&lt;0.001 rho=0.35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>(B)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 KIM-1-Glom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=0.02 rho=0.25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1CAA2CAC" wp14:editId="4780797B">
                  <wp:extent cx="2825496" cy="2121408"/>
                  <wp:effectExtent l="0" t="0" r="0" b="0"/>
                  <wp:docPr id="69" name="Picture 69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26C149F6" wp14:editId="603F39E2">
                  <wp:extent cx="2825496" cy="2121408"/>
                  <wp:effectExtent l="0" t="0" r="0" b="0"/>
                  <wp:docPr id="70" name="Picture 70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>(C)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 POSTN-TI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p=</w:t>
            </w:r>
            <w:r w:rsidRPr="005A306A">
              <w:rPr>
                <w:rFonts w:asciiTheme="minorHAnsi" w:hAnsiTheme="minorHAnsi" w:cstheme="minorHAnsi"/>
                <w:sz w:val="22"/>
              </w:rPr>
              <w:t>0.02 rho=0.24</w:t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asciiTheme="minorHAnsi" w:hAnsiTheme="minorHAnsi" w:cstheme="minorHAnsi"/>
                <w:b/>
                <w:sz w:val="22"/>
              </w:rPr>
              <w:t>(D)</w:t>
            </w:r>
            <w:r w:rsidRPr="005A306A">
              <w:rPr>
                <w:rFonts w:asciiTheme="minorHAnsi" w:hAnsiTheme="minorHAnsi" w:cstheme="minorHAnsi"/>
                <w:sz w:val="22"/>
              </w:rPr>
              <w:t xml:space="preserve"> POSTN-Glom </w:t>
            </w:r>
            <w:r w:rsidRPr="005A306A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5A306A">
              <w:rPr>
                <w:rFonts w:asciiTheme="minorHAnsi" w:hAnsiTheme="minorHAnsi" w:cstheme="minorHAnsi"/>
                <w:sz w:val="22"/>
              </w:rPr>
              <w:t>=0.94 rho=0.01</w:t>
            </w:r>
          </w:p>
        </w:tc>
      </w:tr>
      <w:tr w:rsidR="00DD240E" w:rsidRPr="005A306A" w:rsidTr="00CC6688"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749C72EF" wp14:editId="30F220E1">
                  <wp:extent cx="2825496" cy="2121408"/>
                  <wp:effectExtent l="0" t="0" r="0" b="0"/>
                  <wp:docPr id="71" name="Picture 71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240E" w:rsidRPr="005A306A" w:rsidRDefault="00DD240E" w:rsidP="00CC6688">
            <w:pPr>
              <w:rPr>
                <w:rFonts w:asciiTheme="minorHAnsi" w:hAnsiTheme="minorHAnsi" w:cstheme="minorHAnsi"/>
                <w:sz w:val="22"/>
              </w:rPr>
            </w:pPr>
            <w:r w:rsidRPr="005A306A">
              <w:rPr>
                <w:rFonts w:cstheme="minorHAnsi"/>
                <w:noProof/>
                <w:color w:val="000000"/>
              </w:rPr>
              <w:drawing>
                <wp:inline distT="0" distB="0" distL="0" distR="0" wp14:anchorId="53E41A80" wp14:editId="70D97444">
                  <wp:extent cx="2825496" cy="2121408"/>
                  <wp:effectExtent l="0" t="0" r="0" b="0"/>
                  <wp:docPr id="72" name="Picture 72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40E" w:rsidRPr="005A306A" w:rsidRDefault="00DD240E" w:rsidP="00DD240E">
      <w:pPr>
        <w:rPr>
          <w:rFonts w:cstheme="minorHAnsi"/>
        </w:rPr>
      </w:pPr>
      <w:r w:rsidRPr="005A306A">
        <w:rPr>
          <w:rFonts w:cstheme="minorHAnsi"/>
        </w:rPr>
        <w:t xml:space="preserve">Glom, glomerular; KIM-1, kidney injury molecule-1; POSTN, </w:t>
      </w:r>
      <w:proofErr w:type="spellStart"/>
      <w:r w:rsidRPr="005A306A">
        <w:rPr>
          <w:rFonts w:cstheme="minorHAnsi"/>
        </w:rPr>
        <w:t>Periostin</w:t>
      </w:r>
      <w:proofErr w:type="spellEnd"/>
      <w:r w:rsidRPr="005A306A">
        <w:rPr>
          <w:rFonts w:cstheme="minorHAnsi"/>
        </w:rPr>
        <w:t>; TI, tubulointerstitial;</w:t>
      </w:r>
    </w:p>
    <w:p w:rsidR="00DD240E" w:rsidRPr="005A306A" w:rsidRDefault="00DD240E" w:rsidP="00DD240E">
      <w:pPr>
        <w:rPr>
          <w:rFonts w:cstheme="minorHAnsi"/>
          <w:b/>
        </w:rPr>
      </w:pPr>
    </w:p>
    <w:p w:rsidR="00742B77" w:rsidRPr="005A306A" w:rsidRDefault="00742B77">
      <w:pPr>
        <w:rPr>
          <w:rFonts w:cstheme="minorHAnsi"/>
          <w:b/>
        </w:rPr>
      </w:pPr>
      <w:r w:rsidRPr="005A306A">
        <w:rPr>
          <w:rFonts w:cstheme="minorHAnsi"/>
          <w:b/>
        </w:rPr>
        <w:br w:type="page"/>
      </w:r>
    </w:p>
    <w:p w:rsidR="005A306A" w:rsidRPr="009D00C3" w:rsidRDefault="005A306A" w:rsidP="005A306A">
      <w:pPr>
        <w:rPr>
          <w:rFonts w:cstheme="minorHAnsi"/>
          <w:b/>
        </w:rPr>
      </w:pPr>
      <w:r w:rsidRPr="009D00C3">
        <w:rPr>
          <w:rFonts w:cstheme="minorHAnsi"/>
          <w:b/>
        </w:rPr>
        <w:t xml:space="preserve">Table </w:t>
      </w:r>
      <w:r>
        <w:rPr>
          <w:rFonts w:cstheme="minorHAnsi"/>
          <w:b/>
        </w:rPr>
        <w:t>S1</w:t>
      </w:r>
      <w:r w:rsidRPr="009D00C3">
        <w:rPr>
          <w:rFonts w:cstheme="minorHAnsi"/>
          <w:b/>
        </w:rPr>
        <w:t>. Descriptive characteristics of high and low urinary KIM-1 (median split)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Characteristic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Low KIM1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High KIM1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i/>
                <w:sz w:val="22"/>
              </w:rPr>
              <w:t>p</w:t>
            </w:r>
            <w:r w:rsidRPr="009D00C3">
              <w:rPr>
                <w:rFonts w:asciiTheme="minorHAnsi" w:hAnsiTheme="minorHAnsi" w:cstheme="minorHAnsi"/>
                <w:sz w:val="22"/>
              </w:rPr>
              <w:t>-value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Age at baseline, median (IQR)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38 (24, 57)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43 (29, 47)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0.73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Children (age &lt;18),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 (16)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3 (12)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Female,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12 (48)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11 (44)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0.78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Race,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0.50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Asian/Asian American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2 (8)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5 (20)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Black/African American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7 (28)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6 (24)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White/Caucasian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13 (52)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13 (52)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3 (12)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 (4)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Diagnosis,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0.16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Minimal change disease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6 (24)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2 (8)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 xml:space="preserve">Focal segmental glomerulosclerosis 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12 (48)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9 (36)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Membranous nephropathy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3 (12)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8 (32)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 xml:space="preserve">Other </w:t>
            </w:r>
            <w:proofErr w:type="spellStart"/>
            <w:r w:rsidRPr="009D00C3">
              <w:rPr>
                <w:rFonts w:asciiTheme="minorHAnsi" w:hAnsiTheme="minorHAnsi" w:cstheme="minorHAnsi"/>
                <w:sz w:val="22"/>
              </w:rPr>
              <w:t>glomerulopathy</w:t>
            </w:r>
            <w:proofErr w:type="spellEnd"/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 (16)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6 (24)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Urine protein: creatinine ratio at eligibility (g/g), median (IQR)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1.3 (0.9, 2.9)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5.3 (2.5, 11.7)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&lt;0.001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&gt;3.0g/g,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6 (24)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18 (72)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eGFR at baseline (mL/min/1.73m</w:t>
            </w:r>
            <w:r w:rsidRPr="009D00C3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9D00C3">
              <w:rPr>
                <w:rFonts w:asciiTheme="minorHAnsi" w:hAnsiTheme="minorHAnsi" w:cstheme="minorHAnsi"/>
                <w:sz w:val="22"/>
              </w:rPr>
              <w:t>), median (IQR)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74 (33, 97)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76 (44 to 102)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0.58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Treatment after baseline, n (%)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Steroids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 (16)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10 (40)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0.06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Calcineurin inhibitors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 (4)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 (16)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0.16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Mycophenolate mofetil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2 (8)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5 (20)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0.22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ind w:firstLine="157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Cyclophosphamide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 (0)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1 (4)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0.31</w:t>
            </w:r>
          </w:p>
        </w:tc>
      </w:tr>
      <w:tr w:rsidR="005A306A" w:rsidRPr="009D00C3" w:rsidTr="00587A21">
        <w:tc>
          <w:tcPr>
            <w:tcW w:w="4675" w:type="dxa"/>
          </w:tcPr>
          <w:p w:rsidR="005A306A" w:rsidRPr="009D00C3" w:rsidRDefault="005A306A" w:rsidP="00587A21">
            <w:pPr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Total months of follow-up, median (IQR)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30 (13, 53)</w:t>
            </w:r>
          </w:p>
        </w:tc>
        <w:tc>
          <w:tcPr>
            <w:tcW w:w="1558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44 (23, 54)</w:t>
            </w:r>
          </w:p>
        </w:tc>
        <w:tc>
          <w:tcPr>
            <w:tcW w:w="1559" w:type="dxa"/>
          </w:tcPr>
          <w:p w:rsidR="005A306A" w:rsidRPr="009D00C3" w:rsidRDefault="005A306A" w:rsidP="00587A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00C3">
              <w:rPr>
                <w:rFonts w:asciiTheme="minorHAnsi" w:hAnsiTheme="minorHAnsi" w:cstheme="minorHAnsi"/>
                <w:sz w:val="22"/>
              </w:rPr>
              <w:t>0.39</w:t>
            </w:r>
          </w:p>
        </w:tc>
      </w:tr>
    </w:tbl>
    <w:p w:rsidR="005A306A" w:rsidRPr="009D00C3" w:rsidRDefault="005A306A" w:rsidP="005A306A">
      <w:pPr>
        <w:rPr>
          <w:rFonts w:cstheme="minorHAnsi"/>
        </w:rPr>
      </w:pPr>
      <w:r w:rsidRPr="009D00C3">
        <w:rPr>
          <w:rFonts w:cstheme="minorHAnsi"/>
        </w:rPr>
        <w:t>eGFR, estimated glomerular filtration rate; IQR, interquartile range; NEPTUNE, Nephrotic Syndrome Study Network</w:t>
      </w:r>
    </w:p>
    <w:p w:rsidR="005A306A" w:rsidRDefault="005A306A">
      <w:pPr>
        <w:rPr>
          <w:rFonts w:cstheme="minorHAnsi"/>
          <w:b/>
        </w:rPr>
      </w:pPr>
      <w:r w:rsidRPr="009D00C3">
        <w:rPr>
          <w:rFonts w:cstheme="minorHAnsi"/>
          <w:b/>
        </w:rPr>
        <w:br w:type="page"/>
      </w:r>
    </w:p>
    <w:p w:rsidR="00DD240E" w:rsidRPr="005A306A" w:rsidRDefault="005A306A" w:rsidP="00DD240E">
      <w:pPr>
        <w:rPr>
          <w:rFonts w:cstheme="minorHAnsi"/>
          <w:b/>
        </w:rPr>
      </w:pPr>
      <w:r>
        <w:rPr>
          <w:rFonts w:cstheme="minorHAnsi"/>
          <w:b/>
        </w:rPr>
        <w:t>Table S2</w:t>
      </w:r>
      <w:r w:rsidR="00742B77" w:rsidRPr="005A306A">
        <w:rPr>
          <w:rFonts w:cstheme="minorHAnsi"/>
          <w:b/>
        </w:rPr>
        <w:t xml:space="preserve">. Spearman correlation of glomerular and tubular KIM1, POSTN, and MCP1 expression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106"/>
        <w:gridCol w:w="1037"/>
        <w:gridCol w:w="1100"/>
        <w:gridCol w:w="1038"/>
        <w:gridCol w:w="1038"/>
        <w:gridCol w:w="1100"/>
        <w:gridCol w:w="1038"/>
      </w:tblGrid>
      <w:tr w:rsidR="0066136A" w:rsidRPr="005A306A" w:rsidTr="0066136A">
        <w:tc>
          <w:tcPr>
            <w:tcW w:w="2999" w:type="dxa"/>
            <w:gridSpan w:val="2"/>
            <w:vMerge w:val="restart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gridSpan w:val="3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Glomerular</w:t>
            </w:r>
          </w:p>
        </w:tc>
        <w:tc>
          <w:tcPr>
            <w:tcW w:w="3176" w:type="dxa"/>
            <w:gridSpan w:val="3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Tubulointerstitial</w:t>
            </w:r>
          </w:p>
        </w:tc>
      </w:tr>
      <w:tr w:rsidR="0066136A" w:rsidRPr="005A306A" w:rsidTr="0066136A">
        <w:tc>
          <w:tcPr>
            <w:tcW w:w="2999" w:type="dxa"/>
            <w:gridSpan w:val="2"/>
            <w:vMerge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KIM-1</w:t>
            </w:r>
          </w:p>
        </w:tc>
        <w:tc>
          <w:tcPr>
            <w:tcW w:w="1100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POSTN</w:t>
            </w:r>
          </w:p>
        </w:tc>
        <w:tc>
          <w:tcPr>
            <w:tcW w:w="1038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MCP-1</w:t>
            </w:r>
          </w:p>
        </w:tc>
        <w:tc>
          <w:tcPr>
            <w:tcW w:w="1038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KIM-1</w:t>
            </w:r>
          </w:p>
        </w:tc>
        <w:tc>
          <w:tcPr>
            <w:tcW w:w="1100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POSTN</w:t>
            </w:r>
          </w:p>
        </w:tc>
        <w:tc>
          <w:tcPr>
            <w:tcW w:w="1038" w:type="dxa"/>
          </w:tcPr>
          <w:p w:rsidR="0066136A" w:rsidRPr="005A306A" w:rsidRDefault="0066136A" w:rsidP="00976BF9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MCP-1</w:t>
            </w:r>
          </w:p>
        </w:tc>
      </w:tr>
      <w:tr w:rsidR="003E2D82" w:rsidRPr="005A306A" w:rsidTr="003E2D82">
        <w:tc>
          <w:tcPr>
            <w:tcW w:w="1893" w:type="dxa"/>
            <w:vMerge w:val="restart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Glomerular</w:t>
            </w: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KIM-1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-0.22*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A81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0.53*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0.33*</w:t>
            </w:r>
          </w:p>
        </w:tc>
      </w:tr>
      <w:tr w:rsidR="003E2D82" w:rsidRPr="005A306A" w:rsidTr="003E2D82">
        <w:tc>
          <w:tcPr>
            <w:tcW w:w="1893" w:type="dxa"/>
            <w:vMerge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POSTN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-0.22*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</w:tr>
      <w:tr w:rsidR="003E2D82" w:rsidRPr="005A306A" w:rsidTr="003E2D82">
        <w:tc>
          <w:tcPr>
            <w:tcW w:w="1893" w:type="dxa"/>
            <w:vMerge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MCP-1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0.33*</w:t>
            </w:r>
          </w:p>
        </w:tc>
      </w:tr>
      <w:tr w:rsidR="003E2D82" w:rsidRPr="005A306A" w:rsidTr="003E2D82">
        <w:tc>
          <w:tcPr>
            <w:tcW w:w="1893" w:type="dxa"/>
            <w:vMerge w:val="restart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Tubulointerstitial</w:t>
            </w: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KIM-1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3DA81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27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0.67*</w:t>
            </w:r>
          </w:p>
        </w:tc>
      </w:tr>
      <w:tr w:rsidR="003E2D82" w:rsidRPr="005A306A" w:rsidTr="003E2D82">
        <w:tc>
          <w:tcPr>
            <w:tcW w:w="1893" w:type="dxa"/>
            <w:vMerge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POSTN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082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0.43*</w:t>
            </w:r>
          </w:p>
        </w:tc>
      </w:tr>
      <w:tr w:rsidR="003E2D82" w:rsidRPr="005A306A" w:rsidTr="003E2D82">
        <w:tc>
          <w:tcPr>
            <w:tcW w:w="1893" w:type="dxa"/>
            <w:vMerge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3E2D82" w:rsidRPr="005A306A" w:rsidRDefault="003E2D82" w:rsidP="003E2D82">
            <w:pPr>
              <w:pStyle w:val="PlainText"/>
              <w:rPr>
                <w:rFonts w:asciiTheme="minorHAnsi" w:hAnsiTheme="minorHAnsi" w:cstheme="minorHAnsi"/>
              </w:rPr>
            </w:pPr>
            <w:r w:rsidRPr="005A306A">
              <w:rPr>
                <w:rFonts w:asciiTheme="minorHAnsi" w:hAnsiTheme="minorHAnsi" w:cstheme="minorHAnsi"/>
              </w:rPr>
              <w:t>MCP-1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27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082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F"/>
            <w:vAlign w:val="center"/>
          </w:tcPr>
          <w:p w:rsidR="003E2D82" w:rsidRDefault="003E2D82" w:rsidP="003E2D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</w:tbl>
    <w:p w:rsidR="00742B77" w:rsidRPr="0066136A" w:rsidRDefault="0066136A" w:rsidP="00DD240E">
      <w:pPr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i/>
        </w:rPr>
        <w:t>p</w:t>
      </w:r>
      <w:r>
        <w:rPr>
          <w:rFonts w:cstheme="minorHAnsi"/>
        </w:rPr>
        <w:t>&lt;0.05</w:t>
      </w:r>
    </w:p>
    <w:p w:rsidR="009D3A29" w:rsidRPr="005A306A" w:rsidRDefault="009D3A29">
      <w:pPr>
        <w:rPr>
          <w:rFonts w:cstheme="minorHAnsi"/>
        </w:rPr>
      </w:pPr>
      <w:bookmarkStart w:id="0" w:name="_GoBack"/>
      <w:bookmarkEnd w:id="0"/>
    </w:p>
    <w:sectPr w:rsidR="009D3A29" w:rsidRPr="005A306A" w:rsidSect="00AF4BFB">
      <w:footerReference w:type="default" r:id="rId32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F4" w:rsidRDefault="007E2852">
      <w:pPr>
        <w:spacing w:after="0" w:line="240" w:lineRule="auto"/>
      </w:pPr>
      <w:r>
        <w:separator/>
      </w:r>
    </w:p>
  </w:endnote>
  <w:endnote w:type="continuationSeparator" w:id="0">
    <w:p w:rsidR="00B558F4" w:rsidRDefault="007E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C6E" w:rsidRDefault="00DD2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4C6E" w:rsidRPr="0071588A" w:rsidRDefault="002A781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F4" w:rsidRDefault="007E2852">
      <w:pPr>
        <w:spacing w:after="0" w:line="240" w:lineRule="auto"/>
      </w:pPr>
      <w:r>
        <w:separator/>
      </w:r>
    </w:p>
  </w:footnote>
  <w:footnote w:type="continuationSeparator" w:id="0">
    <w:p w:rsidR="00B558F4" w:rsidRDefault="007E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E"/>
    <w:rsid w:val="00092F00"/>
    <w:rsid w:val="001B69AF"/>
    <w:rsid w:val="002A781A"/>
    <w:rsid w:val="002D4BBB"/>
    <w:rsid w:val="003E2D82"/>
    <w:rsid w:val="00457FB5"/>
    <w:rsid w:val="00472173"/>
    <w:rsid w:val="0054230C"/>
    <w:rsid w:val="005A306A"/>
    <w:rsid w:val="0066136A"/>
    <w:rsid w:val="00742B77"/>
    <w:rsid w:val="007E2852"/>
    <w:rsid w:val="00802BF5"/>
    <w:rsid w:val="009D3A29"/>
    <w:rsid w:val="00B558F4"/>
    <w:rsid w:val="00B903B7"/>
    <w:rsid w:val="00BC7FAF"/>
    <w:rsid w:val="00DD240E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BBA8F"/>
  <w14:defaultImageDpi w14:val="330"/>
  <w15:chartTrackingRefBased/>
  <w15:docId w15:val="{EDBB1B2D-7A21-4A27-89E7-EF0C112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0E"/>
  </w:style>
  <w:style w:type="paragraph" w:styleId="Heading1">
    <w:name w:val="heading 1"/>
    <w:basedOn w:val="Normal"/>
    <w:next w:val="Normal"/>
    <w:link w:val="Heading1Char"/>
    <w:uiPriority w:val="9"/>
    <w:qFormat/>
    <w:rsid w:val="002D4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4BBB"/>
    <w:pPr>
      <w:spacing w:after="200" w:line="240" w:lineRule="auto"/>
    </w:pPr>
    <w:rPr>
      <w:b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BB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3B7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0E"/>
  </w:style>
  <w:style w:type="table" w:styleId="TableGrid">
    <w:name w:val="Table Grid"/>
    <w:basedOn w:val="TableNormal"/>
    <w:uiPriority w:val="39"/>
    <w:rsid w:val="00DD240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42B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B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Troost, Jonathan</dc:creator>
  <cp:keywords/>
  <dc:description/>
  <cp:lastModifiedBy>Troost, Jonathan</cp:lastModifiedBy>
  <cp:revision>3</cp:revision>
  <cp:lastPrinted>2019-11-11T20:46:00Z</cp:lastPrinted>
  <dcterms:created xsi:type="dcterms:W3CDTF">2020-07-21T19:49:00Z</dcterms:created>
  <dcterms:modified xsi:type="dcterms:W3CDTF">2020-10-03T02:15:00Z</dcterms:modified>
</cp:coreProperties>
</file>