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9BC4" w14:textId="77777777" w:rsidR="00B00757" w:rsidRPr="005F4FBF" w:rsidRDefault="008A25BB">
      <w:pPr>
        <w:pStyle w:val="CorpoA"/>
        <w:spacing w:line="480" w:lineRule="auto"/>
        <w:rPr>
          <w:rFonts w:ascii="Times New Roman" w:eastAsia="Times New Roman" w:hAnsi="Times New Roman" w:cs="Times New Roman"/>
          <w:b/>
          <w:bCs/>
          <w:sz w:val="24"/>
          <w:szCs w:val="24"/>
        </w:rPr>
      </w:pPr>
      <w:r w:rsidRPr="005F4FBF">
        <w:rPr>
          <w:rFonts w:ascii="Times New Roman" w:hAnsi="Times New Roman"/>
          <w:b/>
          <w:bCs/>
          <w:sz w:val="24"/>
          <w:szCs w:val="24"/>
        </w:rPr>
        <w:t>Neonatal-onset Familial Mediterranean Fever in an infant with human parainfluenza virus 4 infection</w:t>
      </w:r>
    </w:p>
    <w:p w14:paraId="1CDC9681" w14:textId="77777777" w:rsidR="00B00757" w:rsidRPr="005F4FBF" w:rsidRDefault="00B00757">
      <w:pPr>
        <w:pStyle w:val="CorpoA"/>
        <w:spacing w:line="480" w:lineRule="auto"/>
        <w:rPr>
          <w:rFonts w:ascii="Times New Roman" w:eastAsia="Times New Roman" w:hAnsi="Times New Roman" w:cs="Times New Roman"/>
          <w:sz w:val="24"/>
          <w:szCs w:val="24"/>
        </w:rPr>
      </w:pPr>
    </w:p>
    <w:p w14:paraId="5586A6B5" w14:textId="77777777" w:rsidR="00B00757" w:rsidRPr="005F4FBF" w:rsidRDefault="00B00757">
      <w:pPr>
        <w:pStyle w:val="CorpoA"/>
        <w:spacing w:line="480" w:lineRule="auto"/>
        <w:rPr>
          <w:rFonts w:ascii="Times New Roman" w:eastAsia="Times New Roman" w:hAnsi="Times New Roman" w:cs="Times New Roman"/>
          <w:sz w:val="24"/>
          <w:szCs w:val="24"/>
        </w:rPr>
      </w:pPr>
    </w:p>
    <w:p w14:paraId="29B65169" w14:textId="77777777" w:rsidR="00B00757" w:rsidRPr="005F4FBF" w:rsidRDefault="008A25BB">
      <w:pPr>
        <w:pStyle w:val="CorpoB"/>
        <w:spacing w:line="480" w:lineRule="auto"/>
      </w:pPr>
      <w:r w:rsidRPr="005F4FBF">
        <w:t xml:space="preserve">Alexandre </w:t>
      </w:r>
      <w:proofErr w:type="spellStart"/>
      <w:r w:rsidRPr="005F4FBF">
        <w:t>Michev</w:t>
      </w:r>
      <w:proofErr w:type="spellEnd"/>
      <w:r w:rsidRPr="005F4FBF">
        <w:t>, MD</w:t>
      </w:r>
      <w:r w:rsidRPr="005F4FBF">
        <w:rPr>
          <w:vertAlign w:val="superscript"/>
        </w:rPr>
        <w:t>§</w:t>
      </w:r>
      <w:r w:rsidRPr="005F4FBF">
        <w:t>, Alessandro Borghesi, MD, PhD</w:t>
      </w:r>
      <w:r w:rsidRPr="005F4FBF">
        <w:rPr>
          <w:vertAlign w:val="superscript"/>
        </w:rPr>
        <w:t>§</w:t>
      </w:r>
      <w:r w:rsidRPr="005F4FBF">
        <w:t xml:space="preserve">, Caterina </w:t>
      </w:r>
      <w:proofErr w:type="spellStart"/>
      <w:r w:rsidRPr="005F4FBF">
        <w:t>Tretti</w:t>
      </w:r>
      <w:proofErr w:type="spellEnd"/>
      <w:r w:rsidRPr="005F4FBF">
        <w:t xml:space="preserve">, Maddalena Martella, PhD, Amelia Di Comite, MD, Alessandra Biffi, MD, PhD, Antonio </w:t>
      </w:r>
      <w:proofErr w:type="spellStart"/>
      <w:r w:rsidRPr="005F4FBF">
        <w:t>Marzollo</w:t>
      </w:r>
      <w:proofErr w:type="spellEnd"/>
      <w:r w:rsidRPr="005F4FBF">
        <w:t>, MD*, Silvia Bresolin, PhD*</w:t>
      </w:r>
    </w:p>
    <w:p w14:paraId="525DF2F3" w14:textId="77777777" w:rsidR="00B00757" w:rsidRPr="005F4FBF" w:rsidRDefault="00B00757">
      <w:pPr>
        <w:pStyle w:val="CorpoA"/>
        <w:spacing w:line="480" w:lineRule="auto"/>
        <w:rPr>
          <w:rFonts w:ascii="Times New Roman" w:eastAsia="Times New Roman" w:hAnsi="Times New Roman" w:cs="Times New Roman"/>
          <w:b/>
          <w:bCs/>
          <w:sz w:val="24"/>
          <w:szCs w:val="24"/>
          <w:lang w:val="it-IT"/>
        </w:rPr>
      </w:pPr>
    </w:p>
    <w:p w14:paraId="793E2AE4" w14:textId="77777777" w:rsidR="00B00757" w:rsidRPr="005F4FBF" w:rsidRDefault="00B00757">
      <w:pPr>
        <w:pStyle w:val="CorpoA"/>
        <w:spacing w:line="480" w:lineRule="auto"/>
        <w:rPr>
          <w:rFonts w:ascii="Times New Roman" w:eastAsia="Times New Roman" w:hAnsi="Times New Roman" w:cs="Times New Roman"/>
          <w:b/>
          <w:bCs/>
          <w:sz w:val="24"/>
          <w:szCs w:val="24"/>
          <w:lang w:val="it-IT"/>
        </w:rPr>
      </w:pPr>
    </w:p>
    <w:p w14:paraId="61006C21" w14:textId="77777777" w:rsidR="00B00757" w:rsidRPr="005F4FBF" w:rsidRDefault="008A25BB">
      <w:pPr>
        <w:pStyle w:val="CorpoB"/>
        <w:spacing w:line="480" w:lineRule="auto"/>
        <w:rPr>
          <w:lang w:val="en-US"/>
        </w:rPr>
      </w:pPr>
      <w:proofErr w:type="gramStart"/>
      <w:r w:rsidRPr="005F4FBF">
        <w:rPr>
          <w:vertAlign w:val="superscript"/>
          <w:lang w:val="en-US"/>
        </w:rPr>
        <w:t>§,</w:t>
      </w:r>
      <w:r w:rsidRPr="005F4FBF">
        <w:rPr>
          <w:lang w:val="en-US"/>
        </w:rPr>
        <w:t>*</w:t>
      </w:r>
      <w:proofErr w:type="gramEnd"/>
      <w:r w:rsidRPr="005F4FBF">
        <w:rPr>
          <w:lang w:val="en-US"/>
        </w:rPr>
        <w:t xml:space="preserve"> equal contributions</w:t>
      </w:r>
    </w:p>
    <w:p w14:paraId="68411F34" w14:textId="77777777" w:rsidR="00B00757" w:rsidRPr="005F4FBF" w:rsidRDefault="00B00757">
      <w:pPr>
        <w:pStyle w:val="CorpoA"/>
        <w:spacing w:line="480" w:lineRule="auto"/>
        <w:rPr>
          <w:rFonts w:ascii="Times New Roman" w:eastAsia="Times New Roman" w:hAnsi="Times New Roman" w:cs="Times New Roman"/>
          <w:b/>
          <w:bCs/>
          <w:sz w:val="24"/>
          <w:szCs w:val="24"/>
        </w:rPr>
      </w:pPr>
    </w:p>
    <w:p w14:paraId="2556F957" w14:textId="77777777" w:rsidR="00B00757" w:rsidRPr="005F4FBF" w:rsidRDefault="00B00757">
      <w:pPr>
        <w:pStyle w:val="CorpoA"/>
        <w:spacing w:line="480" w:lineRule="auto"/>
        <w:rPr>
          <w:rFonts w:ascii="Times New Roman" w:eastAsia="Times New Roman" w:hAnsi="Times New Roman" w:cs="Times New Roman"/>
          <w:b/>
          <w:bCs/>
          <w:sz w:val="24"/>
          <w:szCs w:val="24"/>
        </w:rPr>
      </w:pPr>
    </w:p>
    <w:p w14:paraId="14A84438" w14:textId="77777777" w:rsidR="00B00757" w:rsidRPr="005F4FBF" w:rsidRDefault="00B00757">
      <w:pPr>
        <w:pStyle w:val="CorpoA"/>
        <w:spacing w:line="480" w:lineRule="auto"/>
        <w:rPr>
          <w:rFonts w:ascii="Times New Roman" w:eastAsia="Times New Roman" w:hAnsi="Times New Roman" w:cs="Times New Roman"/>
          <w:b/>
          <w:bCs/>
          <w:sz w:val="24"/>
          <w:szCs w:val="24"/>
        </w:rPr>
      </w:pPr>
    </w:p>
    <w:p w14:paraId="164DC202" w14:textId="77777777" w:rsidR="00B00757" w:rsidRPr="005F4FBF" w:rsidRDefault="008A25BB">
      <w:pPr>
        <w:pStyle w:val="CorpoA"/>
        <w:spacing w:line="480" w:lineRule="auto"/>
        <w:jc w:val="center"/>
        <w:rPr>
          <w:rFonts w:ascii="Times New Roman" w:eastAsia="Times New Roman" w:hAnsi="Times New Roman" w:cs="Times New Roman"/>
          <w:b/>
          <w:bCs/>
          <w:sz w:val="24"/>
          <w:szCs w:val="24"/>
        </w:rPr>
      </w:pPr>
      <w:r w:rsidRPr="005F4FBF">
        <w:rPr>
          <w:rFonts w:ascii="Times New Roman" w:hAnsi="Times New Roman"/>
          <w:b/>
          <w:bCs/>
          <w:sz w:val="24"/>
          <w:szCs w:val="24"/>
        </w:rPr>
        <w:t>Online supplementary material</w:t>
      </w:r>
    </w:p>
    <w:p w14:paraId="401879E7" w14:textId="1AC8058B" w:rsidR="00B00757" w:rsidRPr="005F4FBF" w:rsidRDefault="00B00757">
      <w:pPr>
        <w:pStyle w:val="CorpoC"/>
        <w:spacing w:line="480" w:lineRule="auto"/>
        <w:rPr>
          <w:lang w:val="en-US"/>
        </w:rPr>
      </w:pPr>
    </w:p>
    <w:p w14:paraId="212E3FB9" w14:textId="064F54B5" w:rsidR="00A13E1F" w:rsidRPr="005F4FBF" w:rsidRDefault="00A13E1F" w:rsidP="00A13E1F">
      <w:pPr>
        <w:rPr>
          <w:rFonts w:eastAsia="Times New Roman"/>
          <w:color w:val="000000"/>
          <w:u w:color="000000"/>
          <w:lang w:eastAsia="en-GB"/>
          <w14:textOutline w14:w="12700" w14:cap="flat" w14:cmpd="sng" w14:algn="ctr">
            <w14:noFill/>
            <w14:prstDash w14:val="solid"/>
            <w14:miter w14:lim="400000"/>
          </w14:textOutline>
        </w:rPr>
      </w:pPr>
      <w:r w:rsidRPr="005F4FBF">
        <w:br w:type="page"/>
      </w:r>
    </w:p>
    <w:p w14:paraId="06096F15" w14:textId="77777777" w:rsidR="00B00757" w:rsidRPr="005F4FBF" w:rsidRDefault="008A25BB">
      <w:pPr>
        <w:pStyle w:val="CorpoC"/>
        <w:spacing w:line="480" w:lineRule="auto"/>
        <w:rPr>
          <w:b/>
          <w:bCs/>
          <w:lang w:val="en-US"/>
        </w:rPr>
      </w:pPr>
      <w:r w:rsidRPr="005F4FBF">
        <w:rPr>
          <w:b/>
          <w:bCs/>
          <w:lang w:val="en-US"/>
        </w:rPr>
        <w:lastRenderedPageBreak/>
        <w:t xml:space="preserve">Supplementary figure 1. Patient’s clinical course during the first hospital stay in neonatal intensive care unit (NICU). </w:t>
      </w:r>
    </w:p>
    <w:p w14:paraId="32F73C24" w14:textId="4C8B8798" w:rsidR="00B00757" w:rsidRPr="005F4FBF" w:rsidRDefault="03181FAF">
      <w:pPr>
        <w:pStyle w:val="CorpoC"/>
        <w:spacing w:line="480" w:lineRule="auto"/>
        <w:rPr>
          <w:lang w:val="en-US"/>
        </w:rPr>
      </w:pPr>
      <w:r w:rsidRPr="005F4FBF">
        <w:rPr>
          <w:lang w:val="en-US"/>
        </w:rPr>
        <w:t>Antibiotics and dexamethasone (DXM) are show</w:t>
      </w:r>
      <w:r w:rsidR="004575B4" w:rsidRPr="005F4FBF">
        <w:rPr>
          <w:lang w:val="en-US"/>
        </w:rPr>
        <w:t>n</w:t>
      </w:r>
      <w:r w:rsidRPr="005F4FBF">
        <w:rPr>
          <w:lang w:val="en-US"/>
        </w:rPr>
        <w:t xml:space="preserve"> as administered during hospital stay. The table shows the average body temperature (ABT) in Celsius degrees (ºC) and the trend of acute phase reactants C-Reactive Protein (CRP) and Procalcitonin (PCT).</w:t>
      </w:r>
    </w:p>
    <w:p w14:paraId="51CAFDCE" w14:textId="449253C6" w:rsidR="00B00757" w:rsidRPr="005F4FBF" w:rsidRDefault="00B00757">
      <w:pPr>
        <w:pStyle w:val="CorpoC"/>
        <w:spacing w:line="480" w:lineRule="auto"/>
        <w:rPr>
          <w:lang w:val="en-US"/>
        </w:rPr>
      </w:pPr>
    </w:p>
    <w:p w14:paraId="7377A1AC" w14:textId="77777777" w:rsidR="00B00757" w:rsidRPr="005F4FBF" w:rsidRDefault="00B00757">
      <w:pPr>
        <w:pStyle w:val="CorpoC"/>
        <w:spacing w:line="480" w:lineRule="auto"/>
        <w:rPr>
          <w:lang w:val="en-US"/>
        </w:rPr>
      </w:pPr>
    </w:p>
    <w:p w14:paraId="4F823B85" w14:textId="77777777" w:rsidR="00B00757" w:rsidRPr="005F4FBF" w:rsidRDefault="00B00757">
      <w:pPr>
        <w:pStyle w:val="CorpoC"/>
        <w:spacing w:line="480" w:lineRule="auto"/>
        <w:rPr>
          <w:lang w:val="en-US"/>
        </w:rPr>
      </w:pPr>
    </w:p>
    <w:p w14:paraId="523236DB" w14:textId="77777777" w:rsidR="00B00757" w:rsidRPr="005F4FBF" w:rsidRDefault="008A25BB">
      <w:pPr>
        <w:pStyle w:val="CorpoC"/>
        <w:spacing w:line="480" w:lineRule="auto"/>
      </w:pPr>
      <w:r w:rsidRPr="005F4FBF">
        <w:rPr>
          <w:noProof/>
        </w:rPr>
        <w:drawing>
          <wp:inline distT="0" distB="0" distL="0" distR="0" wp14:anchorId="44B54498" wp14:editId="79155A3A">
            <wp:extent cx="5727573" cy="34194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5727573" cy="3419400"/>
                    </a:xfrm>
                    <a:prstGeom prst="rect">
                      <a:avLst/>
                    </a:prstGeom>
                    <a:ln w="12700" cap="flat">
                      <a:noFill/>
                      <a:miter lim="400000"/>
                    </a:ln>
                    <a:effectLst/>
                  </pic:spPr>
                </pic:pic>
              </a:graphicData>
            </a:graphic>
          </wp:inline>
        </w:drawing>
      </w:r>
    </w:p>
    <w:p w14:paraId="6B6F4BB8" w14:textId="77777777" w:rsidR="00B00757" w:rsidRPr="005F4FBF" w:rsidRDefault="00B00757">
      <w:pPr>
        <w:pStyle w:val="CorpoC"/>
        <w:spacing w:line="480" w:lineRule="auto"/>
        <w:rPr>
          <w:lang w:val="en-US"/>
        </w:rPr>
      </w:pPr>
    </w:p>
    <w:p w14:paraId="27B8BBB8" w14:textId="77777777" w:rsidR="00B00757" w:rsidRPr="005F4FBF" w:rsidRDefault="008A25BB">
      <w:pPr>
        <w:pStyle w:val="CorpoD"/>
      </w:pPr>
      <w:r w:rsidRPr="005F4FBF">
        <w:rPr>
          <w:rFonts w:ascii="Arial Unicode MS" w:eastAsia="Arial Unicode MS" w:hAnsi="Arial Unicode MS" w:cs="Arial Unicode MS"/>
        </w:rPr>
        <w:br w:type="page"/>
      </w:r>
    </w:p>
    <w:p w14:paraId="12EB8F40" w14:textId="6037CC48" w:rsidR="005F68EC" w:rsidRPr="005F4FBF" w:rsidRDefault="005F68EC" w:rsidP="000515BC">
      <w:pPr>
        <w:pStyle w:val="CorpoC"/>
        <w:spacing w:line="480" w:lineRule="auto"/>
        <w:rPr>
          <w:b/>
          <w:bCs/>
          <w:lang w:val="en-US"/>
        </w:rPr>
      </w:pPr>
      <w:r w:rsidRPr="005F4FBF">
        <w:rPr>
          <w:b/>
          <w:bCs/>
          <w:lang w:val="en-US"/>
        </w:rPr>
        <w:lastRenderedPageBreak/>
        <w:t xml:space="preserve">Supplementary figure 2. Patient’s clinical course during the second hospital stay in neonatal intensive care unit (NICU). </w:t>
      </w:r>
    </w:p>
    <w:p w14:paraId="0D581E23" w14:textId="32F54657" w:rsidR="004575B4" w:rsidRPr="005F4FBF" w:rsidRDefault="000515BC" w:rsidP="000515BC">
      <w:pPr>
        <w:spacing w:line="480" w:lineRule="auto"/>
      </w:pPr>
      <w:r w:rsidRPr="005F4FBF">
        <w:t>The course of acute phase reactants during the second hospital stay is reported. An initial increase in CRP and PCT, not explained by infection, is depicted. During hospital stay, further mild, occasional and unexplained increases in inflammatory markers were detected.</w:t>
      </w:r>
    </w:p>
    <w:p w14:paraId="057B9A3C" w14:textId="77777777" w:rsidR="004575B4" w:rsidRPr="005F4FBF" w:rsidRDefault="004575B4" w:rsidP="000515BC">
      <w:pPr>
        <w:spacing w:line="480" w:lineRule="auto"/>
      </w:pPr>
    </w:p>
    <w:p w14:paraId="15FEF641" w14:textId="0888DC64" w:rsidR="004575B4" w:rsidRPr="005F4FBF" w:rsidRDefault="004575B4" w:rsidP="000515BC">
      <w:pPr>
        <w:spacing w:line="480" w:lineRule="auto"/>
      </w:pPr>
      <w:r w:rsidRPr="005F4FBF">
        <w:rPr>
          <w:noProof/>
        </w:rPr>
        <w:drawing>
          <wp:inline distT="0" distB="0" distL="0" distR="0" wp14:anchorId="76BCB67D" wp14:editId="2FDA18A6">
            <wp:extent cx="5727700" cy="3435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435350"/>
                    </a:xfrm>
                    <a:prstGeom prst="rect">
                      <a:avLst/>
                    </a:prstGeom>
                  </pic:spPr>
                </pic:pic>
              </a:graphicData>
            </a:graphic>
          </wp:inline>
        </w:drawing>
      </w:r>
    </w:p>
    <w:p w14:paraId="5209B42E" w14:textId="77777777" w:rsidR="004575B4" w:rsidRPr="005F4FBF" w:rsidRDefault="004575B4" w:rsidP="000515BC">
      <w:pPr>
        <w:spacing w:line="480" w:lineRule="auto"/>
      </w:pPr>
    </w:p>
    <w:p w14:paraId="429C2383" w14:textId="77777777" w:rsidR="004575B4" w:rsidRPr="005F4FBF" w:rsidRDefault="004575B4" w:rsidP="000515BC">
      <w:pPr>
        <w:spacing w:line="480" w:lineRule="auto"/>
      </w:pPr>
    </w:p>
    <w:p w14:paraId="7561513D" w14:textId="77777777" w:rsidR="004575B4" w:rsidRPr="005F4FBF" w:rsidRDefault="004575B4" w:rsidP="000515BC">
      <w:pPr>
        <w:spacing w:line="480" w:lineRule="auto"/>
      </w:pPr>
    </w:p>
    <w:p w14:paraId="286F1FAD" w14:textId="77777777" w:rsidR="004575B4" w:rsidRPr="005F4FBF" w:rsidRDefault="004575B4"/>
    <w:p w14:paraId="23B51742" w14:textId="77777777" w:rsidR="004575B4" w:rsidRPr="005F4FBF" w:rsidRDefault="004575B4"/>
    <w:p w14:paraId="33EC5B06" w14:textId="77777777" w:rsidR="004575B4" w:rsidRPr="005F4FBF" w:rsidRDefault="004575B4"/>
    <w:p w14:paraId="4B85BE3C" w14:textId="754A069B" w:rsidR="005F68EC" w:rsidRPr="005F4FBF" w:rsidRDefault="005F68EC">
      <w:pPr>
        <w:rPr>
          <w:rFonts w:eastAsia="Times New Roman"/>
          <w:color w:val="000000"/>
          <w:u w:color="000000"/>
          <w:lang w:eastAsia="en-GB"/>
          <w14:textOutline w14:w="12700" w14:cap="flat" w14:cmpd="sng" w14:algn="ctr">
            <w14:noFill/>
            <w14:prstDash w14:val="solid"/>
            <w14:miter w14:lim="400000"/>
          </w14:textOutline>
        </w:rPr>
      </w:pPr>
      <w:r w:rsidRPr="005F4FBF">
        <w:br w:type="page"/>
      </w:r>
    </w:p>
    <w:p w14:paraId="75064EA4" w14:textId="3DE66A38" w:rsidR="00B00757" w:rsidRPr="005F4FBF" w:rsidRDefault="008A25BB">
      <w:pPr>
        <w:pStyle w:val="CorpoC"/>
        <w:spacing w:line="480" w:lineRule="auto"/>
        <w:rPr>
          <w:lang w:val="en-US"/>
        </w:rPr>
      </w:pPr>
      <w:r w:rsidRPr="005F4FBF">
        <w:rPr>
          <w:b/>
          <w:bCs/>
          <w:lang w:val="en-US"/>
        </w:rPr>
        <w:lastRenderedPageBreak/>
        <w:t xml:space="preserve">ONLINE METHODS AND RESULTS </w:t>
      </w:r>
    </w:p>
    <w:p w14:paraId="0E03F0C1" w14:textId="77777777" w:rsidR="00B00757" w:rsidRPr="005F4FBF" w:rsidRDefault="008A25BB">
      <w:pPr>
        <w:pStyle w:val="CorpoD"/>
        <w:spacing w:line="480" w:lineRule="auto"/>
      </w:pPr>
      <w:r w:rsidRPr="005F4FBF">
        <w:rPr>
          <w:b/>
          <w:bCs/>
          <w:lang w:val="en-US"/>
        </w:rPr>
        <w:t xml:space="preserve">Genetic testing </w:t>
      </w:r>
    </w:p>
    <w:p w14:paraId="4837C34D" w14:textId="77777777" w:rsidR="00B00757" w:rsidRPr="005F4FBF" w:rsidRDefault="008A25BB">
      <w:pPr>
        <w:pStyle w:val="CorpoA"/>
        <w:spacing w:line="480" w:lineRule="auto"/>
        <w:rPr>
          <w:rFonts w:ascii="Times New Roman" w:eastAsia="Times New Roman" w:hAnsi="Times New Roman" w:cs="Times New Roman"/>
          <w:sz w:val="24"/>
          <w:szCs w:val="24"/>
        </w:rPr>
      </w:pPr>
      <w:r w:rsidRPr="005F4FBF">
        <w:rPr>
          <w:rFonts w:ascii="Times New Roman" w:hAnsi="Times New Roman"/>
          <w:sz w:val="24"/>
          <w:szCs w:val="24"/>
        </w:rPr>
        <w:t xml:space="preserve">First-line immunological tasting is unable to detect PIDs without an overt immunological phenotype (altered T, B, NK cell numbers and Ig levels) or PIDs with autoinflammation. Clinical genetic testing with next generation sequencing (NGS)-based exome sequencing or gene panels for known PID genes is able to detect previously described genetic variants that have been demonstrated to cause a PID phenotype. Thus, a custom gene panel sequencing was performed with </w:t>
      </w:r>
      <w:proofErr w:type="spellStart"/>
      <w:r w:rsidRPr="005F4FBF">
        <w:rPr>
          <w:rFonts w:ascii="Times New Roman" w:hAnsi="Times New Roman"/>
          <w:sz w:val="24"/>
          <w:szCs w:val="24"/>
        </w:rPr>
        <w:t>SeqCap</w:t>
      </w:r>
      <w:proofErr w:type="spellEnd"/>
      <w:r w:rsidRPr="005F4FBF">
        <w:rPr>
          <w:rFonts w:ascii="Times New Roman" w:hAnsi="Times New Roman"/>
          <w:sz w:val="24"/>
          <w:szCs w:val="24"/>
        </w:rPr>
        <w:t xml:space="preserve"> EZ Prime Choice Probes </w:t>
      </w:r>
      <w:proofErr w:type="spellStart"/>
      <w:r w:rsidRPr="005F4FBF">
        <w:rPr>
          <w:rFonts w:ascii="Times New Roman" w:hAnsi="Times New Roman"/>
          <w:sz w:val="24"/>
          <w:szCs w:val="24"/>
        </w:rPr>
        <w:t>Nimblegen</w:t>
      </w:r>
      <w:proofErr w:type="spellEnd"/>
      <w:r w:rsidRPr="005F4FBF">
        <w:rPr>
          <w:rFonts w:ascii="Times New Roman" w:hAnsi="Times New Roman"/>
          <w:sz w:val="24"/>
          <w:szCs w:val="24"/>
        </w:rPr>
        <w:t xml:space="preserve"> design (Roche) kit and Illumina® sequencing technology on DNA extracted from peripheral blood.</w:t>
      </w:r>
      <w:r w:rsidRPr="005F4FBF">
        <w:rPr>
          <w:rFonts w:ascii="Times New Roman" w:hAnsi="Times New Roman"/>
          <w:b/>
          <w:bCs/>
          <w:sz w:val="24"/>
          <w:szCs w:val="24"/>
        </w:rPr>
        <w:t xml:space="preserve"> </w:t>
      </w:r>
      <w:r w:rsidRPr="005F4FBF">
        <w:rPr>
          <w:rFonts w:ascii="Times New Roman" w:hAnsi="Times New Roman"/>
          <w:sz w:val="24"/>
          <w:szCs w:val="24"/>
        </w:rPr>
        <w:t xml:space="preserve">Germline variants from target panel data were called using an in-house developed pipeline derived from </w:t>
      </w:r>
      <w:proofErr w:type="spellStart"/>
      <w:r w:rsidRPr="005F4FBF">
        <w:rPr>
          <w:rFonts w:ascii="Times New Roman" w:hAnsi="Times New Roman"/>
          <w:sz w:val="24"/>
          <w:szCs w:val="24"/>
        </w:rPr>
        <w:t>iWhale</w:t>
      </w:r>
      <w:proofErr w:type="spellEnd"/>
      <w:r w:rsidRPr="005F4FBF">
        <w:rPr>
          <w:rFonts w:ascii="Times New Roman" w:hAnsi="Times New Roman"/>
          <w:sz w:val="24"/>
          <w:szCs w:val="24"/>
        </w:rPr>
        <w:t xml:space="preserve"> (1), as previously described (2). </w:t>
      </w:r>
    </w:p>
    <w:p w14:paraId="1E4C3ABD" w14:textId="77777777" w:rsidR="00B00757" w:rsidRPr="005F4FBF" w:rsidRDefault="00B00757">
      <w:pPr>
        <w:pStyle w:val="CorpoA"/>
        <w:spacing w:line="480" w:lineRule="auto"/>
        <w:rPr>
          <w:rFonts w:ascii="Times New Roman" w:eastAsia="Times New Roman" w:hAnsi="Times New Roman" w:cs="Times New Roman"/>
          <w:sz w:val="24"/>
          <w:szCs w:val="24"/>
        </w:rPr>
      </w:pPr>
    </w:p>
    <w:p w14:paraId="6D762F5C" w14:textId="77777777" w:rsidR="00B00757" w:rsidRPr="005F4FBF" w:rsidRDefault="008A25BB">
      <w:pPr>
        <w:pStyle w:val="CorpoA"/>
        <w:spacing w:line="480" w:lineRule="auto"/>
        <w:rPr>
          <w:rFonts w:ascii="Times New Roman" w:eastAsia="Times New Roman" w:hAnsi="Times New Roman" w:cs="Times New Roman"/>
          <w:b/>
          <w:bCs/>
          <w:sz w:val="24"/>
          <w:szCs w:val="24"/>
        </w:rPr>
      </w:pPr>
      <w:r w:rsidRPr="005F4FBF">
        <w:rPr>
          <w:rFonts w:ascii="Times New Roman" w:hAnsi="Times New Roman"/>
          <w:b/>
          <w:bCs/>
          <w:sz w:val="24"/>
          <w:szCs w:val="24"/>
        </w:rPr>
        <w:t xml:space="preserve">Identification of the causative genetic variants </w:t>
      </w:r>
    </w:p>
    <w:p w14:paraId="6A03E04B" w14:textId="7DE9745D" w:rsidR="00B00757" w:rsidRPr="005F4FBF" w:rsidRDefault="008A25BB">
      <w:pPr>
        <w:pStyle w:val="CorpoC"/>
        <w:spacing w:line="480" w:lineRule="auto"/>
        <w:rPr>
          <w:lang w:val="en-US"/>
        </w:rPr>
      </w:pPr>
      <w:r w:rsidRPr="005F4FBF">
        <w:rPr>
          <w:lang w:val="en-US"/>
        </w:rPr>
        <w:t xml:space="preserve">The custom gene panel included the 331 PID genes in the 2017 IUIS classification (3). Two previously described, heterozygous, pathogenic variations in </w:t>
      </w:r>
      <w:r w:rsidRPr="005F4FBF">
        <w:rPr>
          <w:i/>
          <w:iCs/>
          <w:lang w:val="en-US"/>
        </w:rPr>
        <w:t>MEFV</w:t>
      </w:r>
      <w:r w:rsidRPr="005F4FBF">
        <w:rPr>
          <w:lang w:val="en-US"/>
        </w:rPr>
        <w:t xml:space="preserve"> were identified, namely NM_000243.2:c.[2040G&gt;C];[2082G&gt;A], resulting in NP_000234.1:p.[Met680Ile]; [Met694Ile] (Supplementary Figure 2). Information regarding the phase of the variants was obtained through the analysis of the NGS reads (Supplementary Figure 3). Since no reads containing both variants were identified and all reads contained one of the two variants, we concluded that the variants are </w:t>
      </w:r>
      <w:r w:rsidRPr="005F4FBF">
        <w:rPr>
          <w:i/>
          <w:iCs/>
          <w:lang w:val="en-US"/>
        </w:rPr>
        <w:t>in trans</w:t>
      </w:r>
      <w:r w:rsidRPr="005F4FBF">
        <w:rPr>
          <w:lang w:val="en-US"/>
        </w:rPr>
        <w:t xml:space="preserve"> and thus the patient carries biallelic damaging </w:t>
      </w:r>
      <w:r w:rsidRPr="005F4FBF">
        <w:rPr>
          <w:i/>
          <w:iCs/>
          <w:lang w:val="en-US"/>
        </w:rPr>
        <w:t>MEFV</w:t>
      </w:r>
      <w:r w:rsidRPr="005F4FBF">
        <w:rPr>
          <w:lang w:val="en-US"/>
        </w:rPr>
        <w:t xml:space="preserve"> variants.</w:t>
      </w:r>
    </w:p>
    <w:p w14:paraId="31C09176" w14:textId="77777777" w:rsidR="00B00757" w:rsidRPr="005F4FBF" w:rsidRDefault="008A25BB">
      <w:pPr>
        <w:pStyle w:val="CorpoD"/>
      </w:pPr>
      <w:r w:rsidRPr="005F4FBF">
        <w:rPr>
          <w:rFonts w:ascii="Arial Unicode MS" w:eastAsia="Arial Unicode MS" w:hAnsi="Arial Unicode MS" w:cs="Arial Unicode MS"/>
        </w:rPr>
        <w:br w:type="page"/>
      </w:r>
    </w:p>
    <w:p w14:paraId="43992B24" w14:textId="35648291" w:rsidR="00B00757" w:rsidRPr="005F4FBF" w:rsidRDefault="008A25BB">
      <w:pPr>
        <w:pStyle w:val="CorpoD"/>
      </w:pPr>
      <w:r w:rsidRPr="005F4FBF">
        <w:rPr>
          <w:rFonts w:eastAsia="Arial Unicode MS" w:cs="Arial Unicode MS"/>
          <w:b/>
          <w:bCs/>
          <w:lang w:val="en-US"/>
        </w:rPr>
        <w:lastRenderedPageBreak/>
        <w:t xml:space="preserve">Supplementary figure </w:t>
      </w:r>
      <w:r w:rsidR="001D45DF" w:rsidRPr="005F4FBF">
        <w:rPr>
          <w:rFonts w:eastAsia="Arial Unicode MS" w:cs="Arial Unicode MS"/>
          <w:b/>
          <w:bCs/>
          <w:lang w:val="en-US"/>
        </w:rPr>
        <w:t>3</w:t>
      </w:r>
      <w:r w:rsidRPr="005F4FBF">
        <w:rPr>
          <w:rFonts w:eastAsia="Arial Unicode MS" w:cs="Arial Unicode MS"/>
          <w:b/>
          <w:bCs/>
          <w:lang w:val="en-US"/>
        </w:rPr>
        <w:t xml:space="preserve">. </w:t>
      </w:r>
      <w:r w:rsidRPr="005F4FBF">
        <w:rPr>
          <w:rFonts w:eastAsia="Arial Unicode MS" w:cs="Arial Unicode MS"/>
          <w:lang w:val="en-US"/>
        </w:rPr>
        <w:t>Sanger sequencing of both MEFV variants on peripheral blood in the proband.</w:t>
      </w:r>
    </w:p>
    <w:p w14:paraId="6618E4A9" w14:textId="77777777" w:rsidR="00B00757" w:rsidRPr="005F4FBF" w:rsidRDefault="00B00757">
      <w:pPr>
        <w:pStyle w:val="CorpoD"/>
      </w:pPr>
    </w:p>
    <w:p w14:paraId="64090667" w14:textId="77777777" w:rsidR="00B00757" w:rsidRPr="005F4FBF" w:rsidRDefault="00B00757">
      <w:pPr>
        <w:pStyle w:val="CorpoD"/>
        <w:rPr>
          <w:sz w:val="22"/>
          <w:szCs w:val="22"/>
        </w:rPr>
      </w:pPr>
    </w:p>
    <w:p w14:paraId="4947838C" w14:textId="77777777" w:rsidR="00B00757" w:rsidRPr="005F4FBF" w:rsidRDefault="00B00757">
      <w:pPr>
        <w:pStyle w:val="CorpoA"/>
        <w:spacing w:line="480" w:lineRule="auto"/>
        <w:rPr>
          <w:rFonts w:ascii="Times New Roman" w:eastAsia="Times New Roman" w:hAnsi="Times New Roman" w:cs="Times New Roman"/>
          <w:sz w:val="24"/>
          <w:szCs w:val="24"/>
        </w:rPr>
      </w:pPr>
    </w:p>
    <w:p w14:paraId="578E5B70" w14:textId="77777777" w:rsidR="00B00757" w:rsidRPr="005F4FBF" w:rsidRDefault="008A25BB">
      <w:pPr>
        <w:pStyle w:val="CorpoA"/>
        <w:spacing w:line="480" w:lineRule="auto"/>
        <w:rPr>
          <w:rFonts w:ascii="Times New Roman" w:eastAsia="Times New Roman" w:hAnsi="Times New Roman" w:cs="Times New Roman"/>
          <w:sz w:val="24"/>
          <w:szCs w:val="24"/>
        </w:rPr>
      </w:pPr>
      <w:r w:rsidRPr="005F4FBF">
        <w:rPr>
          <w:rFonts w:ascii="Times New Roman" w:eastAsia="Times New Roman" w:hAnsi="Times New Roman" w:cs="Times New Roman"/>
          <w:noProof/>
          <w:sz w:val="24"/>
          <w:szCs w:val="24"/>
        </w:rPr>
        <w:drawing>
          <wp:inline distT="0" distB="0" distL="0" distR="0" wp14:anchorId="43334933" wp14:editId="218BF32F">
            <wp:extent cx="5727700" cy="2595563"/>
            <wp:effectExtent l="0" t="0" r="0" b="0"/>
            <wp:docPr id="1073741826" name="officeArt object" descr="SF3.jpg"/>
            <wp:cNvGraphicFramePr/>
            <a:graphic xmlns:a="http://schemas.openxmlformats.org/drawingml/2006/main">
              <a:graphicData uri="http://schemas.openxmlformats.org/drawingml/2006/picture">
                <pic:pic xmlns:pic="http://schemas.openxmlformats.org/drawingml/2006/picture">
                  <pic:nvPicPr>
                    <pic:cNvPr id="1073741826" name="SF3.jpg" descr="SF3.jpg"/>
                    <pic:cNvPicPr>
                      <a:picLocks noChangeAspect="1"/>
                    </pic:cNvPicPr>
                  </pic:nvPicPr>
                  <pic:blipFill>
                    <a:blip r:embed="rId9"/>
                    <a:srcRect t="18583" b="17320"/>
                    <a:stretch>
                      <a:fillRect/>
                    </a:stretch>
                  </pic:blipFill>
                  <pic:spPr>
                    <a:xfrm>
                      <a:off x="0" y="0"/>
                      <a:ext cx="5727700" cy="2595563"/>
                    </a:xfrm>
                    <a:prstGeom prst="rect">
                      <a:avLst/>
                    </a:prstGeom>
                    <a:ln w="12700" cap="flat">
                      <a:noFill/>
                      <a:miter lim="400000"/>
                    </a:ln>
                    <a:effectLst/>
                  </pic:spPr>
                </pic:pic>
              </a:graphicData>
            </a:graphic>
          </wp:inline>
        </w:drawing>
      </w:r>
    </w:p>
    <w:p w14:paraId="0B56BFC4" w14:textId="77777777" w:rsidR="00B00757" w:rsidRPr="005F4FBF" w:rsidRDefault="00B00757">
      <w:pPr>
        <w:pStyle w:val="CorpoA"/>
        <w:spacing w:line="480" w:lineRule="auto"/>
        <w:rPr>
          <w:rFonts w:ascii="Times New Roman" w:eastAsia="Times New Roman" w:hAnsi="Times New Roman" w:cs="Times New Roman"/>
          <w:sz w:val="24"/>
          <w:szCs w:val="24"/>
        </w:rPr>
      </w:pPr>
    </w:p>
    <w:p w14:paraId="1A078125" w14:textId="77777777" w:rsidR="00B00757" w:rsidRPr="005F4FBF" w:rsidRDefault="00B00757">
      <w:pPr>
        <w:pStyle w:val="CorpoD"/>
        <w:rPr>
          <w:b/>
          <w:bCs/>
        </w:rPr>
      </w:pPr>
    </w:p>
    <w:p w14:paraId="2CF23219" w14:textId="77777777" w:rsidR="00B00757" w:rsidRPr="005F4FBF" w:rsidRDefault="00B00757">
      <w:pPr>
        <w:pStyle w:val="CorpoD"/>
        <w:rPr>
          <w:b/>
          <w:bCs/>
        </w:rPr>
      </w:pPr>
    </w:p>
    <w:p w14:paraId="6278B1C3" w14:textId="77777777" w:rsidR="00B00757" w:rsidRPr="005F4FBF" w:rsidRDefault="00B00757">
      <w:pPr>
        <w:pStyle w:val="CorpoD"/>
        <w:rPr>
          <w:b/>
          <w:bCs/>
        </w:rPr>
      </w:pPr>
    </w:p>
    <w:p w14:paraId="4B486705" w14:textId="77777777" w:rsidR="00B00757" w:rsidRPr="005F4FBF" w:rsidRDefault="00B00757">
      <w:pPr>
        <w:pStyle w:val="CorpoD"/>
        <w:rPr>
          <w:b/>
          <w:bCs/>
        </w:rPr>
      </w:pPr>
    </w:p>
    <w:p w14:paraId="33A51B36" w14:textId="77777777" w:rsidR="00B00757" w:rsidRPr="005F4FBF" w:rsidRDefault="00B00757">
      <w:pPr>
        <w:pStyle w:val="CorpoD"/>
        <w:rPr>
          <w:b/>
          <w:bCs/>
        </w:rPr>
      </w:pPr>
    </w:p>
    <w:p w14:paraId="6011ABC6" w14:textId="77777777" w:rsidR="00B00757" w:rsidRPr="005F4FBF" w:rsidRDefault="00B00757">
      <w:pPr>
        <w:pStyle w:val="CorpoD"/>
        <w:rPr>
          <w:b/>
          <w:bCs/>
        </w:rPr>
      </w:pPr>
    </w:p>
    <w:p w14:paraId="20F7BDDF" w14:textId="77777777" w:rsidR="00B00757" w:rsidRPr="005F4FBF" w:rsidRDefault="00B00757">
      <w:pPr>
        <w:pStyle w:val="CorpoD"/>
        <w:rPr>
          <w:b/>
          <w:bCs/>
        </w:rPr>
      </w:pPr>
    </w:p>
    <w:p w14:paraId="5B3BDFEA" w14:textId="77777777" w:rsidR="00B00757" w:rsidRPr="005F4FBF" w:rsidRDefault="00B00757">
      <w:pPr>
        <w:pStyle w:val="CorpoD"/>
        <w:rPr>
          <w:b/>
          <w:bCs/>
        </w:rPr>
      </w:pPr>
    </w:p>
    <w:p w14:paraId="2309EDED" w14:textId="77777777" w:rsidR="00B00757" w:rsidRPr="005F4FBF" w:rsidRDefault="00B00757">
      <w:pPr>
        <w:pStyle w:val="CorpoD"/>
        <w:rPr>
          <w:b/>
          <w:bCs/>
        </w:rPr>
      </w:pPr>
    </w:p>
    <w:p w14:paraId="4EF94F60" w14:textId="77777777" w:rsidR="00B00757" w:rsidRPr="005F4FBF" w:rsidRDefault="008A25BB">
      <w:pPr>
        <w:pStyle w:val="CorpoD"/>
      </w:pPr>
      <w:r w:rsidRPr="005F4FBF">
        <w:rPr>
          <w:rFonts w:ascii="Arial Unicode MS" w:eastAsia="Arial Unicode MS" w:hAnsi="Arial Unicode MS" w:cs="Arial Unicode MS"/>
        </w:rPr>
        <w:br w:type="page"/>
      </w:r>
    </w:p>
    <w:p w14:paraId="4D66EB25" w14:textId="331FB712" w:rsidR="00B00757" w:rsidRPr="005F4FBF" w:rsidRDefault="008A25BB">
      <w:pPr>
        <w:pStyle w:val="CorpoD"/>
        <w:rPr>
          <w:sz w:val="22"/>
          <w:szCs w:val="22"/>
        </w:rPr>
      </w:pPr>
      <w:r w:rsidRPr="005F4FBF">
        <w:rPr>
          <w:rFonts w:eastAsia="Arial Unicode MS" w:cs="Arial Unicode MS"/>
          <w:b/>
          <w:bCs/>
          <w:lang w:val="en-US"/>
        </w:rPr>
        <w:lastRenderedPageBreak/>
        <w:t xml:space="preserve">Supplementary figure </w:t>
      </w:r>
      <w:r w:rsidR="001D45DF" w:rsidRPr="005F4FBF">
        <w:rPr>
          <w:rFonts w:eastAsia="Arial Unicode MS" w:cs="Arial Unicode MS"/>
          <w:b/>
          <w:bCs/>
          <w:lang w:val="en-US"/>
        </w:rPr>
        <w:t>4</w:t>
      </w:r>
      <w:r w:rsidRPr="005F4FBF">
        <w:rPr>
          <w:rFonts w:eastAsia="Arial Unicode MS" w:cs="Arial Unicode MS"/>
          <w:b/>
          <w:bCs/>
          <w:lang w:val="en-US"/>
        </w:rPr>
        <w:t xml:space="preserve">. Integrated Genomics Viewer (IGV) aligned reads demonstrating the phase of the identified genetic variants. </w:t>
      </w:r>
      <w:r w:rsidRPr="005F4FBF">
        <w:rPr>
          <w:rFonts w:eastAsia="Arial Unicode MS" w:cs="Arial Unicode MS"/>
          <w:lang w:val="en-US"/>
        </w:rPr>
        <w:t>Reads were aligned to hg38 genome</w:t>
      </w:r>
      <w:r w:rsidRPr="005F4FBF">
        <w:rPr>
          <w:rFonts w:eastAsia="Arial Unicode MS" w:cs="Arial Unicode MS"/>
          <w:sz w:val="22"/>
          <w:szCs w:val="22"/>
          <w:lang w:val="en-US"/>
        </w:rPr>
        <w:t xml:space="preserve"> around the genomic position of MEFV variations.  </w:t>
      </w:r>
    </w:p>
    <w:p w14:paraId="0057B90C" w14:textId="77777777" w:rsidR="00B00757" w:rsidRPr="005F4FBF" w:rsidRDefault="00B00757">
      <w:pPr>
        <w:pStyle w:val="CorpoA"/>
        <w:spacing w:line="480" w:lineRule="auto"/>
        <w:rPr>
          <w:rFonts w:ascii="Times New Roman" w:eastAsia="Times New Roman" w:hAnsi="Times New Roman" w:cs="Times New Roman"/>
          <w:b/>
          <w:bCs/>
          <w:sz w:val="24"/>
          <w:szCs w:val="24"/>
        </w:rPr>
      </w:pPr>
    </w:p>
    <w:p w14:paraId="4062A33A" w14:textId="77777777" w:rsidR="00B00757" w:rsidRPr="005F4FBF" w:rsidRDefault="008A25BB">
      <w:pPr>
        <w:pStyle w:val="CorpoA"/>
        <w:spacing w:line="480" w:lineRule="auto"/>
        <w:rPr>
          <w:rFonts w:ascii="Times New Roman" w:eastAsia="Times New Roman" w:hAnsi="Times New Roman" w:cs="Times New Roman"/>
          <w:b/>
          <w:bCs/>
          <w:sz w:val="24"/>
          <w:szCs w:val="24"/>
        </w:rPr>
      </w:pPr>
      <w:r w:rsidRPr="005F4FBF">
        <w:rPr>
          <w:rFonts w:ascii="Times New Roman" w:eastAsia="Times New Roman" w:hAnsi="Times New Roman" w:cs="Times New Roman"/>
          <w:b/>
          <w:bCs/>
          <w:noProof/>
          <w:sz w:val="24"/>
          <w:szCs w:val="24"/>
        </w:rPr>
        <w:drawing>
          <wp:inline distT="0" distB="0" distL="0" distR="0" wp14:anchorId="10FD1AC2" wp14:editId="58F83F4B">
            <wp:extent cx="4975226" cy="3064288"/>
            <wp:effectExtent l="0" t="0" r="0" b="0"/>
            <wp:docPr id="1073741827" name="officeArt object" descr="Immagine che contiene screenshot&#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7" name="Immagine che contiene screenshot&#10;&#10;Descrizione generata automaticamente" descr="Immagine che contiene screenshotDescrizione generata automaticamente"/>
                    <pic:cNvPicPr>
                      <a:picLocks noChangeAspect="1"/>
                    </pic:cNvPicPr>
                  </pic:nvPicPr>
                  <pic:blipFill>
                    <a:blip r:embed="rId10"/>
                    <a:srcRect l="9264" t="11758" r="3847" b="12320"/>
                    <a:stretch>
                      <a:fillRect/>
                    </a:stretch>
                  </pic:blipFill>
                  <pic:spPr>
                    <a:xfrm>
                      <a:off x="0" y="0"/>
                      <a:ext cx="4975226" cy="3064288"/>
                    </a:xfrm>
                    <a:prstGeom prst="rect">
                      <a:avLst/>
                    </a:prstGeom>
                    <a:ln w="12700" cap="flat">
                      <a:noFill/>
                      <a:miter lim="400000"/>
                    </a:ln>
                    <a:effectLst/>
                  </pic:spPr>
                </pic:pic>
              </a:graphicData>
            </a:graphic>
          </wp:inline>
        </w:drawing>
      </w:r>
    </w:p>
    <w:p w14:paraId="231CC5CF" w14:textId="77777777" w:rsidR="00B00757" w:rsidRPr="005F4FBF" w:rsidRDefault="008A25BB">
      <w:pPr>
        <w:pStyle w:val="CorpoA"/>
        <w:spacing w:line="480" w:lineRule="auto"/>
      </w:pPr>
      <w:r w:rsidRPr="005F4FBF">
        <w:rPr>
          <w:rFonts w:ascii="Arial Unicode MS" w:hAnsi="Arial Unicode MS"/>
          <w:sz w:val="24"/>
          <w:szCs w:val="24"/>
        </w:rPr>
        <w:br w:type="page"/>
      </w:r>
    </w:p>
    <w:p w14:paraId="21DD60FB" w14:textId="5CA5D69C" w:rsidR="00B00757" w:rsidRPr="005F4FBF" w:rsidRDefault="008A25BB">
      <w:pPr>
        <w:pStyle w:val="CorpoA"/>
        <w:spacing w:line="480" w:lineRule="auto"/>
        <w:rPr>
          <w:rFonts w:ascii="Times New Roman" w:eastAsia="Times New Roman" w:hAnsi="Times New Roman" w:cs="Times New Roman"/>
          <w:b/>
          <w:bCs/>
          <w:sz w:val="24"/>
          <w:szCs w:val="24"/>
        </w:rPr>
      </w:pPr>
      <w:r w:rsidRPr="005F4FBF">
        <w:rPr>
          <w:rFonts w:ascii="Times New Roman" w:hAnsi="Times New Roman"/>
          <w:b/>
          <w:bCs/>
          <w:sz w:val="24"/>
          <w:szCs w:val="24"/>
        </w:rPr>
        <w:lastRenderedPageBreak/>
        <w:t xml:space="preserve">Supplementary table </w:t>
      </w:r>
      <w:r w:rsidR="005642B8" w:rsidRPr="005F4FBF">
        <w:rPr>
          <w:rFonts w:ascii="Times New Roman" w:hAnsi="Times New Roman"/>
          <w:b/>
          <w:bCs/>
          <w:sz w:val="24"/>
          <w:szCs w:val="24"/>
        </w:rPr>
        <w:t>1</w:t>
      </w:r>
      <w:r w:rsidRPr="005F4FBF">
        <w:rPr>
          <w:rFonts w:ascii="Times New Roman" w:hAnsi="Times New Roman"/>
          <w:b/>
          <w:bCs/>
          <w:sz w:val="24"/>
          <w:szCs w:val="24"/>
        </w:rPr>
        <w:t xml:space="preserve">. List of filtered variants identified in the proband by NGS and subsequently evaluated by manual curation. </w:t>
      </w:r>
    </w:p>
    <w:p w14:paraId="44DE3B4D" w14:textId="77777777" w:rsidR="00B00757" w:rsidRPr="005F4FBF" w:rsidRDefault="008A25BB">
      <w:pPr>
        <w:pStyle w:val="CorpoA"/>
        <w:spacing w:line="480" w:lineRule="auto"/>
        <w:rPr>
          <w:rFonts w:ascii="Times New Roman" w:eastAsia="Times New Roman" w:hAnsi="Times New Roman" w:cs="Times New Roman"/>
          <w:sz w:val="24"/>
          <w:szCs w:val="24"/>
        </w:rPr>
      </w:pPr>
      <w:r w:rsidRPr="005F4FBF">
        <w:rPr>
          <w:rFonts w:ascii="Times New Roman" w:hAnsi="Times New Roman"/>
          <w:sz w:val="24"/>
          <w:szCs w:val="24"/>
        </w:rPr>
        <w:t xml:space="preserve">Applied filters are: </w:t>
      </w:r>
      <w:proofErr w:type="spellStart"/>
      <w:r w:rsidRPr="005F4FBF">
        <w:rPr>
          <w:rFonts w:ascii="Times New Roman" w:hAnsi="Times New Roman"/>
          <w:sz w:val="24"/>
          <w:szCs w:val="24"/>
        </w:rPr>
        <w:t>SNFeff</w:t>
      </w:r>
      <w:proofErr w:type="spellEnd"/>
      <w:r w:rsidRPr="005F4FBF">
        <w:rPr>
          <w:rFonts w:ascii="Times New Roman" w:hAnsi="Times New Roman"/>
          <w:sz w:val="24"/>
          <w:szCs w:val="24"/>
        </w:rPr>
        <w:t xml:space="preserve">: “MODERATE” or “HIGH”; </w:t>
      </w:r>
      <w:proofErr w:type="spellStart"/>
      <w:r w:rsidRPr="005F4FBF">
        <w:rPr>
          <w:rFonts w:ascii="Times New Roman" w:hAnsi="Times New Roman"/>
          <w:sz w:val="24"/>
          <w:szCs w:val="24"/>
        </w:rPr>
        <w:t>gnomAD_genome_ALL</w:t>
      </w:r>
      <w:proofErr w:type="spellEnd"/>
      <w:r w:rsidRPr="005F4FBF">
        <w:rPr>
          <w:rFonts w:ascii="Times New Roman" w:hAnsi="Times New Roman"/>
          <w:sz w:val="24"/>
          <w:szCs w:val="24"/>
        </w:rPr>
        <w:t xml:space="preserve"> frequency &lt; 0.001.</w:t>
      </w:r>
    </w:p>
    <w:p w14:paraId="1C95C2B4" w14:textId="1F5B550E" w:rsidR="00B00757" w:rsidRPr="005F4FBF" w:rsidRDefault="008A25BB">
      <w:pPr>
        <w:pStyle w:val="CorpoA"/>
        <w:spacing w:line="480" w:lineRule="auto"/>
        <w:rPr>
          <w:rFonts w:ascii="Times New Roman" w:eastAsia="Times New Roman" w:hAnsi="Times New Roman" w:cs="Times New Roman"/>
          <w:sz w:val="24"/>
          <w:szCs w:val="24"/>
        </w:rPr>
      </w:pPr>
      <w:r w:rsidRPr="005F4FBF">
        <w:rPr>
          <w:rFonts w:ascii="Times New Roman" w:hAnsi="Times New Roman"/>
          <w:sz w:val="24"/>
          <w:szCs w:val="24"/>
        </w:rPr>
        <w:t xml:space="preserve">The list is provided as an additional supplementary </w:t>
      </w:r>
      <w:r w:rsidR="00E805E6">
        <w:rPr>
          <w:rFonts w:ascii="Times New Roman" w:hAnsi="Times New Roman"/>
          <w:sz w:val="24"/>
          <w:szCs w:val="24"/>
        </w:rPr>
        <w:t>pdf</w:t>
      </w:r>
      <w:r w:rsidRPr="005F4FBF">
        <w:rPr>
          <w:rFonts w:ascii="Times New Roman" w:hAnsi="Times New Roman"/>
          <w:sz w:val="24"/>
          <w:szCs w:val="24"/>
        </w:rPr>
        <w:t xml:space="preserve"> file. </w:t>
      </w:r>
    </w:p>
    <w:p w14:paraId="349FBA64" w14:textId="77777777" w:rsidR="005364A4" w:rsidRPr="005F4FBF" w:rsidRDefault="005364A4">
      <w:pPr>
        <w:pStyle w:val="CorpoA"/>
        <w:spacing w:line="480" w:lineRule="auto"/>
        <w:rPr>
          <w:rFonts w:ascii="Times New Roman" w:hAnsi="Times New Roman" w:cs="Times New Roman"/>
          <w:sz w:val="24"/>
          <w:szCs w:val="24"/>
        </w:rPr>
      </w:pPr>
    </w:p>
    <w:p w14:paraId="19786DC1" w14:textId="77777777" w:rsidR="005364A4" w:rsidRPr="005F4FBF" w:rsidRDefault="005364A4">
      <w:pPr>
        <w:pStyle w:val="CorpoA"/>
        <w:spacing w:line="480" w:lineRule="auto"/>
        <w:rPr>
          <w:rFonts w:ascii="Times New Roman" w:hAnsi="Times New Roman" w:cs="Times New Roman"/>
          <w:sz w:val="24"/>
          <w:szCs w:val="24"/>
        </w:rPr>
      </w:pPr>
    </w:p>
    <w:p w14:paraId="6210C875" w14:textId="77777777" w:rsidR="005364A4" w:rsidRPr="005F4FBF" w:rsidRDefault="005364A4">
      <w:pPr>
        <w:pStyle w:val="CorpoA"/>
        <w:spacing w:line="480" w:lineRule="auto"/>
        <w:rPr>
          <w:rFonts w:ascii="Times New Roman" w:hAnsi="Times New Roman" w:cs="Times New Roman"/>
          <w:sz w:val="24"/>
          <w:szCs w:val="24"/>
        </w:rPr>
      </w:pPr>
    </w:p>
    <w:p w14:paraId="141151CC" w14:textId="77777777" w:rsidR="005364A4" w:rsidRPr="005F4FBF" w:rsidRDefault="005364A4">
      <w:pPr>
        <w:pStyle w:val="CorpoA"/>
        <w:spacing w:line="480" w:lineRule="auto"/>
        <w:rPr>
          <w:rFonts w:ascii="Times New Roman" w:hAnsi="Times New Roman" w:cs="Times New Roman"/>
          <w:sz w:val="24"/>
          <w:szCs w:val="24"/>
        </w:rPr>
      </w:pPr>
    </w:p>
    <w:p w14:paraId="385B430A" w14:textId="38E714AF" w:rsidR="00B00757" w:rsidRPr="005F4FBF" w:rsidRDefault="008A25BB">
      <w:pPr>
        <w:pStyle w:val="CorpoA"/>
        <w:spacing w:line="480" w:lineRule="auto"/>
        <w:rPr>
          <w:rFonts w:ascii="Times New Roman" w:hAnsi="Times New Roman" w:cs="Times New Roman"/>
          <w:sz w:val="24"/>
          <w:szCs w:val="24"/>
        </w:rPr>
      </w:pPr>
      <w:r w:rsidRPr="005F4FBF">
        <w:rPr>
          <w:rFonts w:ascii="Times New Roman" w:hAnsi="Times New Roman" w:cs="Times New Roman"/>
          <w:sz w:val="24"/>
          <w:szCs w:val="24"/>
        </w:rPr>
        <w:br w:type="page"/>
      </w:r>
    </w:p>
    <w:tbl>
      <w:tblPr>
        <w:tblW w:w="10632" w:type="dxa"/>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501"/>
        <w:gridCol w:w="5131"/>
      </w:tblGrid>
      <w:tr w:rsidR="005364A4" w:rsidRPr="005F4FBF" w14:paraId="676088B3" w14:textId="77777777" w:rsidTr="00972194">
        <w:trPr>
          <w:trHeight w:val="268"/>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C7E611F" w14:textId="30465DAF" w:rsidR="005364A4" w:rsidRPr="005F4FBF" w:rsidRDefault="005364A4" w:rsidP="00972194">
            <w:pPr>
              <w:pStyle w:val="CorpoA"/>
              <w:spacing w:line="360" w:lineRule="auto"/>
              <w:rPr>
                <w:rFonts w:ascii="Times New Roman" w:hAnsi="Times New Roman" w:cs="Times New Roman"/>
                <w:sz w:val="24"/>
                <w:szCs w:val="24"/>
              </w:rPr>
            </w:pPr>
            <w:r w:rsidRPr="005F4FBF">
              <w:rPr>
                <w:rFonts w:ascii="Times New Roman" w:hAnsi="Times New Roman" w:cs="Times New Roman"/>
                <w:b/>
                <w:bCs/>
                <w:sz w:val="24"/>
                <w:szCs w:val="24"/>
              </w:rPr>
              <w:lastRenderedPageBreak/>
              <w:t xml:space="preserve">Supplementary table </w:t>
            </w:r>
            <w:r w:rsidR="005642B8" w:rsidRPr="005F4FBF">
              <w:rPr>
                <w:rFonts w:ascii="Times New Roman" w:hAnsi="Times New Roman" w:cs="Times New Roman"/>
                <w:b/>
                <w:bCs/>
                <w:sz w:val="24"/>
                <w:szCs w:val="24"/>
              </w:rPr>
              <w:t>2</w:t>
            </w:r>
            <w:r w:rsidRPr="005F4FBF">
              <w:rPr>
                <w:rFonts w:ascii="Times New Roman" w:hAnsi="Times New Roman" w:cs="Times New Roman"/>
                <w:b/>
                <w:bCs/>
                <w:sz w:val="24"/>
                <w:szCs w:val="24"/>
              </w:rPr>
              <w:t>. Diagnostic criteria for Familial Mediterranean Fever (FMF).</w:t>
            </w:r>
          </w:p>
        </w:tc>
      </w:tr>
      <w:tr w:rsidR="005364A4" w:rsidRPr="005F4FBF" w14:paraId="445DAE4B" w14:textId="77777777" w:rsidTr="00972194">
        <w:trPr>
          <w:trHeight w:val="268"/>
          <w:tblHeader/>
        </w:trPr>
        <w:tc>
          <w:tcPr>
            <w:tcW w:w="10632" w:type="dxa"/>
            <w:gridSpan w:val="2"/>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14:paraId="7D691BD5" w14:textId="7104ACBC"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1) Tel</w:t>
            </w:r>
            <w:r w:rsidR="00814565" w:rsidRPr="005F4FBF">
              <w:rPr>
                <w:rFonts w:ascii="Times New Roman" w:hAnsi="Times New Roman" w:cs="Times New Roman"/>
                <w:b/>
                <w:bCs/>
              </w:rPr>
              <w:t>-</w:t>
            </w:r>
            <w:proofErr w:type="spellStart"/>
            <w:r w:rsidRPr="005F4FBF">
              <w:rPr>
                <w:rFonts w:ascii="Times New Roman" w:hAnsi="Times New Roman" w:cs="Times New Roman"/>
                <w:b/>
                <w:bCs/>
              </w:rPr>
              <w:t>Hashomer</w:t>
            </w:r>
            <w:proofErr w:type="spellEnd"/>
            <w:r w:rsidRPr="005F4FBF">
              <w:rPr>
                <w:rFonts w:ascii="Times New Roman" w:hAnsi="Times New Roman" w:cs="Times New Roman"/>
                <w:b/>
                <w:bCs/>
              </w:rPr>
              <w:t xml:space="preserve"> criteria.</w:t>
            </w:r>
          </w:p>
        </w:tc>
      </w:tr>
      <w:tr w:rsidR="005364A4" w:rsidRPr="005F4FBF" w14:paraId="7BF85125" w14:textId="77777777" w:rsidTr="00972194">
        <w:tblPrEx>
          <w:shd w:val="clear" w:color="auto" w:fill="auto"/>
        </w:tblPrEx>
        <w:trPr>
          <w:trHeight w:val="238"/>
        </w:trPr>
        <w:tc>
          <w:tcPr>
            <w:tcW w:w="5501" w:type="dxa"/>
            <w:tcBorders>
              <w:top w:val="single" w:sz="4" w:space="0" w:color="000000"/>
              <w:left w:val="single" w:sz="8" w:space="0" w:color="000000"/>
              <w:bottom w:val="single" w:sz="2" w:space="0" w:color="000000"/>
              <w:right w:val="single" w:sz="2" w:space="0" w:color="000000"/>
            </w:tcBorders>
            <w:shd w:val="clear" w:color="auto" w:fill="E3E4E4"/>
            <w:tcMar>
              <w:top w:w="80" w:type="dxa"/>
              <w:left w:w="80" w:type="dxa"/>
              <w:bottom w:w="80" w:type="dxa"/>
              <w:right w:w="80" w:type="dxa"/>
            </w:tcMar>
          </w:tcPr>
          <w:p w14:paraId="58F44D15"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 xml:space="preserve">Major </w:t>
            </w:r>
            <w:proofErr w:type="spellStart"/>
            <w:r w:rsidRPr="005F4FBF">
              <w:rPr>
                <w:rFonts w:ascii="Times New Roman" w:hAnsi="Times New Roman" w:cs="Times New Roman"/>
                <w:b/>
                <w:bCs/>
              </w:rPr>
              <w:t>crieria</w:t>
            </w:r>
            <w:proofErr w:type="spellEnd"/>
          </w:p>
        </w:tc>
        <w:tc>
          <w:tcPr>
            <w:tcW w:w="5131" w:type="dxa"/>
            <w:tcBorders>
              <w:top w:val="single" w:sz="4" w:space="0" w:color="000000"/>
              <w:left w:val="single" w:sz="2" w:space="0" w:color="000000"/>
              <w:bottom w:val="single" w:sz="2" w:space="0" w:color="000000"/>
              <w:right w:val="single" w:sz="8" w:space="0" w:color="000000"/>
            </w:tcBorders>
            <w:shd w:val="clear" w:color="auto" w:fill="E3E4E4"/>
            <w:tcMar>
              <w:top w:w="80" w:type="dxa"/>
              <w:left w:w="80" w:type="dxa"/>
              <w:bottom w:w="80" w:type="dxa"/>
              <w:right w:w="80" w:type="dxa"/>
            </w:tcMar>
          </w:tcPr>
          <w:p w14:paraId="2F3E16AA"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Minor criteria</w:t>
            </w:r>
          </w:p>
        </w:tc>
      </w:tr>
      <w:tr w:rsidR="005364A4" w:rsidRPr="005F4FBF" w14:paraId="1B177A60" w14:textId="77777777" w:rsidTr="00972194">
        <w:tblPrEx>
          <w:shd w:val="clear" w:color="auto" w:fill="auto"/>
        </w:tblPrEx>
        <w:trPr>
          <w:trHeight w:val="54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004DED09"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Recurrent episodes of fever and serositis (peritonitis, synovitis or pleuritis)</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488B17A9"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Recurrent episodes of fever</w:t>
            </w:r>
          </w:p>
        </w:tc>
      </w:tr>
      <w:tr w:rsidR="005364A4" w:rsidRPr="005F4FBF" w14:paraId="2C2F3A45"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EBE7DC7"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Primary AA type amyloidosis</w:t>
            </w:r>
          </w:p>
        </w:tc>
        <w:tc>
          <w:tcPr>
            <w:tcW w:w="513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CEC3162"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Erysipelas-like erythema</w:t>
            </w:r>
          </w:p>
        </w:tc>
      </w:tr>
      <w:tr w:rsidR="005364A4" w:rsidRPr="005F4FBF" w14:paraId="61AF6791" w14:textId="77777777" w:rsidTr="00972194">
        <w:tblPrEx>
          <w:shd w:val="clear" w:color="auto" w:fill="auto"/>
        </w:tblPrEx>
        <w:trPr>
          <w:trHeight w:val="437"/>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2ADB2F5A"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Favorable response to colchicine treatment</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35B451B5"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Documented FMF in a first-degree relative</w:t>
            </w:r>
          </w:p>
        </w:tc>
      </w:tr>
      <w:tr w:rsidR="005364A4" w:rsidRPr="005F4FBF" w14:paraId="2445B2CC" w14:textId="77777777" w:rsidTr="00972194">
        <w:tblPrEx>
          <w:shd w:val="clear" w:color="auto" w:fill="auto"/>
        </w:tblPrEx>
        <w:trPr>
          <w:trHeight w:val="437"/>
        </w:trPr>
        <w:tc>
          <w:tcPr>
            <w:tcW w:w="10632" w:type="dxa"/>
            <w:gridSpan w:val="2"/>
            <w:tcBorders>
              <w:top w:val="single" w:sz="2" w:space="0" w:color="000000"/>
              <w:left w:val="single" w:sz="8" w:space="0" w:color="000000"/>
              <w:bottom w:val="single" w:sz="8" w:space="0" w:color="000000"/>
              <w:right w:val="single" w:sz="8" w:space="0" w:color="000000"/>
            </w:tcBorders>
            <w:shd w:val="clear" w:color="auto" w:fill="E3E4E4"/>
            <w:tcMar>
              <w:top w:w="80" w:type="dxa"/>
              <w:left w:w="80" w:type="dxa"/>
              <w:bottom w:w="80" w:type="dxa"/>
              <w:right w:w="80" w:type="dxa"/>
            </w:tcMar>
          </w:tcPr>
          <w:p w14:paraId="21250536"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Diagnosis is made if ≥ 2 major criteria or 1 major + 2 minor criteria are satisfied.</w:t>
            </w:r>
          </w:p>
        </w:tc>
      </w:tr>
      <w:tr w:rsidR="005364A4" w:rsidRPr="005F4FBF" w14:paraId="27F92897" w14:textId="77777777" w:rsidTr="00972194">
        <w:tblPrEx>
          <w:shd w:val="clear" w:color="auto" w:fill="auto"/>
        </w:tblPrEx>
        <w:trPr>
          <w:trHeight w:val="265"/>
        </w:trPr>
        <w:tc>
          <w:tcPr>
            <w:tcW w:w="10632" w:type="dxa"/>
            <w:gridSpan w:val="2"/>
            <w:tcBorders>
              <w:top w:val="single" w:sz="8" w:space="0" w:color="000000"/>
              <w:left w:val="single" w:sz="8" w:space="0" w:color="000000"/>
              <w:bottom w:val="single" w:sz="2" w:space="0" w:color="000000"/>
              <w:right w:val="single" w:sz="8" w:space="0" w:color="000000"/>
            </w:tcBorders>
            <w:shd w:val="clear" w:color="auto" w:fill="BEC0BF"/>
            <w:tcMar>
              <w:top w:w="80" w:type="dxa"/>
              <w:left w:w="80" w:type="dxa"/>
              <w:bottom w:w="80" w:type="dxa"/>
              <w:right w:w="80" w:type="dxa"/>
            </w:tcMar>
          </w:tcPr>
          <w:p w14:paraId="20E90F35" w14:textId="49AE3535"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2) Simplified criteria</w:t>
            </w:r>
            <w:r w:rsidR="00E167D9" w:rsidRPr="005F4FBF">
              <w:rPr>
                <w:rFonts w:ascii="Times New Roman" w:hAnsi="Times New Roman" w:cs="Times New Roman"/>
                <w:b/>
                <w:bCs/>
                <w:vertAlign w:val="superscript"/>
              </w:rPr>
              <w:t xml:space="preserve"> 4</w:t>
            </w:r>
          </w:p>
        </w:tc>
      </w:tr>
      <w:tr w:rsidR="005364A4" w:rsidRPr="005F4FBF" w14:paraId="71C847DF" w14:textId="77777777" w:rsidTr="00972194">
        <w:tblPrEx>
          <w:shd w:val="clear" w:color="auto" w:fill="auto"/>
        </w:tblPrEx>
        <w:trPr>
          <w:trHeight w:val="236"/>
        </w:trPr>
        <w:tc>
          <w:tcPr>
            <w:tcW w:w="5501" w:type="dxa"/>
            <w:tcBorders>
              <w:top w:val="single" w:sz="2" w:space="0" w:color="000000"/>
              <w:left w:val="single" w:sz="8" w:space="0" w:color="000000"/>
              <w:bottom w:val="single" w:sz="2" w:space="0" w:color="000000"/>
              <w:right w:val="single" w:sz="2" w:space="0" w:color="000000"/>
            </w:tcBorders>
            <w:shd w:val="clear" w:color="auto" w:fill="E3E4E4"/>
            <w:tcMar>
              <w:top w:w="80" w:type="dxa"/>
              <w:left w:w="80" w:type="dxa"/>
              <w:bottom w:w="80" w:type="dxa"/>
              <w:right w:w="80" w:type="dxa"/>
            </w:tcMar>
          </w:tcPr>
          <w:p w14:paraId="1C96F582"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 xml:space="preserve">Major criteria </w:t>
            </w:r>
          </w:p>
        </w:tc>
        <w:tc>
          <w:tcPr>
            <w:tcW w:w="5131" w:type="dxa"/>
            <w:tcBorders>
              <w:top w:val="single" w:sz="2" w:space="0" w:color="000000"/>
              <w:left w:val="single" w:sz="2" w:space="0" w:color="000000"/>
              <w:bottom w:val="single" w:sz="2" w:space="0" w:color="000000"/>
              <w:right w:val="single" w:sz="8" w:space="0" w:color="000000"/>
            </w:tcBorders>
            <w:shd w:val="clear" w:color="auto" w:fill="E3E4E4"/>
            <w:tcMar>
              <w:top w:w="80" w:type="dxa"/>
              <w:left w:w="80" w:type="dxa"/>
              <w:bottom w:w="80" w:type="dxa"/>
              <w:right w:w="80" w:type="dxa"/>
            </w:tcMar>
          </w:tcPr>
          <w:p w14:paraId="66554F18"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b/>
                <w:bCs/>
              </w:rPr>
              <w:t>Minor criteria</w:t>
            </w:r>
          </w:p>
        </w:tc>
      </w:tr>
      <w:tr w:rsidR="005364A4" w:rsidRPr="005F4FBF" w14:paraId="7BD22C42" w14:textId="77777777" w:rsidTr="00972194">
        <w:tblPrEx>
          <w:shd w:val="clear" w:color="auto" w:fill="auto"/>
        </w:tblPrEx>
        <w:trPr>
          <w:trHeight w:val="516"/>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2B7A3564"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Typical attacks*</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0A5F0F14"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Incomplete attacks</w:t>
            </w:r>
            <w:r w:rsidRPr="005F4FBF">
              <w:rPr>
                <w:rFonts w:ascii="Times New Roman" w:hAnsi="Times New Roman" w:cs="Times New Roman"/>
                <w:vertAlign w:val="superscript"/>
              </w:rPr>
              <w:t>#</w:t>
            </w:r>
            <w:r w:rsidRPr="005F4FBF">
              <w:rPr>
                <w:rFonts w:ascii="Times New Roman" w:hAnsi="Times New Roman" w:cs="Times New Roman"/>
              </w:rPr>
              <w:t xml:space="preserve"> involving either or both the following site: </w:t>
            </w:r>
          </w:p>
        </w:tc>
      </w:tr>
      <w:tr w:rsidR="005364A4" w:rsidRPr="005F4FBF" w14:paraId="115089D3"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48F8D072"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Generalized peritonitis</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0C61719F"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1. Chest</w:t>
            </w:r>
          </w:p>
        </w:tc>
      </w:tr>
      <w:tr w:rsidR="005364A4" w:rsidRPr="005F4FBF" w14:paraId="60673C9B"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59C42BCF"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Unilateral pleuritis or pericarditis</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55D17AF7"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2. Joint</w:t>
            </w:r>
          </w:p>
        </w:tc>
      </w:tr>
      <w:tr w:rsidR="005364A4" w:rsidRPr="005F4FBF" w14:paraId="208FBCCF"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738CEF35" w14:textId="77777777" w:rsidR="005364A4" w:rsidRPr="005F4FBF" w:rsidRDefault="005364A4" w:rsidP="00972194">
            <w:pPr>
              <w:pStyle w:val="CorpoA"/>
              <w:spacing w:line="360" w:lineRule="auto"/>
              <w:rPr>
                <w:rFonts w:ascii="Times New Roman" w:hAnsi="Times New Roman" w:cs="Times New Roman"/>
              </w:rPr>
            </w:pPr>
            <w:proofErr w:type="spellStart"/>
            <w:r w:rsidRPr="005F4FBF">
              <w:rPr>
                <w:rFonts w:ascii="Times New Roman" w:hAnsi="Times New Roman" w:cs="Times New Roman"/>
              </w:rPr>
              <w:t>Monoarthritis</w:t>
            </w:r>
            <w:proofErr w:type="spellEnd"/>
            <w:r w:rsidRPr="005F4FBF">
              <w:rPr>
                <w:rFonts w:ascii="Times New Roman" w:hAnsi="Times New Roman" w:cs="Times New Roman"/>
              </w:rPr>
              <w:t xml:space="preserve"> (of hip, knee, ankle)</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00C1A97C"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Exertional leg pain</w:t>
            </w:r>
          </w:p>
        </w:tc>
      </w:tr>
      <w:tr w:rsidR="005364A4" w:rsidRPr="005F4FBF" w14:paraId="288774C5"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454B24F8"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Fever alone</w:t>
            </w:r>
          </w:p>
        </w:tc>
        <w:tc>
          <w:tcPr>
            <w:tcW w:w="5131"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6ED62647"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Favorable response to colchicine treatment</w:t>
            </w:r>
          </w:p>
        </w:tc>
      </w:tr>
      <w:tr w:rsidR="005364A4" w:rsidRPr="005F4FBF" w14:paraId="5516453B" w14:textId="77777777" w:rsidTr="00972194">
        <w:tblPrEx>
          <w:shd w:val="clear" w:color="auto" w:fill="auto"/>
        </w:tblPrEx>
        <w:trPr>
          <w:trHeight w:val="265"/>
        </w:trPr>
        <w:tc>
          <w:tcPr>
            <w:tcW w:w="5501"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6F977085"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Incomplete abdominal attack</w:t>
            </w:r>
          </w:p>
        </w:tc>
        <w:tc>
          <w:tcPr>
            <w:tcW w:w="513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FC49F0C" w14:textId="77777777" w:rsidR="005364A4" w:rsidRPr="005F4FBF" w:rsidRDefault="005364A4" w:rsidP="00972194">
            <w:pPr>
              <w:pStyle w:val="CorpoA"/>
              <w:spacing w:line="360" w:lineRule="auto"/>
              <w:rPr>
                <w:rFonts w:ascii="Times New Roman" w:hAnsi="Times New Roman" w:cs="Times New Roman"/>
              </w:rPr>
            </w:pPr>
          </w:p>
        </w:tc>
      </w:tr>
      <w:tr w:rsidR="005364A4" w:rsidRPr="005F4FBF" w14:paraId="4C495A34" w14:textId="77777777" w:rsidTr="00972194">
        <w:tblPrEx>
          <w:shd w:val="clear" w:color="auto" w:fill="auto"/>
        </w:tblPrEx>
        <w:trPr>
          <w:trHeight w:val="2464"/>
        </w:trPr>
        <w:tc>
          <w:tcPr>
            <w:tcW w:w="10632" w:type="dxa"/>
            <w:gridSpan w:val="2"/>
            <w:tcBorders>
              <w:top w:val="single" w:sz="2" w:space="0" w:color="000000"/>
              <w:left w:val="single" w:sz="8" w:space="0" w:color="000000"/>
              <w:bottom w:val="single" w:sz="8" w:space="0" w:color="000000"/>
              <w:right w:val="single" w:sz="8" w:space="0" w:color="000000"/>
            </w:tcBorders>
            <w:shd w:val="clear" w:color="auto" w:fill="E3E4E4"/>
            <w:tcMar>
              <w:top w:w="80" w:type="dxa"/>
              <w:left w:w="80" w:type="dxa"/>
              <w:bottom w:w="80" w:type="dxa"/>
              <w:right w:w="80" w:type="dxa"/>
            </w:tcMar>
          </w:tcPr>
          <w:p w14:paraId="526AD946" w14:textId="77777777"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rPr>
              <w:t>Diagnosis is made if ≥ 1 major or ≥ 2 minor criteria are satisfied.</w:t>
            </w:r>
          </w:p>
          <w:p w14:paraId="681E4165" w14:textId="77777777" w:rsidR="005364A4" w:rsidRPr="005F4FBF" w:rsidRDefault="005364A4" w:rsidP="00972194">
            <w:pPr>
              <w:pStyle w:val="CorpoA"/>
              <w:numPr>
                <w:ilvl w:val="0"/>
                <w:numId w:val="1"/>
              </w:numPr>
              <w:spacing w:line="360" w:lineRule="auto"/>
              <w:rPr>
                <w:rFonts w:ascii="Times New Roman" w:hAnsi="Times New Roman" w:cs="Times New Roman"/>
              </w:rPr>
            </w:pPr>
            <w:r w:rsidRPr="005F4FBF">
              <w:rPr>
                <w:rFonts w:ascii="Times New Roman" w:hAnsi="Times New Roman" w:cs="Times New Roman"/>
              </w:rPr>
              <w:t>Typical attacks are defined as: recurrent (at least three episodes), febrile (rectal temperature ≥ 38 °C) and short in duration (12 hours to 3 days).</w:t>
            </w:r>
          </w:p>
          <w:p w14:paraId="363FE538" w14:textId="7515A03D" w:rsidR="005364A4" w:rsidRPr="005F4FBF" w:rsidRDefault="005364A4" w:rsidP="00972194">
            <w:pPr>
              <w:pStyle w:val="CorpoA"/>
              <w:spacing w:line="360" w:lineRule="auto"/>
              <w:rPr>
                <w:rFonts w:ascii="Times New Roman" w:hAnsi="Times New Roman" w:cs="Times New Roman"/>
              </w:rPr>
            </w:pPr>
            <w:r w:rsidRPr="005F4FBF">
              <w:rPr>
                <w:rFonts w:ascii="Times New Roman" w:hAnsi="Times New Roman" w:cs="Times New Roman"/>
                <w:vertAlign w:val="superscript"/>
              </w:rPr>
              <w:t>#</w:t>
            </w:r>
            <w:r w:rsidRPr="005F4FBF">
              <w:rPr>
                <w:rFonts w:ascii="Times New Roman" w:hAnsi="Times New Roman" w:cs="Times New Roman"/>
              </w:rPr>
              <w:t xml:space="preserve"> Incomplete attacks are defined as recurrent attacks that differ from Typical* in one or two of the following features: a) temperature &lt;38 °C; b) duration longer or shorter than a typical attack, but no less than six hours and no more than seven days); c) no signs of peritonitis during the attacks; d) localized abdominal attacks; e) arthritis in a location other than the hip, knee or ankle. </w:t>
            </w:r>
          </w:p>
        </w:tc>
      </w:tr>
    </w:tbl>
    <w:p w14:paraId="34E88C16" w14:textId="5852E80E" w:rsidR="005364A4" w:rsidRPr="005F4FBF" w:rsidRDefault="005364A4">
      <w:pPr>
        <w:pStyle w:val="CorpoA"/>
        <w:spacing w:line="480" w:lineRule="auto"/>
        <w:rPr>
          <w:rFonts w:ascii="Times New Roman" w:hAnsi="Times New Roman" w:cs="Times New Roman"/>
          <w:sz w:val="24"/>
          <w:szCs w:val="24"/>
        </w:rPr>
      </w:pPr>
    </w:p>
    <w:p w14:paraId="102F9546" w14:textId="53D1419D" w:rsidR="005364A4" w:rsidRPr="005F4FBF" w:rsidRDefault="005364A4" w:rsidP="005364A4">
      <w:pPr>
        <w:rPr>
          <w:color w:val="000000"/>
          <w:u w:color="000000"/>
          <w:lang w:eastAsia="en-GB"/>
          <w14:textOutline w14:w="12700" w14:cap="flat" w14:cmpd="sng" w14:algn="ctr">
            <w14:noFill/>
            <w14:prstDash w14:val="solid"/>
            <w14:miter w14:lim="400000"/>
          </w14:textOutline>
        </w:rPr>
      </w:pPr>
      <w:r w:rsidRPr="005F4FBF">
        <w:br w:type="page"/>
      </w:r>
    </w:p>
    <w:tbl>
      <w:tblPr>
        <w:tblW w:w="10491" w:type="dxa"/>
        <w:tblInd w:w="-43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1135"/>
        <w:gridCol w:w="1276"/>
        <w:gridCol w:w="1590"/>
        <w:gridCol w:w="1670"/>
        <w:gridCol w:w="1418"/>
        <w:gridCol w:w="1796"/>
        <w:gridCol w:w="1606"/>
      </w:tblGrid>
      <w:tr w:rsidR="00EB4732" w:rsidRPr="005F4FBF" w14:paraId="148015C1" w14:textId="77777777" w:rsidTr="03181FAF">
        <w:trPr>
          <w:trHeight w:val="297"/>
          <w:tblHeader/>
        </w:trPr>
        <w:tc>
          <w:tcPr>
            <w:tcW w:w="10491"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EFE"/>
            <w:tcMar>
              <w:top w:w="80" w:type="dxa"/>
              <w:left w:w="80" w:type="dxa"/>
              <w:bottom w:w="80" w:type="dxa"/>
              <w:right w:w="80" w:type="dxa"/>
            </w:tcMar>
          </w:tcPr>
          <w:p w14:paraId="1E1E8925" w14:textId="005C5374" w:rsidR="00EB4732" w:rsidRPr="005F4FBF" w:rsidRDefault="00D81015" w:rsidP="00B00E7B">
            <w:pPr>
              <w:pStyle w:val="Corpo"/>
              <w:rPr>
                <w:sz w:val="24"/>
                <w:szCs w:val="24"/>
              </w:rPr>
            </w:pPr>
            <w:r w:rsidRPr="005F4FBF">
              <w:rPr>
                <w:rFonts w:ascii="Times New Roman" w:hAnsi="Times New Roman"/>
                <w:b/>
                <w:bCs/>
                <w:sz w:val="24"/>
                <w:szCs w:val="24"/>
                <w:lang w:val="en-US"/>
              </w:rPr>
              <w:lastRenderedPageBreak/>
              <w:t>Supplementary t</w:t>
            </w:r>
            <w:r w:rsidR="00EB4732" w:rsidRPr="005F4FBF">
              <w:rPr>
                <w:rFonts w:ascii="Times New Roman" w:hAnsi="Times New Roman"/>
                <w:b/>
                <w:bCs/>
                <w:sz w:val="24"/>
                <w:szCs w:val="24"/>
              </w:rPr>
              <w:t xml:space="preserve">able </w:t>
            </w:r>
            <w:r w:rsidR="005642B8" w:rsidRPr="005F4FBF">
              <w:rPr>
                <w:rFonts w:ascii="Times New Roman" w:hAnsi="Times New Roman"/>
                <w:b/>
                <w:bCs/>
                <w:sz w:val="24"/>
                <w:szCs w:val="24"/>
                <w:lang w:val="en-US"/>
              </w:rPr>
              <w:t>3</w:t>
            </w:r>
            <w:r w:rsidR="00EB4732" w:rsidRPr="005F4FBF">
              <w:rPr>
                <w:rFonts w:ascii="Times New Roman" w:hAnsi="Times New Roman"/>
                <w:b/>
                <w:bCs/>
                <w:sz w:val="24"/>
                <w:szCs w:val="24"/>
              </w:rPr>
              <w:t xml:space="preserve">. Cases </w:t>
            </w:r>
            <w:r w:rsidR="006A0ED4" w:rsidRPr="005F4FBF">
              <w:rPr>
                <w:rFonts w:ascii="Times New Roman" w:hAnsi="Times New Roman"/>
                <w:b/>
                <w:bCs/>
                <w:sz w:val="24"/>
                <w:szCs w:val="24"/>
                <w:lang w:val="en-US"/>
              </w:rPr>
              <w:t>of</w:t>
            </w:r>
            <w:r w:rsidR="00EB4732" w:rsidRPr="005F4FBF">
              <w:rPr>
                <w:rFonts w:ascii="Times New Roman" w:hAnsi="Times New Roman"/>
                <w:b/>
                <w:bCs/>
                <w:sz w:val="24"/>
                <w:szCs w:val="24"/>
              </w:rPr>
              <w:t xml:space="preserve"> documented neonatal</w:t>
            </w:r>
            <w:r w:rsidR="00E677CD" w:rsidRPr="005F4FBF">
              <w:rPr>
                <w:rFonts w:ascii="Times New Roman" w:hAnsi="Times New Roman"/>
                <w:b/>
                <w:bCs/>
                <w:sz w:val="24"/>
                <w:szCs w:val="24"/>
                <w:lang w:val="en-US"/>
              </w:rPr>
              <w:t>-</w:t>
            </w:r>
            <w:r w:rsidR="00EB4732" w:rsidRPr="005F4FBF">
              <w:rPr>
                <w:rFonts w:ascii="Times New Roman" w:hAnsi="Times New Roman"/>
                <w:b/>
                <w:bCs/>
                <w:sz w:val="24"/>
                <w:szCs w:val="24"/>
              </w:rPr>
              <w:t xml:space="preserve">onset </w:t>
            </w:r>
            <w:r w:rsidR="00E677CD" w:rsidRPr="005F4FBF">
              <w:rPr>
                <w:rFonts w:ascii="Times New Roman" w:hAnsi="Times New Roman"/>
                <w:b/>
                <w:bCs/>
                <w:sz w:val="24"/>
                <w:szCs w:val="24"/>
                <w:lang w:val="en-US"/>
              </w:rPr>
              <w:t>FMF</w:t>
            </w:r>
            <w:r w:rsidR="006A0ED4" w:rsidRPr="005F4FBF">
              <w:rPr>
                <w:rFonts w:ascii="Times New Roman" w:hAnsi="Times New Roman"/>
                <w:b/>
                <w:bCs/>
                <w:sz w:val="24"/>
                <w:szCs w:val="24"/>
                <w:lang w:val="en-US"/>
              </w:rPr>
              <w:t xml:space="preserve"> in the literature</w:t>
            </w:r>
            <w:r w:rsidR="00EB4732" w:rsidRPr="005F4FBF">
              <w:rPr>
                <w:rFonts w:ascii="Times New Roman" w:hAnsi="Times New Roman"/>
                <w:b/>
                <w:bCs/>
                <w:sz w:val="24"/>
                <w:szCs w:val="24"/>
              </w:rPr>
              <w:t>.</w:t>
            </w:r>
          </w:p>
        </w:tc>
      </w:tr>
      <w:tr w:rsidR="00D773C2" w:rsidRPr="005F4FBF" w14:paraId="5EA04E22" w14:textId="77777777" w:rsidTr="03181FAF">
        <w:tblPrEx>
          <w:shd w:val="clear" w:color="auto" w:fill="auto"/>
        </w:tblPrEx>
        <w:trPr>
          <w:trHeight w:val="246"/>
        </w:trPr>
        <w:tc>
          <w:tcPr>
            <w:tcW w:w="1135"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5389B17C" w14:textId="759EC141" w:rsidR="00E677CD" w:rsidRPr="005F4FBF" w:rsidRDefault="00E677CD" w:rsidP="00ED3A20">
            <w:pPr>
              <w:pStyle w:val="Stiletabella1"/>
              <w:spacing w:line="276" w:lineRule="auto"/>
              <w:rPr>
                <w:rFonts w:ascii="Times New Roman" w:hAnsi="Times New Roman"/>
                <w:lang w:val="fr-CH"/>
              </w:rPr>
            </w:pPr>
            <w:proofErr w:type="spellStart"/>
            <w:r w:rsidRPr="005F4FBF">
              <w:rPr>
                <w:rFonts w:ascii="Times New Roman" w:hAnsi="Times New Roman"/>
                <w:lang w:val="fr-CH"/>
              </w:rPr>
              <w:t>Study</w:t>
            </w:r>
            <w:proofErr w:type="spellEnd"/>
          </w:p>
          <w:p w14:paraId="7A07915C" w14:textId="77777777" w:rsidR="00EB4732" w:rsidRPr="005F4FBF" w:rsidRDefault="00EB4732" w:rsidP="00ED3A20">
            <w:pPr>
              <w:pStyle w:val="Stiletabella1"/>
              <w:spacing w:line="276" w:lineRule="auto"/>
            </w:pPr>
            <w:r w:rsidRPr="005F4FBF">
              <w:rPr>
                <w:rFonts w:ascii="Times New Roman" w:hAnsi="Times New Roman"/>
              </w:rPr>
              <w:t>(year)</w:t>
            </w:r>
          </w:p>
        </w:tc>
        <w:tc>
          <w:tcPr>
            <w:tcW w:w="1276" w:type="dxa"/>
            <w:vMerge w:val="restar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5FECF241" w14:textId="77777777" w:rsidR="00EB4732" w:rsidRPr="005F4FBF" w:rsidRDefault="00EB4732" w:rsidP="00ED3A20">
            <w:pPr>
              <w:pStyle w:val="Stiletabella2"/>
              <w:spacing w:line="276" w:lineRule="auto"/>
              <w:jc w:val="center"/>
              <w:rPr>
                <w:rFonts w:ascii="Times New Roman" w:hAnsi="Times New Roman"/>
                <w:b/>
                <w:bCs/>
              </w:rPr>
            </w:pPr>
            <w:r w:rsidRPr="005F4FBF">
              <w:rPr>
                <w:rFonts w:ascii="Times New Roman" w:hAnsi="Times New Roman"/>
                <w:b/>
                <w:bCs/>
              </w:rPr>
              <w:t>Total patients</w:t>
            </w:r>
          </w:p>
          <w:p w14:paraId="0F607774" w14:textId="002861B3" w:rsidR="00E677CD" w:rsidRPr="005F4FBF" w:rsidRDefault="00E677CD" w:rsidP="00ED3A20">
            <w:pPr>
              <w:pStyle w:val="Stiletabella2"/>
              <w:spacing w:line="276" w:lineRule="auto"/>
              <w:jc w:val="center"/>
              <w:rPr>
                <w:lang w:val="fr-CH"/>
              </w:rPr>
            </w:pPr>
            <w:r w:rsidRPr="005F4FBF">
              <w:rPr>
                <w:rFonts w:ascii="Times New Roman" w:hAnsi="Times New Roman"/>
                <w:b/>
                <w:bCs/>
                <w:lang w:val="fr-CH"/>
              </w:rPr>
              <w:t>(</w:t>
            </w:r>
            <w:proofErr w:type="gramStart"/>
            <w:r w:rsidRPr="005F4FBF">
              <w:rPr>
                <w:rFonts w:ascii="Times New Roman" w:hAnsi="Times New Roman"/>
                <w:b/>
                <w:bCs/>
                <w:lang w:val="fr-CH"/>
              </w:rPr>
              <w:t>n</w:t>
            </w:r>
            <w:proofErr w:type="gramEnd"/>
            <w:r w:rsidRPr="005F4FBF">
              <w:rPr>
                <w:rFonts w:ascii="Times New Roman" w:hAnsi="Times New Roman"/>
                <w:b/>
                <w:bCs/>
                <w:lang w:val="fr-CH"/>
              </w:rPr>
              <w:t>)</w:t>
            </w:r>
          </w:p>
        </w:tc>
        <w:tc>
          <w:tcPr>
            <w:tcW w:w="1590" w:type="dxa"/>
            <w:vMerge w:val="restar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02D34887" w14:textId="423D4756" w:rsidR="00EB4732" w:rsidRPr="005F4FBF" w:rsidRDefault="00EB4732" w:rsidP="005B4A4D">
            <w:pPr>
              <w:pStyle w:val="Stiletabella2"/>
              <w:spacing w:line="276" w:lineRule="auto"/>
              <w:jc w:val="center"/>
              <w:rPr>
                <w:rFonts w:ascii="Times New Roman" w:hAnsi="Times New Roman"/>
                <w:b/>
                <w:bCs/>
              </w:rPr>
            </w:pPr>
            <w:r w:rsidRPr="005F4FBF">
              <w:rPr>
                <w:rFonts w:ascii="Times New Roman" w:hAnsi="Times New Roman"/>
                <w:b/>
                <w:bCs/>
              </w:rPr>
              <w:t xml:space="preserve">Median </w:t>
            </w:r>
            <w:r w:rsidR="005B4A4D" w:rsidRPr="005F4FBF">
              <w:rPr>
                <w:rFonts w:ascii="Times New Roman" w:hAnsi="Times New Roman"/>
                <w:b/>
                <w:bCs/>
              </w:rPr>
              <w:t>age</w:t>
            </w:r>
            <w:r w:rsidR="005B4A4D" w:rsidRPr="005F4FBF">
              <w:rPr>
                <w:rFonts w:ascii="Times New Roman" w:hAnsi="Times New Roman"/>
                <w:b/>
                <w:bCs/>
                <w:lang w:val="en-US"/>
              </w:rPr>
              <w:t xml:space="preserve"> (range) </w:t>
            </w:r>
            <w:r w:rsidRPr="005F4FBF">
              <w:rPr>
                <w:rFonts w:ascii="Times New Roman" w:hAnsi="Times New Roman"/>
                <w:b/>
                <w:bCs/>
              </w:rPr>
              <w:t xml:space="preserve">at disease onset </w:t>
            </w:r>
          </w:p>
        </w:tc>
        <w:tc>
          <w:tcPr>
            <w:tcW w:w="1670" w:type="dxa"/>
            <w:vMerge w:val="restar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3070F2E5" w14:textId="77777777" w:rsidR="00E677CD" w:rsidRPr="005F4FBF" w:rsidRDefault="00EB4732" w:rsidP="00ED3A20">
            <w:pPr>
              <w:pStyle w:val="Stiletabella2"/>
              <w:spacing w:line="276" w:lineRule="auto"/>
              <w:jc w:val="center"/>
              <w:rPr>
                <w:rFonts w:ascii="Times New Roman" w:hAnsi="Times New Roman"/>
                <w:b/>
                <w:bCs/>
              </w:rPr>
            </w:pPr>
            <w:r w:rsidRPr="005F4FBF">
              <w:rPr>
                <w:rFonts w:ascii="Times New Roman" w:hAnsi="Times New Roman"/>
                <w:b/>
                <w:bCs/>
              </w:rPr>
              <w:t xml:space="preserve">Symptoms at onset </w:t>
            </w:r>
          </w:p>
          <w:p w14:paraId="7E921D09" w14:textId="21756A05" w:rsidR="00EB4732" w:rsidRPr="005F4FBF" w:rsidRDefault="00EB4732" w:rsidP="00ED3A20">
            <w:pPr>
              <w:pStyle w:val="Stiletabella2"/>
              <w:spacing w:line="276" w:lineRule="auto"/>
              <w:jc w:val="center"/>
            </w:pPr>
            <w:r w:rsidRPr="005F4FBF">
              <w:rPr>
                <w:rFonts w:ascii="Times New Roman" w:hAnsi="Times New Roman"/>
                <w:b/>
                <w:bCs/>
              </w:rPr>
              <w:t>(n)</w:t>
            </w:r>
          </w:p>
        </w:tc>
        <w:tc>
          <w:tcPr>
            <w:tcW w:w="1418" w:type="dxa"/>
            <w:vMerge w:val="restar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2205B211" w14:textId="436F2DB2" w:rsidR="00E677CD" w:rsidRPr="005F4FBF" w:rsidRDefault="03181FAF" w:rsidP="00ED3A20">
            <w:pPr>
              <w:pStyle w:val="Stiletabella2"/>
              <w:spacing w:line="276" w:lineRule="auto"/>
              <w:jc w:val="center"/>
              <w:rPr>
                <w:rFonts w:ascii="Times New Roman" w:hAnsi="Times New Roman"/>
                <w:b/>
                <w:bCs/>
              </w:rPr>
            </w:pPr>
            <w:r w:rsidRPr="005F4FBF">
              <w:rPr>
                <w:rFonts w:ascii="Times New Roman" w:hAnsi="Times New Roman"/>
                <w:b/>
                <w:bCs/>
              </w:rPr>
              <w:t xml:space="preserve">Median age at treatment start </w:t>
            </w:r>
          </w:p>
          <w:p w14:paraId="4670D2BD" w14:textId="4F4B97A7" w:rsidR="00EB4732" w:rsidRPr="005F4FBF" w:rsidRDefault="00EB4732" w:rsidP="00ED3A20">
            <w:pPr>
              <w:pStyle w:val="Stiletabella2"/>
              <w:spacing w:line="276" w:lineRule="auto"/>
              <w:jc w:val="center"/>
            </w:pPr>
            <w:r w:rsidRPr="005F4FBF">
              <w:rPr>
                <w:rFonts w:ascii="Times New Roman" w:hAnsi="Times New Roman"/>
                <w:b/>
                <w:bCs/>
              </w:rPr>
              <w:t>(range)</w:t>
            </w:r>
          </w:p>
        </w:tc>
        <w:tc>
          <w:tcPr>
            <w:tcW w:w="3402" w:type="dxa"/>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BEC0BF"/>
            <w:tcMar>
              <w:top w:w="80" w:type="dxa"/>
              <w:left w:w="80" w:type="dxa"/>
              <w:bottom w:w="80" w:type="dxa"/>
              <w:right w:w="80" w:type="dxa"/>
            </w:tcMar>
          </w:tcPr>
          <w:p w14:paraId="71517FCA" w14:textId="3462ADD3" w:rsidR="00EB4732" w:rsidRPr="005F4FBF" w:rsidRDefault="00EB4732" w:rsidP="00ED3A20">
            <w:pPr>
              <w:pStyle w:val="Stiletabella2"/>
              <w:spacing w:line="276" w:lineRule="auto"/>
              <w:jc w:val="center"/>
            </w:pPr>
            <w:r w:rsidRPr="005F4FBF">
              <w:rPr>
                <w:rFonts w:ascii="Times New Roman" w:hAnsi="Times New Roman"/>
                <w:b/>
                <w:bCs/>
              </w:rPr>
              <w:t>MEF</w:t>
            </w:r>
            <w:r w:rsidR="00E677CD" w:rsidRPr="005F4FBF">
              <w:rPr>
                <w:rFonts w:ascii="Times New Roman" w:hAnsi="Times New Roman"/>
                <w:b/>
                <w:bCs/>
                <w:lang w:val="fr-CH"/>
              </w:rPr>
              <w:t>V</w:t>
            </w:r>
            <w:r w:rsidRPr="005F4FBF">
              <w:rPr>
                <w:rFonts w:ascii="Times New Roman" w:hAnsi="Times New Roman"/>
                <w:b/>
                <w:bCs/>
              </w:rPr>
              <w:t xml:space="preserve"> mutations</w:t>
            </w:r>
          </w:p>
        </w:tc>
      </w:tr>
      <w:tr w:rsidR="00D773C2" w:rsidRPr="005F4FBF" w14:paraId="7C879099" w14:textId="77777777" w:rsidTr="03181FAF">
        <w:tblPrEx>
          <w:shd w:val="clear" w:color="auto" w:fill="auto"/>
        </w:tblPrEx>
        <w:trPr>
          <w:trHeight w:val="560"/>
        </w:trPr>
        <w:tc>
          <w:tcPr>
            <w:tcW w:w="1135" w:type="dxa"/>
            <w:vMerge/>
          </w:tcPr>
          <w:p w14:paraId="46E261F7" w14:textId="77777777" w:rsidR="00EB4732" w:rsidRPr="005F4FBF" w:rsidRDefault="00EB4732" w:rsidP="00ED3A20">
            <w:pPr>
              <w:spacing w:line="480" w:lineRule="auto"/>
              <w:rPr>
                <w:sz w:val="20"/>
                <w:szCs w:val="20"/>
              </w:rPr>
            </w:pPr>
          </w:p>
        </w:tc>
        <w:tc>
          <w:tcPr>
            <w:tcW w:w="1276" w:type="dxa"/>
            <w:vMerge/>
          </w:tcPr>
          <w:p w14:paraId="75D524FB" w14:textId="77777777" w:rsidR="00EB4732" w:rsidRPr="005F4FBF" w:rsidRDefault="00EB4732" w:rsidP="00ED3A20">
            <w:pPr>
              <w:spacing w:line="480" w:lineRule="auto"/>
              <w:rPr>
                <w:sz w:val="20"/>
                <w:szCs w:val="20"/>
              </w:rPr>
            </w:pPr>
          </w:p>
        </w:tc>
        <w:tc>
          <w:tcPr>
            <w:tcW w:w="1590" w:type="dxa"/>
            <w:vMerge/>
          </w:tcPr>
          <w:p w14:paraId="0CF8B2BD" w14:textId="77777777" w:rsidR="00EB4732" w:rsidRPr="005F4FBF" w:rsidRDefault="00EB4732" w:rsidP="00ED3A20">
            <w:pPr>
              <w:spacing w:line="480" w:lineRule="auto"/>
              <w:rPr>
                <w:sz w:val="20"/>
                <w:szCs w:val="20"/>
              </w:rPr>
            </w:pPr>
          </w:p>
        </w:tc>
        <w:tc>
          <w:tcPr>
            <w:tcW w:w="1670" w:type="dxa"/>
            <w:vMerge/>
          </w:tcPr>
          <w:p w14:paraId="3BEDB262" w14:textId="77777777" w:rsidR="00EB4732" w:rsidRPr="005F4FBF" w:rsidRDefault="00EB4732" w:rsidP="00ED3A20">
            <w:pPr>
              <w:spacing w:line="480" w:lineRule="auto"/>
              <w:rPr>
                <w:sz w:val="20"/>
                <w:szCs w:val="20"/>
              </w:rPr>
            </w:pPr>
          </w:p>
        </w:tc>
        <w:tc>
          <w:tcPr>
            <w:tcW w:w="1418" w:type="dxa"/>
            <w:vMerge/>
          </w:tcPr>
          <w:p w14:paraId="28E13C82" w14:textId="77777777" w:rsidR="00EB4732" w:rsidRPr="005F4FBF" w:rsidRDefault="00EB4732" w:rsidP="00ED3A20">
            <w:pPr>
              <w:spacing w:line="480" w:lineRule="auto"/>
              <w:rPr>
                <w:sz w:val="20"/>
                <w:szCs w:val="20"/>
              </w:rPr>
            </w:pPr>
          </w:p>
        </w:tc>
        <w:tc>
          <w:tcPr>
            <w:tcW w:w="1796"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BEC0BF"/>
            <w:tcMar>
              <w:top w:w="80" w:type="dxa"/>
              <w:left w:w="80" w:type="dxa"/>
              <w:bottom w:w="80" w:type="dxa"/>
              <w:right w:w="80" w:type="dxa"/>
            </w:tcMar>
          </w:tcPr>
          <w:p w14:paraId="63DB1813" w14:textId="77777777" w:rsidR="00EB4732" w:rsidRPr="005F4FBF" w:rsidRDefault="00EB4732" w:rsidP="00ED3A20">
            <w:pPr>
              <w:pStyle w:val="Stiletabella2"/>
              <w:spacing w:line="480" w:lineRule="auto"/>
              <w:jc w:val="center"/>
            </w:pPr>
            <w:r w:rsidRPr="005F4FBF">
              <w:rPr>
                <w:rFonts w:ascii="Times New Roman" w:hAnsi="Times New Roman"/>
                <w:b/>
                <w:bCs/>
              </w:rPr>
              <w:t>Genotype</w:t>
            </w:r>
          </w:p>
        </w:tc>
        <w:tc>
          <w:tcPr>
            <w:tcW w:w="1606"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BEC0BF"/>
            <w:tcMar>
              <w:top w:w="80" w:type="dxa"/>
              <w:left w:w="80" w:type="dxa"/>
              <w:bottom w:w="80" w:type="dxa"/>
              <w:right w:w="80" w:type="dxa"/>
            </w:tcMar>
          </w:tcPr>
          <w:p w14:paraId="53F86D57" w14:textId="77777777" w:rsidR="00EB4732" w:rsidRPr="005F4FBF" w:rsidRDefault="00EB4732" w:rsidP="00ED3A20">
            <w:pPr>
              <w:pStyle w:val="Stiletabella2"/>
              <w:spacing w:line="480" w:lineRule="auto"/>
              <w:jc w:val="center"/>
            </w:pPr>
            <w:r w:rsidRPr="005F4FBF">
              <w:rPr>
                <w:rFonts w:ascii="Times New Roman" w:hAnsi="Times New Roman"/>
                <w:b/>
                <w:bCs/>
              </w:rPr>
              <w:t>n (%)</w:t>
            </w:r>
          </w:p>
        </w:tc>
      </w:tr>
      <w:tr w:rsidR="00EB4732" w:rsidRPr="005F4FBF" w14:paraId="39982E5D" w14:textId="77777777" w:rsidTr="03181FAF">
        <w:tblPrEx>
          <w:shd w:val="clear" w:color="auto" w:fill="auto"/>
        </w:tblPrEx>
        <w:trPr>
          <w:trHeight w:val="2517"/>
        </w:trPr>
        <w:tc>
          <w:tcPr>
            <w:tcW w:w="113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Mar>
              <w:top w:w="80" w:type="dxa"/>
              <w:left w:w="80" w:type="dxa"/>
              <w:bottom w:w="80" w:type="dxa"/>
              <w:right w:w="80" w:type="dxa"/>
            </w:tcMar>
          </w:tcPr>
          <w:p w14:paraId="77C3304B" w14:textId="4135E2A3" w:rsidR="00EB4732" w:rsidRPr="005F4FBF" w:rsidRDefault="03181FAF" w:rsidP="00ED3A20">
            <w:pPr>
              <w:pStyle w:val="Didefault"/>
              <w:spacing w:line="480" w:lineRule="auto"/>
              <w:rPr>
                <w:sz w:val="20"/>
                <w:szCs w:val="20"/>
                <w:lang w:val="fr-CH"/>
              </w:rPr>
            </w:pPr>
            <w:r w:rsidRPr="005F4FBF">
              <w:rPr>
                <w:rFonts w:ascii="Times New Roman" w:hAnsi="Times New Roman"/>
                <w:sz w:val="20"/>
                <w:szCs w:val="20"/>
              </w:rPr>
              <w:t xml:space="preserve">Çelikel et </w:t>
            </w:r>
            <w:r w:rsidRPr="005F4FBF">
              <w:rPr>
                <w:rFonts w:ascii="Times New Roman" w:hAnsi="Times New Roman"/>
                <w:sz w:val="20"/>
                <w:szCs w:val="20"/>
                <w:lang w:val="fr-CH"/>
              </w:rPr>
              <w:t>a</w:t>
            </w:r>
            <w:r w:rsidRPr="005F4FBF">
              <w:rPr>
                <w:rFonts w:ascii="Times New Roman" w:hAnsi="Times New Roman"/>
                <w:sz w:val="20"/>
                <w:szCs w:val="20"/>
              </w:rPr>
              <w:t>l</w:t>
            </w:r>
            <w:r w:rsidRPr="005F4FBF">
              <w:rPr>
                <w:rFonts w:ascii="Times New Roman" w:hAnsi="Times New Roman"/>
                <w:sz w:val="20"/>
                <w:szCs w:val="20"/>
                <w:lang w:val="fr-CH"/>
              </w:rPr>
              <w:t>.</w:t>
            </w:r>
            <w:r w:rsidRPr="005F4FBF">
              <w:rPr>
                <w:rFonts w:ascii="Times New Roman" w:hAnsi="Times New Roman"/>
                <w:sz w:val="20"/>
                <w:szCs w:val="20"/>
              </w:rPr>
              <w:t xml:space="preserve"> (201</w:t>
            </w:r>
            <w:r w:rsidR="00F25AEA" w:rsidRPr="005F4FBF">
              <w:rPr>
                <w:rFonts w:ascii="Times New Roman" w:hAnsi="Times New Roman"/>
                <w:sz w:val="20"/>
                <w:szCs w:val="20"/>
                <w:lang w:val="fr-CH"/>
              </w:rPr>
              <w:t>9</w:t>
            </w:r>
            <w:r w:rsidRPr="005F4FBF">
              <w:rPr>
                <w:rFonts w:ascii="Times New Roman" w:hAnsi="Times New Roman"/>
                <w:sz w:val="20"/>
                <w:szCs w:val="20"/>
              </w:rPr>
              <w:t>)</w:t>
            </w:r>
            <w:r w:rsidRPr="005F4FBF">
              <w:rPr>
                <w:vertAlign w:val="superscript"/>
              </w:rPr>
              <w:t xml:space="preserve"> </w:t>
            </w:r>
            <w:r w:rsidR="00E167D9" w:rsidRPr="005F4FBF">
              <w:rPr>
                <w:rFonts w:ascii="Times New Roman" w:eastAsia="Times New Roman" w:hAnsi="Times New Roman" w:cs="Times New Roman"/>
                <w:sz w:val="24"/>
                <w:szCs w:val="24"/>
                <w:vertAlign w:val="superscript"/>
                <w:lang w:val="fr-CH"/>
              </w:rPr>
              <w:t>5</w:t>
            </w:r>
          </w:p>
        </w:tc>
        <w:tc>
          <w:tcPr>
            <w:tcW w:w="1276" w:type="dxa"/>
            <w:tcBorders>
              <w:top w:val="single" w:sz="8" w:space="0" w:color="000000" w:themeColor="text1"/>
              <w:left w:val="single" w:sz="4"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1620B10C" w14:textId="77777777" w:rsidR="00EB4732" w:rsidRPr="005F4FBF" w:rsidRDefault="00EB4732" w:rsidP="00ED3A20">
            <w:pPr>
              <w:pStyle w:val="Stiletabella2"/>
              <w:spacing w:line="480" w:lineRule="auto"/>
              <w:jc w:val="center"/>
            </w:pPr>
            <w:r w:rsidRPr="005F4FBF">
              <w:rPr>
                <w:rFonts w:ascii="Times New Roman" w:hAnsi="Times New Roman"/>
              </w:rPr>
              <w:t>19</w:t>
            </w:r>
          </w:p>
        </w:tc>
        <w:tc>
          <w:tcPr>
            <w:tcW w:w="1590" w:type="dxa"/>
            <w:tcBorders>
              <w:top w:val="single" w:sz="8" w:space="0" w:color="000000" w:themeColor="text1"/>
              <w:left w:val="single" w:sz="2"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4D24F5D0" w14:textId="5D4CB28C" w:rsidR="00EB4732" w:rsidRPr="005F4FBF" w:rsidRDefault="03181FAF" w:rsidP="00ED3A20">
            <w:pPr>
              <w:pStyle w:val="Stiletabella2"/>
              <w:spacing w:line="480" w:lineRule="auto"/>
              <w:jc w:val="center"/>
            </w:pPr>
            <w:r w:rsidRPr="005F4FBF">
              <w:rPr>
                <w:rFonts w:ascii="Times New Roman" w:hAnsi="Times New Roman"/>
              </w:rPr>
              <w:t xml:space="preserve">20 days </w:t>
            </w:r>
          </w:p>
          <w:p w14:paraId="2A8E5DCA" w14:textId="639FA4DC" w:rsidR="00EB4732" w:rsidRPr="005F4FBF" w:rsidRDefault="03181FAF" w:rsidP="00ED3A20">
            <w:pPr>
              <w:pStyle w:val="Stiletabella2"/>
              <w:spacing w:line="480" w:lineRule="auto"/>
              <w:jc w:val="center"/>
            </w:pPr>
            <w:r w:rsidRPr="005F4FBF">
              <w:rPr>
                <w:rFonts w:ascii="Times New Roman" w:hAnsi="Times New Roman"/>
              </w:rPr>
              <w:t>(10-30 days</w:t>
            </w:r>
            <w:r w:rsidRPr="005F4FBF">
              <w:rPr>
                <w:rFonts w:ascii="Times New Roman" w:hAnsi="Times New Roman"/>
                <w:lang w:val="fr-CH"/>
              </w:rPr>
              <w:t>)</w:t>
            </w:r>
          </w:p>
        </w:tc>
        <w:tc>
          <w:tcPr>
            <w:tcW w:w="1670" w:type="dxa"/>
            <w:tcBorders>
              <w:top w:val="single" w:sz="8" w:space="0" w:color="000000" w:themeColor="text1"/>
              <w:left w:val="single" w:sz="2"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2F2D7968" w14:textId="7E975C4D" w:rsidR="00702401" w:rsidRPr="005F4FBF" w:rsidRDefault="00EB4732" w:rsidP="00ED3A20">
            <w:pPr>
              <w:pStyle w:val="Stiletabella2"/>
              <w:spacing w:line="480" w:lineRule="auto"/>
              <w:rPr>
                <w:rFonts w:ascii="Times New Roman" w:hAnsi="Times New Roman"/>
                <w:lang w:val="pt-PT"/>
              </w:rPr>
            </w:pPr>
            <w:r w:rsidRPr="005F4FBF">
              <w:rPr>
                <w:rFonts w:ascii="Times New Roman" w:hAnsi="Times New Roman"/>
                <w:lang w:val="pt-PT"/>
              </w:rPr>
              <w:t>Fever (13)</w:t>
            </w:r>
          </w:p>
          <w:p w14:paraId="4825A03E" w14:textId="77777777" w:rsidR="00EB4732" w:rsidRPr="005F4FBF" w:rsidRDefault="00EB4732" w:rsidP="00ED3A20">
            <w:pPr>
              <w:pStyle w:val="Stiletabella2"/>
              <w:spacing w:line="480" w:lineRule="auto"/>
              <w:rPr>
                <w:rFonts w:ascii="Times New Roman" w:eastAsia="Times New Roman" w:hAnsi="Times New Roman" w:cs="Times New Roman"/>
              </w:rPr>
            </w:pPr>
            <w:r w:rsidRPr="005F4FBF">
              <w:rPr>
                <w:rFonts w:ascii="Times New Roman" w:hAnsi="Times New Roman"/>
                <w:lang w:val="en-US"/>
              </w:rPr>
              <w:t>Restlessness (6)</w:t>
            </w:r>
          </w:p>
          <w:p w14:paraId="66813320" w14:textId="77777777" w:rsidR="00EB4732" w:rsidRPr="005F4FBF" w:rsidRDefault="00EB4732" w:rsidP="00ED3A20">
            <w:pPr>
              <w:pStyle w:val="Stiletabella2"/>
              <w:spacing w:line="480" w:lineRule="auto"/>
              <w:jc w:val="center"/>
            </w:pPr>
          </w:p>
        </w:tc>
        <w:tc>
          <w:tcPr>
            <w:tcW w:w="1418" w:type="dxa"/>
            <w:tcBorders>
              <w:top w:val="single" w:sz="8" w:space="0" w:color="000000" w:themeColor="text1"/>
              <w:left w:val="single" w:sz="2"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5D1506EC" w14:textId="51AFBC68" w:rsidR="00702401" w:rsidRPr="005F4FBF" w:rsidRDefault="00EB4732" w:rsidP="00702401">
            <w:pPr>
              <w:pStyle w:val="Stiletabella2"/>
              <w:spacing w:line="480" w:lineRule="auto"/>
              <w:jc w:val="center"/>
              <w:rPr>
                <w:rFonts w:ascii="Times New Roman" w:hAnsi="Times New Roman"/>
              </w:rPr>
            </w:pPr>
            <w:r w:rsidRPr="005F4FBF">
              <w:rPr>
                <w:rFonts w:ascii="Times New Roman" w:hAnsi="Times New Roman"/>
              </w:rPr>
              <w:t>3.5 y</w:t>
            </w:r>
          </w:p>
          <w:p w14:paraId="7FEBC00A" w14:textId="03A67D25" w:rsidR="00EB4732" w:rsidRPr="005F4FBF" w:rsidRDefault="00EB4732" w:rsidP="00ED3A20">
            <w:pPr>
              <w:pStyle w:val="Stiletabella2"/>
              <w:spacing w:line="480" w:lineRule="auto"/>
              <w:jc w:val="center"/>
            </w:pPr>
            <w:r w:rsidRPr="005F4FBF">
              <w:rPr>
                <w:rFonts w:ascii="Times New Roman" w:hAnsi="Times New Roman"/>
              </w:rPr>
              <w:t xml:space="preserve">(7 </w:t>
            </w:r>
            <w:r w:rsidR="00702401" w:rsidRPr="005F4FBF">
              <w:rPr>
                <w:rFonts w:ascii="Times New Roman" w:hAnsi="Times New Roman"/>
                <w:lang w:val="fr-CH"/>
              </w:rPr>
              <w:t xml:space="preserve">m </w:t>
            </w:r>
            <w:r w:rsidR="00702401" w:rsidRPr="005F4FBF">
              <w:rPr>
                <w:rFonts w:ascii="Times New Roman" w:hAnsi="Times New Roman"/>
              </w:rPr>
              <w:t>–</w:t>
            </w:r>
            <w:r w:rsidR="00702401" w:rsidRPr="005F4FBF">
              <w:rPr>
                <w:rFonts w:ascii="Times New Roman" w:hAnsi="Times New Roman"/>
                <w:lang w:val="fr-CH"/>
              </w:rPr>
              <w:t xml:space="preserve"> </w:t>
            </w:r>
            <w:r w:rsidRPr="005F4FBF">
              <w:rPr>
                <w:rFonts w:ascii="Times New Roman" w:hAnsi="Times New Roman"/>
              </w:rPr>
              <w:t>17</w:t>
            </w:r>
            <w:r w:rsidR="00702401" w:rsidRPr="005F4FBF">
              <w:rPr>
                <w:rFonts w:ascii="Times New Roman" w:hAnsi="Times New Roman"/>
                <w:lang w:val="fr-CH"/>
              </w:rPr>
              <w:t xml:space="preserve"> </w:t>
            </w:r>
            <w:r w:rsidRPr="005F4FBF">
              <w:rPr>
                <w:rFonts w:ascii="Times New Roman" w:hAnsi="Times New Roman"/>
              </w:rPr>
              <w:t>y)</w:t>
            </w:r>
          </w:p>
        </w:tc>
        <w:tc>
          <w:tcPr>
            <w:tcW w:w="1796" w:type="dxa"/>
            <w:tcBorders>
              <w:top w:val="single" w:sz="8" w:space="0" w:color="000000" w:themeColor="text1"/>
              <w:left w:val="single" w:sz="2"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11B5C12D" w14:textId="0FB7021C" w:rsidR="00ED3A20" w:rsidRPr="005F4FBF" w:rsidRDefault="03181FAF" w:rsidP="00ED3A20">
            <w:pPr>
              <w:pStyle w:val="Didefault"/>
              <w:spacing w:line="480" w:lineRule="auto"/>
              <w:rPr>
                <w:rFonts w:ascii="Times New Roman" w:hAnsi="Times New Roman"/>
                <w:sz w:val="20"/>
                <w:szCs w:val="20"/>
              </w:rPr>
            </w:pPr>
            <w:r w:rsidRPr="005F4FBF">
              <w:rPr>
                <w:rFonts w:ascii="Times New Roman" w:hAnsi="Times New Roman"/>
                <w:sz w:val="20"/>
                <w:szCs w:val="20"/>
              </w:rPr>
              <w:t>p.M694V/p.M694Vp.M694V/-</w:t>
            </w:r>
            <w:r w:rsidRPr="005F4FBF">
              <w:rPr>
                <w:rFonts w:ascii="Times New Roman" w:hAnsi="Times New Roman"/>
                <w:sz w:val="20"/>
                <w:szCs w:val="20"/>
                <w:lang w:val="en-US"/>
              </w:rPr>
              <w:t xml:space="preserve"> </w:t>
            </w:r>
            <w:r w:rsidRPr="005F4FBF">
              <w:rPr>
                <w:rFonts w:ascii="Times New Roman" w:hAnsi="Times New Roman"/>
                <w:sz w:val="20"/>
                <w:szCs w:val="20"/>
              </w:rPr>
              <w:t xml:space="preserve"> p.M694V/p.E148Q</w:t>
            </w:r>
          </w:p>
          <w:p w14:paraId="2BBDCDA4" w14:textId="77777777" w:rsidR="00ED3A20" w:rsidRPr="005F4FBF" w:rsidRDefault="00EB4732" w:rsidP="00ED3A20">
            <w:pPr>
              <w:pStyle w:val="Didefault"/>
              <w:spacing w:line="480" w:lineRule="auto"/>
              <w:rPr>
                <w:rFonts w:ascii="Times New Roman" w:hAnsi="Times New Roman"/>
                <w:sz w:val="20"/>
                <w:szCs w:val="20"/>
              </w:rPr>
            </w:pPr>
            <w:r w:rsidRPr="005F4FBF">
              <w:rPr>
                <w:rFonts w:ascii="Times New Roman" w:hAnsi="Times New Roman"/>
                <w:sz w:val="20"/>
                <w:szCs w:val="20"/>
              </w:rPr>
              <w:t>p.M694V/p.M680I</w:t>
            </w:r>
          </w:p>
          <w:p w14:paraId="06C5A930" w14:textId="77777777" w:rsidR="00ED3A20" w:rsidRPr="005F4FBF" w:rsidRDefault="00EB4732" w:rsidP="00ED3A20">
            <w:pPr>
              <w:pStyle w:val="Didefault"/>
              <w:spacing w:line="480" w:lineRule="auto"/>
              <w:rPr>
                <w:rFonts w:ascii="Times New Roman" w:hAnsi="Times New Roman"/>
                <w:sz w:val="20"/>
                <w:szCs w:val="20"/>
              </w:rPr>
            </w:pPr>
            <w:r w:rsidRPr="005F4FBF">
              <w:rPr>
                <w:rFonts w:ascii="Times New Roman" w:hAnsi="Times New Roman"/>
                <w:sz w:val="20"/>
                <w:szCs w:val="20"/>
              </w:rPr>
              <w:t xml:space="preserve">p.V726A/- </w:t>
            </w:r>
          </w:p>
          <w:p w14:paraId="4FFD7327" w14:textId="77777777" w:rsidR="00ED3A20" w:rsidRPr="005F4FBF" w:rsidRDefault="00EB4732" w:rsidP="00ED3A20">
            <w:pPr>
              <w:pStyle w:val="Didefault"/>
              <w:spacing w:line="480" w:lineRule="auto"/>
              <w:rPr>
                <w:rFonts w:ascii="Times New Roman" w:hAnsi="Times New Roman"/>
                <w:sz w:val="20"/>
                <w:szCs w:val="20"/>
              </w:rPr>
            </w:pPr>
            <w:r w:rsidRPr="005F4FBF">
              <w:rPr>
                <w:rFonts w:ascii="Times New Roman" w:hAnsi="Times New Roman"/>
                <w:sz w:val="20"/>
                <w:szCs w:val="20"/>
              </w:rPr>
              <w:t xml:space="preserve">p.M680I/- </w:t>
            </w:r>
          </w:p>
          <w:p w14:paraId="12332AC9" w14:textId="20008BBC" w:rsidR="00EB4732" w:rsidRPr="005F4FBF" w:rsidRDefault="00EB4732" w:rsidP="00ED3A20">
            <w:pPr>
              <w:pStyle w:val="Didefault"/>
              <w:spacing w:line="480" w:lineRule="auto"/>
              <w:rPr>
                <w:rFonts w:ascii="Times New Roman" w:hAnsi="Times New Roman"/>
                <w:sz w:val="20"/>
                <w:szCs w:val="20"/>
              </w:rPr>
            </w:pPr>
            <w:r w:rsidRPr="005F4FBF">
              <w:rPr>
                <w:rFonts w:ascii="Times New Roman" w:hAnsi="Times New Roman"/>
                <w:sz w:val="20"/>
                <w:szCs w:val="20"/>
              </w:rPr>
              <w:t xml:space="preserve">Negative </w:t>
            </w:r>
          </w:p>
        </w:tc>
        <w:tc>
          <w:tcPr>
            <w:tcW w:w="1606" w:type="dxa"/>
            <w:tcBorders>
              <w:top w:val="single" w:sz="8" w:space="0" w:color="000000" w:themeColor="text1"/>
              <w:left w:val="single" w:sz="2"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9F889E6" w14:textId="0ECF12F3" w:rsidR="00ED3A20" w:rsidRPr="005F4FBF" w:rsidRDefault="00EB4732" w:rsidP="00ED3A20">
            <w:pPr>
              <w:pStyle w:val="Didefault"/>
              <w:spacing w:line="480" w:lineRule="auto"/>
              <w:jc w:val="center"/>
              <w:rPr>
                <w:rFonts w:ascii="Times New Roman" w:hAnsi="Times New Roman"/>
                <w:sz w:val="20"/>
                <w:szCs w:val="20"/>
              </w:rPr>
            </w:pPr>
            <w:r w:rsidRPr="005F4FBF">
              <w:rPr>
                <w:rFonts w:ascii="Times New Roman" w:hAnsi="Times New Roman"/>
                <w:sz w:val="20"/>
                <w:szCs w:val="20"/>
              </w:rPr>
              <w:t>8 (42.1)</w:t>
            </w:r>
          </w:p>
          <w:p w14:paraId="5C90C0BB" w14:textId="383EB44E" w:rsidR="006A0ED4" w:rsidRPr="005F4FBF" w:rsidRDefault="00EB4732" w:rsidP="006A0ED4">
            <w:pPr>
              <w:pStyle w:val="Didefault"/>
              <w:spacing w:line="480" w:lineRule="auto"/>
              <w:jc w:val="center"/>
              <w:rPr>
                <w:rFonts w:ascii="Times New Roman" w:hAnsi="Times New Roman"/>
                <w:sz w:val="20"/>
                <w:szCs w:val="20"/>
              </w:rPr>
            </w:pPr>
            <w:r w:rsidRPr="005F4FBF">
              <w:rPr>
                <w:rFonts w:ascii="Times New Roman" w:hAnsi="Times New Roman"/>
                <w:sz w:val="20"/>
                <w:szCs w:val="20"/>
              </w:rPr>
              <w:t>3 (15.8)</w:t>
            </w:r>
          </w:p>
          <w:p w14:paraId="3D38C5FA" w14:textId="77777777" w:rsidR="006A0ED4" w:rsidRPr="005F4FBF" w:rsidRDefault="00EB4732" w:rsidP="00ED3A20">
            <w:pPr>
              <w:pStyle w:val="Didefault"/>
              <w:spacing w:line="480" w:lineRule="auto"/>
              <w:jc w:val="center"/>
              <w:rPr>
                <w:rFonts w:ascii="Times New Roman" w:hAnsi="Times New Roman"/>
                <w:sz w:val="20"/>
                <w:szCs w:val="20"/>
              </w:rPr>
            </w:pPr>
            <w:r w:rsidRPr="005F4FBF">
              <w:rPr>
                <w:rFonts w:ascii="Times New Roman" w:hAnsi="Times New Roman"/>
                <w:sz w:val="20"/>
                <w:szCs w:val="20"/>
              </w:rPr>
              <w:t>2 (10.5)</w:t>
            </w:r>
          </w:p>
          <w:p w14:paraId="40BBE07E" w14:textId="77777777" w:rsidR="006A0ED4" w:rsidRPr="005F4FBF" w:rsidRDefault="00EB4732" w:rsidP="00ED3A20">
            <w:pPr>
              <w:pStyle w:val="Didefault"/>
              <w:spacing w:line="480" w:lineRule="auto"/>
              <w:jc w:val="center"/>
              <w:rPr>
                <w:rFonts w:ascii="Times New Roman" w:hAnsi="Times New Roman"/>
                <w:sz w:val="20"/>
                <w:szCs w:val="20"/>
              </w:rPr>
            </w:pPr>
            <w:r w:rsidRPr="005F4FBF">
              <w:rPr>
                <w:rFonts w:ascii="Times New Roman" w:hAnsi="Times New Roman"/>
                <w:sz w:val="20"/>
                <w:szCs w:val="20"/>
              </w:rPr>
              <w:t>1 (5.3)</w:t>
            </w:r>
          </w:p>
          <w:p w14:paraId="7C7003CD" w14:textId="77777777" w:rsidR="006A0ED4" w:rsidRPr="005F4FBF" w:rsidRDefault="00EB4732" w:rsidP="00ED3A20">
            <w:pPr>
              <w:pStyle w:val="Didefault"/>
              <w:spacing w:line="480" w:lineRule="auto"/>
              <w:jc w:val="center"/>
              <w:rPr>
                <w:rFonts w:ascii="Times New Roman" w:hAnsi="Times New Roman"/>
                <w:sz w:val="20"/>
                <w:szCs w:val="20"/>
              </w:rPr>
            </w:pPr>
            <w:r w:rsidRPr="005F4FBF">
              <w:rPr>
                <w:rFonts w:ascii="Times New Roman" w:hAnsi="Times New Roman"/>
                <w:sz w:val="20"/>
                <w:szCs w:val="20"/>
              </w:rPr>
              <w:t>1 (5.3)</w:t>
            </w:r>
          </w:p>
          <w:p w14:paraId="2B1A4A44" w14:textId="77777777" w:rsidR="006A0ED4" w:rsidRPr="005F4FBF" w:rsidRDefault="00EB4732" w:rsidP="00ED3A20">
            <w:pPr>
              <w:pStyle w:val="Didefault"/>
              <w:spacing w:line="480" w:lineRule="auto"/>
              <w:jc w:val="center"/>
              <w:rPr>
                <w:rFonts w:ascii="Times New Roman" w:hAnsi="Times New Roman"/>
                <w:sz w:val="20"/>
                <w:szCs w:val="20"/>
              </w:rPr>
            </w:pPr>
            <w:r w:rsidRPr="005F4FBF">
              <w:rPr>
                <w:rFonts w:ascii="Times New Roman" w:hAnsi="Times New Roman"/>
                <w:sz w:val="20"/>
                <w:szCs w:val="20"/>
              </w:rPr>
              <w:t>1 (5.3)</w:t>
            </w:r>
          </w:p>
          <w:p w14:paraId="4FFD0AE7" w14:textId="2A9FEA25" w:rsidR="00EB4732" w:rsidRPr="005F4FBF" w:rsidRDefault="00EB4732" w:rsidP="00ED3A20">
            <w:pPr>
              <w:pStyle w:val="Didefault"/>
              <w:spacing w:line="480" w:lineRule="auto"/>
              <w:jc w:val="center"/>
              <w:rPr>
                <w:sz w:val="20"/>
                <w:szCs w:val="20"/>
              </w:rPr>
            </w:pPr>
            <w:r w:rsidRPr="005F4FBF">
              <w:rPr>
                <w:rFonts w:ascii="Times New Roman" w:hAnsi="Times New Roman"/>
                <w:sz w:val="20"/>
                <w:szCs w:val="20"/>
              </w:rPr>
              <w:t>3 (15.8)</w:t>
            </w:r>
          </w:p>
        </w:tc>
      </w:tr>
      <w:tr w:rsidR="00E677CD" w:rsidRPr="005F4FBF" w14:paraId="10FE2E07" w14:textId="77777777" w:rsidTr="03181FAF">
        <w:tblPrEx>
          <w:shd w:val="clear" w:color="auto" w:fill="auto"/>
        </w:tblPrEx>
        <w:trPr>
          <w:trHeight w:val="327"/>
        </w:trPr>
        <w:tc>
          <w:tcPr>
            <w:tcW w:w="10491"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7FC9C1F" w14:textId="52DCCCDD" w:rsidR="00E677CD" w:rsidRPr="005F4FBF" w:rsidRDefault="00E677CD" w:rsidP="00B06C09">
            <w:pPr>
              <w:pStyle w:val="Didefault"/>
              <w:spacing w:line="360" w:lineRule="auto"/>
              <w:rPr>
                <w:rFonts w:ascii="Times New Roman" w:hAnsi="Times New Roman"/>
                <w:sz w:val="20"/>
                <w:szCs w:val="20"/>
                <w:lang w:val="en-US"/>
              </w:rPr>
            </w:pPr>
            <w:r w:rsidRPr="005F4FBF">
              <w:rPr>
                <w:rFonts w:ascii="Times New Roman" w:hAnsi="Times New Roman"/>
                <w:sz w:val="20"/>
                <w:szCs w:val="20"/>
                <w:lang w:val="en-US"/>
              </w:rPr>
              <w:t>One single study in the literature was found, reporting neonatal-onset FMF (Familial Mediterranean Fever).</w:t>
            </w:r>
            <w:r w:rsidR="00702401" w:rsidRPr="005F4FBF">
              <w:rPr>
                <w:rFonts w:ascii="Times New Roman" w:hAnsi="Times New Roman"/>
                <w:sz w:val="20"/>
                <w:szCs w:val="20"/>
                <w:lang w:val="en-US"/>
              </w:rPr>
              <w:t xml:space="preserve"> m=months; y=years. </w:t>
            </w:r>
          </w:p>
        </w:tc>
      </w:tr>
    </w:tbl>
    <w:p w14:paraId="556749CA" w14:textId="16D76D83" w:rsidR="00EB4732" w:rsidRPr="005F4FBF" w:rsidRDefault="00EB4732">
      <w:pPr>
        <w:pStyle w:val="CorpoA"/>
        <w:spacing w:line="480" w:lineRule="auto"/>
        <w:rPr>
          <w:rFonts w:ascii="Times New Roman" w:hAnsi="Times New Roman"/>
          <w:sz w:val="24"/>
          <w:szCs w:val="24"/>
        </w:rPr>
      </w:pPr>
    </w:p>
    <w:p w14:paraId="2A3F4360" w14:textId="4D803AD5" w:rsidR="009C6CC5" w:rsidRPr="005F4FBF" w:rsidRDefault="009C6CC5">
      <w:pPr>
        <w:rPr>
          <w:rFonts w:cs="Arial Unicode MS"/>
          <w:color w:val="000000"/>
          <w:u w:color="000000"/>
          <w:lang w:eastAsia="en-GB"/>
          <w14:textOutline w14:w="12700" w14:cap="flat" w14:cmpd="sng" w14:algn="ctr">
            <w14:noFill/>
            <w14:prstDash w14:val="solid"/>
            <w14:miter w14:lim="400000"/>
          </w14:textOutline>
        </w:rPr>
      </w:pPr>
      <w:r w:rsidRPr="005F4FBF">
        <w:br w:type="page"/>
      </w:r>
    </w:p>
    <w:p w14:paraId="2027B3B2" w14:textId="7686BE4B" w:rsidR="00B00757" w:rsidRPr="005F4FBF" w:rsidRDefault="008A25BB">
      <w:pPr>
        <w:pStyle w:val="CorpoA"/>
        <w:spacing w:line="480" w:lineRule="auto"/>
        <w:rPr>
          <w:rFonts w:ascii="Times New Roman" w:eastAsia="Times New Roman" w:hAnsi="Times New Roman" w:cs="Times New Roman"/>
          <w:b/>
          <w:bCs/>
          <w:sz w:val="24"/>
          <w:szCs w:val="24"/>
        </w:rPr>
      </w:pPr>
      <w:r w:rsidRPr="005F4FBF">
        <w:rPr>
          <w:rFonts w:ascii="Times New Roman" w:hAnsi="Times New Roman"/>
          <w:b/>
          <w:bCs/>
          <w:sz w:val="24"/>
          <w:szCs w:val="24"/>
        </w:rPr>
        <w:lastRenderedPageBreak/>
        <w:t xml:space="preserve">References </w:t>
      </w:r>
    </w:p>
    <w:p w14:paraId="2E257E12" w14:textId="77777777" w:rsidR="00B00757" w:rsidRPr="005F4FBF" w:rsidRDefault="008A25BB">
      <w:pPr>
        <w:pStyle w:val="CorpoD"/>
        <w:widowControl w:val="0"/>
        <w:spacing w:line="480" w:lineRule="auto"/>
        <w:ind w:left="640" w:hanging="640"/>
      </w:pPr>
      <w:r w:rsidRPr="005F4FBF">
        <w:rPr>
          <w:lang w:val="en-US"/>
        </w:rPr>
        <w:t xml:space="preserve">1. </w:t>
      </w:r>
      <w:r w:rsidRPr="005F4FBF">
        <w:rPr>
          <w:lang w:val="en-US"/>
        </w:rPr>
        <w:tab/>
      </w:r>
      <w:proofErr w:type="spellStart"/>
      <w:r w:rsidRPr="005F4FBF">
        <w:rPr>
          <w:lang w:val="en-US"/>
        </w:rPr>
        <w:t>Binatti</w:t>
      </w:r>
      <w:proofErr w:type="spellEnd"/>
      <w:r w:rsidRPr="005F4FBF">
        <w:rPr>
          <w:lang w:val="en-US"/>
        </w:rPr>
        <w:t xml:space="preserve"> A, </w:t>
      </w:r>
      <w:proofErr w:type="spellStart"/>
      <w:r w:rsidRPr="005F4FBF">
        <w:rPr>
          <w:lang w:val="en-US"/>
        </w:rPr>
        <w:t>Bresolin</w:t>
      </w:r>
      <w:proofErr w:type="spellEnd"/>
      <w:r w:rsidRPr="005F4FBF">
        <w:rPr>
          <w:lang w:val="en-US"/>
        </w:rPr>
        <w:t xml:space="preserve"> S, </w:t>
      </w:r>
      <w:proofErr w:type="spellStart"/>
      <w:r w:rsidRPr="005F4FBF">
        <w:rPr>
          <w:lang w:val="en-US"/>
        </w:rPr>
        <w:t>Bortoluzzi</w:t>
      </w:r>
      <w:proofErr w:type="spellEnd"/>
      <w:r w:rsidRPr="005F4FBF">
        <w:rPr>
          <w:lang w:val="en-US"/>
        </w:rPr>
        <w:t xml:space="preserve"> S, </w:t>
      </w:r>
      <w:proofErr w:type="spellStart"/>
      <w:r w:rsidRPr="005F4FBF">
        <w:rPr>
          <w:lang w:val="en-US"/>
        </w:rPr>
        <w:t>Coppe</w:t>
      </w:r>
      <w:proofErr w:type="spellEnd"/>
      <w:r w:rsidRPr="005F4FBF">
        <w:rPr>
          <w:lang w:val="en-US"/>
        </w:rPr>
        <w:t xml:space="preserve"> A. </w:t>
      </w:r>
      <w:proofErr w:type="spellStart"/>
      <w:r w:rsidRPr="005F4FBF">
        <w:rPr>
          <w:lang w:val="en-US"/>
        </w:rPr>
        <w:t>iWhale</w:t>
      </w:r>
      <w:proofErr w:type="spellEnd"/>
      <w:r w:rsidRPr="005F4FBF">
        <w:rPr>
          <w:lang w:val="en-US"/>
        </w:rPr>
        <w:t xml:space="preserve">: a computational pipeline based on Docker and </w:t>
      </w:r>
      <w:proofErr w:type="spellStart"/>
      <w:r w:rsidRPr="005F4FBF">
        <w:rPr>
          <w:lang w:val="en-US"/>
        </w:rPr>
        <w:t>SCons</w:t>
      </w:r>
      <w:proofErr w:type="spellEnd"/>
      <w:r w:rsidRPr="005F4FBF">
        <w:rPr>
          <w:lang w:val="en-US"/>
        </w:rPr>
        <w:t xml:space="preserve"> for detection and annotation of somatic variants in cancer WES data. Brief </w:t>
      </w:r>
      <w:proofErr w:type="spellStart"/>
      <w:r w:rsidRPr="005F4FBF">
        <w:rPr>
          <w:lang w:val="en-US"/>
        </w:rPr>
        <w:t>Bioinform</w:t>
      </w:r>
      <w:proofErr w:type="spellEnd"/>
      <w:r w:rsidRPr="005F4FBF">
        <w:rPr>
          <w:lang w:val="en-US"/>
        </w:rPr>
        <w:t xml:space="preserve"> [Internet]. 2020 May 20 [cited 2020 Aug 26]; Available from: https://pubmed.ncbi.nlm.nih.gov/32436933/</w:t>
      </w:r>
    </w:p>
    <w:p w14:paraId="6F623A2C" w14:textId="77777777" w:rsidR="00B00757" w:rsidRPr="005F4FBF" w:rsidRDefault="008A25BB">
      <w:pPr>
        <w:pStyle w:val="CorpoD"/>
        <w:widowControl w:val="0"/>
        <w:spacing w:line="480" w:lineRule="auto"/>
        <w:ind w:left="640" w:hanging="640"/>
      </w:pPr>
      <w:r w:rsidRPr="005F4FBF">
        <w:rPr>
          <w:lang w:val="it-IT"/>
        </w:rPr>
        <w:t xml:space="preserve">2. </w:t>
      </w:r>
      <w:r w:rsidRPr="005F4FBF">
        <w:rPr>
          <w:lang w:val="it-IT"/>
        </w:rPr>
        <w:tab/>
      </w:r>
      <w:proofErr w:type="spellStart"/>
      <w:r w:rsidRPr="005F4FBF">
        <w:rPr>
          <w:lang w:val="it-IT"/>
        </w:rPr>
        <w:t>Marzollo</w:t>
      </w:r>
      <w:proofErr w:type="spellEnd"/>
      <w:r w:rsidRPr="005F4FBF">
        <w:rPr>
          <w:lang w:val="it-IT"/>
        </w:rPr>
        <w:t xml:space="preserve"> A, Maestrini G, La </w:t>
      </w:r>
      <w:proofErr w:type="spellStart"/>
      <w:r w:rsidRPr="005F4FBF">
        <w:rPr>
          <w:lang w:val="it-IT"/>
        </w:rPr>
        <w:t>Starza</w:t>
      </w:r>
      <w:proofErr w:type="spellEnd"/>
      <w:r w:rsidRPr="005F4FBF">
        <w:rPr>
          <w:lang w:val="it-IT"/>
        </w:rPr>
        <w:t xml:space="preserve"> R, Elia L, </w:t>
      </w:r>
      <w:proofErr w:type="spellStart"/>
      <w:r w:rsidRPr="005F4FBF">
        <w:rPr>
          <w:lang w:val="it-IT"/>
        </w:rPr>
        <w:t>Malfona</w:t>
      </w:r>
      <w:proofErr w:type="spellEnd"/>
      <w:r w:rsidRPr="005F4FBF">
        <w:rPr>
          <w:lang w:val="it-IT"/>
        </w:rPr>
        <w:t xml:space="preserve"> F, Pierini T, et al. </w:t>
      </w:r>
      <w:r w:rsidRPr="005F4FBF">
        <w:rPr>
          <w:lang w:val="en-US"/>
        </w:rPr>
        <w:t xml:space="preserve">A novel germline variant in PIK3R1 results in SHORT syndrome associated with TAL/LMO T-cell Acute Lymphoblastic </w:t>
      </w:r>
      <w:proofErr w:type="spellStart"/>
      <w:r w:rsidRPr="005F4FBF">
        <w:rPr>
          <w:lang w:val="en-US"/>
        </w:rPr>
        <w:t>Leukaemia</w:t>
      </w:r>
      <w:proofErr w:type="spellEnd"/>
      <w:r w:rsidRPr="005F4FBF">
        <w:rPr>
          <w:lang w:val="en-US"/>
        </w:rPr>
        <w:t xml:space="preserve">. Am J </w:t>
      </w:r>
      <w:proofErr w:type="spellStart"/>
      <w:r w:rsidRPr="005F4FBF">
        <w:rPr>
          <w:lang w:val="en-US"/>
        </w:rPr>
        <w:t>Hematol</w:t>
      </w:r>
      <w:proofErr w:type="spellEnd"/>
      <w:r w:rsidRPr="005F4FBF">
        <w:rPr>
          <w:lang w:val="en-US"/>
        </w:rPr>
        <w:t xml:space="preserve">. 2020 accepted for publication; </w:t>
      </w:r>
    </w:p>
    <w:p w14:paraId="2456577C" w14:textId="5C2EBDEB" w:rsidR="00B00757" w:rsidRPr="005F4FBF" w:rsidRDefault="008A25BB" w:rsidP="03181FAF">
      <w:pPr>
        <w:pStyle w:val="CorpoD"/>
        <w:widowControl w:val="0"/>
        <w:spacing w:line="480" w:lineRule="auto"/>
        <w:ind w:left="640" w:hanging="640"/>
        <w:rPr>
          <w:rStyle w:val="Hyperlink"/>
          <w:lang w:val="en-US"/>
        </w:rPr>
      </w:pPr>
      <w:r w:rsidRPr="005F4FBF">
        <w:rPr>
          <w:lang w:val="en-US"/>
        </w:rPr>
        <w:t xml:space="preserve">3. </w:t>
      </w:r>
      <w:r w:rsidRPr="005F4FBF">
        <w:rPr>
          <w:lang w:val="en-US"/>
        </w:rPr>
        <w:tab/>
        <w:t>Picard C, Bobby Gaspar H, Al-</w:t>
      </w:r>
      <w:proofErr w:type="spellStart"/>
      <w:r w:rsidRPr="005F4FBF">
        <w:rPr>
          <w:lang w:val="en-US"/>
        </w:rPr>
        <w:t>Herz</w:t>
      </w:r>
      <w:proofErr w:type="spellEnd"/>
      <w:r w:rsidRPr="005F4FBF">
        <w:rPr>
          <w:lang w:val="en-US"/>
        </w:rPr>
        <w:t xml:space="preserve"> W, </w:t>
      </w:r>
      <w:proofErr w:type="spellStart"/>
      <w:r w:rsidRPr="005F4FBF">
        <w:rPr>
          <w:lang w:val="en-US"/>
        </w:rPr>
        <w:t>Bousfiha</w:t>
      </w:r>
      <w:proofErr w:type="spellEnd"/>
      <w:r w:rsidRPr="005F4FBF">
        <w:rPr>
          <w:lang w:val="en-US"/>
        </w:rPr>
        <w:t xml:space="preserve"> A, Casanova J-L, </w:t>
      </w:r>
      <w:proofErr w:type="spellStart"/>
      <w:r w:rsidRPr="005F4FBF">
        <w:rPr>
          <w:lang w:val="en-US"/>
        </w:rPr>
        <w:t>Chatila</w:t>
      </w:r>
      <w:proofErr w:type="spellEnd"/>
      <w:r w:rsidRPr="005F4FBF">
        <w:rPr>
          <w:lang w:val="en-US"/>
        </w:rPr>
        <w:t xml:space="preserve"> T, et al. International Union of Immunological Societies: 2017 Primary Immunodeficiency Diseases Committee Report on Inborn Errors of Immunity. J Clin Immunol [Internet]. 2018 Jan 11;38(1):96</w:t>
      </w:r>
      <w:r w:rsidRPr="005F4FBF">
        <w:t>–</w:t>
      </w:r>
      <w:r w:rsidRPr="005F4FBF">
        <w:rPr>
          <w:lang w:val="en-US"/>
        </w:rPr>
        <w:t xml:space="preserve">128. Available from: </w:t>
      </w:r>
      <w:hyperlink r:id="rId11">
        <w:r w:rsidR="03181FAF" w:rsidRPr="005F4FBF">
          <w:rPr>
            <w:rStyle w:val="Hyperlink"/>
            <w:lang w:val="en-US"/>
          </w:rPr>
          <w:t>http://link.springer.com/10.1007/s10875-017-0464-9</w:t>
        </w:r>
      </w:hyperlink>
    </w:p>
    <w:p w14:paraId="0838B8DD" w14:textId="05486422" w:rsidR="00E167D9" w:rsidRPr="005F4FBF" w:rsidRDefault="00E167D9" w:rsidP="03181FAF">
      <w:pPr>
        <w:pStyle w:val="CorpoD"/>
        <w:widowControl w:val="0"/>
        <w:spacing w:line="480" w:lineRule="auto"/>
        <w:ind w:left="640" w:hanging="640"/>
        <w:rPr>
          <w:rFonts w:ascii="Calibri" w:eastAsia="Calibri" w:hAnsi="Calibri" w:cs="Calibri"/>
          <w:sz w:val="22"/>
          <w:szCs w:val="22"/>
          <w:lang w:val="en-US"/>
        </w:rPr>
      </w:pPr>
      <w:r w:rsidRPr="005F4FBF">
        <w:rPr>
          <w:rStyle w:val="Hyperlink"/>
          <w:u w:val="none"/>
          <w:lang w:val="fr-CH"/>
        </w:rPr>
        <w:t>4.</w:t>
      </w:r>
      <w:r w:rsidRPr="005F4FBF">
        <w:rPr>
          <w:rStyle w:val="Hyperlink"/>
          <w:u w:val="none"/>
          <w:lang w:val="fr-CH"/>
        </w:rPr>
        <w:tab/>
      </w:r>
      <w:proofErr w:type="spellStart"/>
      <w:r w:rsidRPr="005F4FBF">
        <w:rPr>
          <w:lang w:val="fr-CH"/>
        </w:rPr>
        <w:t>Livneh</w:t>
      </w:r>
      <w:proofErr w:type="spellEnd"/>
      <w:r w:rsidRPr="005F4FBF">
        <w:rPr>
          <w:lang w:val="fr-CH"/>
        </w:rPr>
        <w:t xml:space="preserve"> A, </w:t>
      </w:r>
      <w:proofErr w:type="spellStart"/>
      <w:r w:rsidRPr="005F4FBF">
        <w:rPr>
          <w:lang w:val="fr-CH"/>
        </w:rPr>
        <w:t>Langevitz</w:t>
      </w:r>
      <w:proofErr w:type="spellEnd"/>
      <w:r w:rsidRPr="005F4FBF">
        <w:rPr>
          <w:lang w:val="fr-CH"/>
        </w:rPr>
        <w:t xml:space="preserve"> P, </w:t>
      </w:r>
      <w:proofErr w:type="spellStart"/>
      <w:r w:rsidRPr="005F4FBF">
        <w:rPr>
          <w:lang w:val="fr-CH"/>
        </w:rPr>
        <w:t>Zemer</w:t>
      </w:r>
      <w:proofErr w:type="spellEnd"/>
      <w:r w:rsidRPr="005F4FBF">
        <w:rPr>
          <w:lang w:val="fr-CH"/>
        </w:rPr>
        <w:t xml:space="preserve"> D, et al. </w:t>
      </w:r>
      <w:r w:rsidRPr="005F4FBF">
        <w:t>Criteria for the diagnosis of familial</w:t>
      </w:r>
      <w:r w:rsidRPr="005F4FBF">
        <w:rPr>
          <w:lang w:val="en-US"/>
        </w:rPr>
        <w:t xml:space="preserve"> </w:t>
      </w:r>
      <w:r w:rsidRPr="005F4FBF">
        <w:t>Mediterranean fever, Arthritis Rheum, 1997; 40:1879-85.</w:t>
      </w:r>
    </w:p>
    <w:p w14:paraId="6320AB7E" w14:textId="79F58E61" w:rsidR="00B00757" w:rsidRPr="005F4FBF" w:rsidRDefault="00E167D9" w:rsidP="03181FAF">
      <w:pPr>
        <w:pStyle w:val="CorpoD"/>
        <w:widowControl w:val="0"/>
        <w:spacing w:line="480" w:lineRule="auto"/>
        <w:ind w:left="640" w:hanging="640"/>
        <w:rPr>
          <w:lang w:val="en-US"/>
        </w:rPr>
      </w:pPr>
      <w:r w:rsidRPr="005F4FBF">
        <w:rPr>
          <w:lang w:val="en-US"/>
        </w:rPr>
        <w:t>5</w:t>
      </w:r>
      <w:r w:rsidR="03181FAF" w:rsidRPr="005F4FBF">
        <w:rPr>
          <w:lang w:val="en-US"/>
        </w:rPr>
        <w:t xml:space="preserve">. </w:t>
      </w:r>
      <w:r w:rsidR="003011B8" w:rsidRPr="005F4FBF">
        <w:rPr>
          <w:lang w:val="en-US"/>
        </w:rPr>
        <w:tab/>
      </w:r>
      <w:proofErr w:type="spellStart"/>
      <w:r w:rsidR="03181FAF" w:rsidRPr="005F4FBF">
        <w:rPr>
          <w:lang w:val="en-US"/>
        </w:rPr>
        <w:t>Çelikel</w:t>
      </w:r>
      <w:proofErr w:type="spellEnd"/>
      <w:r w:rsidR="03181FAF" w:rsidRPr="005F4FBF">
        <w:rPr>
          <w:lang w:val="en-US"/>
        </w:rPr>
        <w:t xml:space="preserve"> E, </w:t>
      </w:r>
      <w:proofErr w:type="spellStart"/>
      <w:r w:rsidR="03181FAF" w:rsidRPr="005F4FBF">
        <w:rPr>
          <w:lang w:val="en-US"/>
        </w:rPr>
        <w:t>Özçakar</w:t>
      </w:r>
      <w:proofErr w:type="spellEnd"/>
      <w:r w:rsidR="03181FAF" w:rsidRPr="005F4FBF">
        <w:rPr>
          <w:lang w:val="en-US"/>
        </w:rPr>
        <w:t xml:space="preserve"> ZB, </w:t>
      </w:r>
      <w:proofErr w:type="spellStart"/>
      <w:r w:rsidR="03181FAF" w:rsidRPr="005F4FBF">
        <w:rPr>
          <w:lang w:val="en-US"/>
        </w:rPr>
        <w:t>Özdel</w:t>
      </w:r>
      <w:proofErr w:type="spellEnd"/>
      <w:r w:rsidR="03181FAF" w:rsidRPr="005F4FBF">
        <w:rPr>
          <w:lang w:val="en-US"/>
        </w:rPr>
        <w:t xml:space="preserve"> S, </w:t>
      </w:r>
      <w:proofErr w:type="spellStart"/>
      <w:r w:rsidR="03181FAF" w:rsidRPr="005F4FBF">
        <w:rPr>
          <w:lang w:val="en-US"/>
        </w:rPr>
        <w:t>Çakar</w:t>
      </w:r>
      <w:proofErr w:type="spellEnd"/>
      <w:r w:rsidR="03181FAF" w:rsidRPr="005F4FBF">
        <w:rPr>
          <w:lang w:val="en-US"/>
        </w:rPr>
        <w:t xml:space="preserve"> N, Aydin F, </w:t>
      </w:r>
      <w:proofErr w:type="spellStart"/>
      <w:r w:rsidR="03181FAF" w:rsidRPr="005F4FBF">
        <w:rPr>
          <w:lang w:val="en-US"/>
        </w:rPr>
        <w:t>Şahin</w:t>
      </w:r>
      <w:proofErr w:type="spellEnd"/>
      <w:r w:rsidR="03181FAF" w:rsidRPr="005F4FBF">
        <w:rPr>
          <w:lang w:val="en-US"/>
        </w:rPr>
        <w:t xml:space="preserve"> S, et al. Neonatal onset familial Mediterranean fever. Mod </w:t>
      </w:r>
      <w:proofErr w:type="spellStart"/>
      <w:r w:rsidR="03181FAF" w:rsidRPr="005F4FBF">
        <w:rPr>
          <w:lang w:val="en-US"/>
        </w:rPr>
        <w:t>Rheumatol</w:t>
      </w:r>
      <w:proofErr w:type="spellEnd"/>
      <w:r w:rsidR="03181FAF" w:rsidRPr="005F4FBF">
        <w:rPr>
          <w:lang w:val="en-US"/>
        </w:rPr>
        <w:t xml:space="preserve"> </w:t>
      </w:r>
      <w:proofErr w:type="gramStart"/>
      <w:r w:rsidR="03181FAF" w:rsidRPr="005F4FBF">
        <w:rPr>
          <w:lang w:val="en-US"/>
        </w:rPr>
        <w:t>2019;29:647</w:t>
      </w:r>
      <w:proofErr w:type="gramEnd"/>
      <w:r w:rsidR="03181FAF" w:rsidRPr="005F4FBF">
        <w:rPr>
          <w:lang w:val="en-US"/>
        </w:rPr>
        <w:t xml:space="preserve">–50. </w:t>
      </w:r>
      <w:hyperlink r:id="rId12">
        <w:r w:rsidR="03181FAF" w:rsidRPr="005F4FBF">
          <w:rPr>
            <w:rStyle w:val="Hyperlink"/>
            <w:lang w:val="en-US"/>
          </w:rPr>
          <w:t>https://doi.org/10.1080/14397595.2018.1500874</w:t>
        </w:r>
      </w:hyperlink>
      <w:r w:rsidR="03181FAF" w:rsidRPr="005F4FBF">
        <w:rPr>
          <w:lang w:val="en-US"/>
        </w:rPr>
        <w:t>.</w:t>
      </w:r>
    </w:p>
    <w:p w14:paraId="23BEED1D" w14:textId="46A822E7" w:rsidR="03181FAF" w:rsidRPr="005F4FBF" w:rsidRDefault="03181FAF" w:rsidP="03181FAF">
      <w:pPr>
        <w:pStyle w:val="CorpoD"/>
        <w:spacing w:line="480" w:lineRule="auto"/>
        <w:ind w:left="640" w:hanging="640"/>
        <w:rPr>
          <w:lang w:val="en-US"/>
        </w:rPr>
      </w:pPr>
    </w:p>
    <w:p w14:paraId="19603D6D" w14:textId="77777777" w:rsidR="00B00757" w:rsidRPr="005F4FBF" w:rsidRDefault="00B00757">
      <w:pPr>
        <w:pStyle w:val="CorpoA"/>
        <w:spacing w:line="480" w:lineRule="auto"/>
        <w:rPr>
          <w:rFonts w:ascii="Times New Roman" w:eastAsia="Times New Roman" w:hAnsi="Times New Roman" w:cs="Times New Roman"/>
          <w:sz w:val="24"/>
          <w:szCs w:val="24"/>
        </w:rPr>
      </w:pPr>
    </w:p>
    <w:p w14:paraId="1C214DE0" w14:textId="77777777" w:rsidR="00B00757" w:rsidRDefault="008A25BB">
      <w:pPr>
        <w:pStyle w:val="CorpoA"/>
        <w:spacing w:line="480" w:lineRule="auto"/>
      </w:pPr>
      <w:r w:rsidRPr="005F4FBF">
        <w:rPr>
          <w:rFonts w:ascii="Times New Roman" w:hAnsi="Times New Roman"/>
          <w:sz w:val="24"/>
          <w:szCs w:val="24"/>
        </w:rPr>
        <w:t> </w:t>
      </w:r>
    </w:p>
    <w:sectPr w:rsidR="00B00757">
      <w:headerReference w:type="default" r:id="rId13"/>
      <w:footerReference w:type="default" r:id="rId14"/>
      <w:pgSz w:w="11900" w:h="16840"/>
      <w:pgMar w:top="1440" w:right="1440" w:bottom="1440"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A00E" w14:textId="77777777" w:rsidR="00236D8B" w:rsidRDefault="00236D8B">
      <w:r>
        <w:separator/>
      </w:r>
    </w:p>
  </w:endnote>
  <w:endnote w:type="continuationSeparator" w:id="0">
    <w:p w14:paraId="1A9C35C2" w14:textId="77777777" w:rsidR="00236D8B" w:rsidRDefault="0023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66C8" w14:textId="77777777" w:rsidR="00B00757" w:rsidRDefault="008A25BB">
    <w:pPr>
      <w:pStyle w:val="DidefaultA"/>
      <w:tabs>
        <w:tab w:val="center" w:pos="4513"/>
        <w:tab w:val="right" w:pos="9000"/>
      </w:tabs>
    </w:pPr>
    <w:r>
      <w:rPr>
        <w:sz w:val="24"/>
        <w:szCs w:val="24"/>
      </w:rPr>
      <w:tab/>
    </w:r>
    <w:r>
      <w:rPr>
        <w:sz w:val="24"/>
        <w:szCs w:val="24"/>
      </w:rPr>
      <w:tab/>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F64C" w14:textId="77777777" w:rsidR="00236D8B" w:rsidRDefault="00236D8B">
      <w:r>
        <w:separator/>
      </w:r>
    </w:p>
  </w:footnote>
  <w:footnote w:type="continuationSeparator" w:id="0">
    <w:p w14:paraId="14272ED1" w14:textId="77777777" w:rsidR="00236D8B" w:rsidRDefault="0023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CD67" w14:textId="77777777" w:rsidR="00B00757" w:rsidRDefault="00B0075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C26A8"/>
    <w:multiLevelType w:val="hybridMultilevel"/>
    <w:tmpl w:val="8490F218"/>
    <w:lvl w:ilvl="0" w:tplc="1D90A1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AF835D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6E0DA6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E08D3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77A93A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5387AB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FCA177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3762F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FA0368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57"/>
    <w:rsid w:val="0004773B"/>
    <w:rsid w:val="000515BC"/>
    <w:rsid w:val="00105065"/>
    <w:rsid w:val="0013598C"/>
    <w:rsid w:val="001718C2"/>
    <w:rsid w:val="001D45DF"/>
    <w:rsid w:val="00236D8B"/>
    <w:rsid w:val="00273F1B"/>
    <w:rsid w:val="003011B8"/>
    <w:rsid w:val="004442E9"/>
    <w:rsid w:val="004575B4"/>
    <w:rsid w:val="004A767F"/>
    <w:rsid w:val="005364A4"/>
    <w:rsid w:val="005642B8"/>
    <w:rsid w:val="005B4A4D"/>
    <w:rsid w:val="005F4FBF"/>
    <w:rsid w:val="005F68EC"/>
    <w:rsid w:val="006A0ED4"/>
    <w:rsid w:val="006C27E7"/>
    <w:rsid w:val="00702401"/>
    <w:rsid w:val="00703FB3"/>
    <w:rsid w:val="007B3695"/>
    <w:rsid w:val="00814565"/>
    <w:rsid w:val="008A25BB"/>
    <w:rsid w:val="008A631D"/>
    <w:rsid w:val="009C6CC5"/>
    <w:rsid w:val="009C7DD1"/>
    <w:rsid w:val="009E1FDC"/>
    <w:rsid w:val="00A13E1F"/>
    <w:rsid w:val="00B00757"/>
    <w:rsid w:val="00B06C09"/>
    <w:rsid w:val="00B54454"/>
    <w:rsid w:val="00BA7EFD"/>
    <w:rsid w:val="00CA3017"/>
    <w:rsid w:val="00D30CA7"/>
    <w:rsid w:val="00D773C2"/>
    <w:rsid w:val="00D81015"/>
    <w:rsid w:val="00DC6F21"/>
    <w:rsid w:val="00E167D9"/>
    <w:rsid w:val="00E45B08"/>
    <w:rsid w:val="00E677CD"/>
    <w:rsid w:val="00E67FA3"/>
    <w:rsid w:val="00E805E6"/>
    <w:rsid w:val="00EA5A3F"/>
    <w:rsid w:val="00EB4732"/>
    <w:rsid w:val="00ED3A20"/>
    <w:rsid w:val="00F25AEA"/>
    <w:rsid w:val="00F62E43"/>
    <w:rsid w:val="00F670A5"/>
    <w:rsid w:val="00F868D9"/>
    <w:rsid w:val="00FD7846"/>
    <w:rsid w:val="03181F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365D"/>
  <w15:docId w15:val="{4D00AB47-8AA7-754D-BE57-EEFC6939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orpoB">
    <w:name w:val="Corpo B"/>
    <w:rPr>
      <w:rFonts w:cs="Arial Unicode MS"/>
      <w:color w:val="000000"/>
      <w:sz w:val="24"/>
      <w:szCs w:val="24"/>
      <w:u w:color="000000"/>
      <w:lang w:val="it-IT"/>
      <w14:textOutline w14:w="12700" w14:cap="flat" w14:cmpd="sng" w14:algn="ctr">
        <w14:noFill/>
        <w14:prstDash w14:val="solid"/>
        <w14:miter w14:lim="400000"/>
      </w14:textOutline>
    </w:rPr>
  </w:style>
  <w:style w:type="paragraph" w:customStyle="1" w:styleId="CorpoC">
    <w:name w:val="Corpo C"/>
    <w:rPr>
      <w:rFonts w:eastAsia="Times New Roman"/>
      <w:color w:val="000000"/>
      <w:sz w:val="24"/>
      <w:szCs w:val="24"/>
      <w:u w:color="000000"/>
      <w:lang w:val="it-IT"/>
      <w14:textOutline w14:w="12700" w14:cap="flat" w14:cmpd="sng" w14:algn="ctr">
        <w14:noFill/>
        <w14:prstDash w14:val="solid"/>
        <w14:miter w14:lim="400000"/>
      </w14:textOutline>
    </w:rPr>
  </w:style>
  <w:style w:type="paragraph" w:customStyle="1" w:styleId="CorpoD">
    <w:name w:val="Corpo D"/>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Corpo">
    <w:name w:val="Corpo"/>
    <w:rsid w:val="00EB4732"/>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iletabella1">
    <w:name w:val="Stile tabella 1"/>
    <w:rsid w:val="00EB4732"/>
    <w:rPr>
      <w:rFonts w:ascii="Helvetica Neue" w:hAnsi="Helvetica Neue" w:cs="Arial Unicode MS"/>
      <w:b/>
      <w:bCs/>
      <w:color w:val="000000"/>
      <w14:textOutline w14:w="0" w14:cap="flat" w14:cmpd="sng" w14:algn="ctr">
        <w14:noFill/>
        <w14:prstDash w14:val="solid"/>
        <w14:bevel/>
      </w14:textOutline>
    </w:rPr>
  </w:style>
  <w:style w:type="paragraph" w:customStyle="1" w:styleId="Stiletabella2">
    <w:name w:val="Stile tabella 2"/>
    <w:rsid w:val="00EB4732"/>
    <w:rPr>
      <w:rFonts w:ascii="Helvetica Neue" w:hAnsi="Helvetica Neue" w:cs="Arial Unicode MS"/>
      <w:color w:val="000000"/>
      <w14:textOutline w14:w="0" w14:cap="flat" w14:cmpd="sng" w14:algn="ctr">
        <w14:noFill/>
        <w14:prstDash w14:val="solid"/>
        <w14:bevel/>
      </w14:textOutline>
    </w:rPr>
  </w:style>
  <w:style w:type="paragraph" w:customStyle="1" w:styleId="Didefault">
    <w:name w:val="Di default"/>
    <w:rsid w:val="00EB4732"/>
    <w:rPr>
      <w:rFonts w:ascii="Helvetica Neue" w:hAnsi="Helvetica Neue" w:cs="Arial Unicode MS"/>
      <w:color w:val="000000"/>
      <w:sz w:val="22"/>
      <w:szCs w:val="22"/>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ED3A20"/>
    <w:rPr>
      <w:sz w:val="16"/>
      <w:szCs w:val="16"/>
    </w:rPr>
  </w:style>
  <w:style w:type="paragraph" w:styleId="Kommentartext">
    <w:name w:val="annotation text"/>
    <w:basedOn w:val="Standard"/>
    <w:link w:val="KommentartextZchn"/>
    <w:uiPriority w:val="99"/>
    <w:semiHidden/>
    <w:unhideWhenUsed/>
    <w:rsid w:val="00ED3A20"/>
    <w:rPr>
      <w:sz w:val="20"/>
      <w:szCs w:val="20"/>
    </w:rPr>
  </w:style>
  <w:style w:type="character" w:customStyle="1" w:styleId="KommentartextZchn">
    <w:name w:val="Kommentartext Zchn"/>
    <w:basedOn w:val="Absatz-Standardschriftart"/>
    <w:link w:val="Kommentartext"/>
    <w:uiPriority w:val="99"/>
    <w:semiHidden/>
    <w:rsid w:val="00ED3A20"/>
    <w:rPr>
      <w:lang w:val="en-US" w:eastAsia="en-US"/>
    </w:rPr>
  </w:style>
  <w:style w:type="paragraph" w:styleId="Kommentarthema">
    <w:name w:val="annotation subject"/>
    <w:basedOn w:val="Kommentartext"/>
    <w:next w:val="Kommentartext"/>
    <w:link w:val="KommentarthemaZchn"/>
    <w:uiPriority w:val="99"/>
    <w:semiHidden/>
    <w:unhideWhenUsed/>
    <w:rsid w:val="00ED3A20"/>
    <w:rPr>
      <w:b/>
      <w:bCs/>
    </w:rPr>
  </w:style>
  <w:style w:type="character" w:customStyle="1" w:styleId="KommentarthemaZchn">
    <w:name w:val="Kommentarthema Zchn"/>
    <w:basedOn w:val="KommentartextZchn"/>
    <w:link w:val="Kommentarthema"/>
    <w:uiPriority w:val="99"/>
    <w:semiHidden/>
    <w:rsid w:val="00ED3A2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80/14397595.2018.15008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10.1007/s10875-017-046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915</Words>
  <Characters>5769</Characters>
  <Application>Microsoft Office Word</Application>
  <DocSecurity>0</DocSecurity>
  <Lines>48</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Näf</cp:lastModifiedBy>
  <cp:revision>44</cp:revision>
  <dcterms:created xsi:type="dcterms:W3CDTF">2020-11-02T14:39:00Z</dcterms:created>
  <dcterms:modified xsi:type="dcterms:W3CDTF">2021-02-01T13:57:00Z</dcterms:modified>
</cp:coreProperties>
</file>