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CD0" w14:textId="77777777" w:rsidR="00BA60D8" w:rsidRPr="00D42C33" w:rsidRDefault="00BA60D8" w:rsidP="00BA60D8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  <w:bookmarkStart w:id="0" w:name="_Toc460500631"/>
      <w:r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Supplementary Figures and Tables</w:t>
      </w:r>
    </w:p>
    <w:p w14:paraId="63F70E5D" w14:textId="77777777" w:rsidR="00BA60D8" w:rsidRPr="00D42C33" w:rsidRDefault="00BA60D8" w:rsidP="00BA60D8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  <w:r w:rsidRPr="00D42C33"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Current management of Inherited Retinal Degenerations (IRD) patients in Europe. Results of a multinational survey by the European Vision Institute Clinical Research Network EVICR.net</w:t>
      </w:r>
    </w:p>
    <w:p w14:paraId="17EEE7B8" w14:textId="77777777" w:rsidR="00BA60D8" w:rsidRPr="00D42C33" w:rsidRDefault="00BA60D8" w:rsidP="00BA60D8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</w:p>
    <w:p w14:paraId="433C40D4" w14:textId="77777777" w:rsidR="00BA60D8" w:rsidRPr="00D42C33" w:rsidRDefault="00BA60D8" w:rsidP="00BA60D8">
      <w:pPr>
        <w:spacing w:after="120" w:line="360" w:lineRule="auto"/>
        <w:jc w:val="center"/>
        <w:rPr>
          <w:lang w:eastAsia="de-CH"/>
        </w:rPr>
      </w:pPr>
      <w:r w:rsidRPr="00D42C33">
        <w:rPr>
          <w:lang w:eastAsia="de-CH"/>
        </w:rPr>
        <w:t>Birgit Lorenz</w:t>
      </w:r>
      <w:r w:rsidRPr="00D42C33">
        <w:rPr>
          <w:vertAlign w:val="superscript"/>
          <w:lang w:eastAsia="de-CH"/>
        </w:rPr>
        <w:t xml:space="preserve">a, b, </w:t>
      </w:r>
      <w:r w:rsidRPr="00D42C33">
        <w:rPr>
          <w:lang w:eastAsia="de-CH"/>
        </w:rPr>
        <w:t>*, Joana Tavares</w:t>
      </w:r>
      <w:r w:rsidRPr="00D42C33">
        <w:rPr>
          <w:vertAlign w:val="superscript"/>
          <w:lang w:eastAsia="de-CH"/>
        </w:rPr>
        <w:t xml:space="preserve">c, </w:t>
      </w:r>
      <w:r w:rsidRPr="00D42C33">
        <w:rPr>
          <w:lang w:eastAsia="de-CH"/>
        </w:rPr>
        <w:t>*, L Ingeborgh van den Born</w:t>
      </w:r>
      <w:r w:rsidRPr="00D42C33">
        <w:rPr>
          <w:vertAlign w:val="superscript"/>
          <w:lang w:eastAsia="de-CH"/>
        </w:rPr>
        <w:t>d</w:t>
      </w:r>
      <w:r w:rsidRPr="00D42C33">
        <w:rPr>
          <w:lang w:eastAsia="de-CH"/>
        </w:rPr>
        <w:t>, João P Marques</w:t>
      </w:r>
      <w:r w:rsidRPr="00D42C33">
        <w:rPr>
          <w:vertAlign w:val="superscript"/>
          <w:lang w:eastAsia="de-CH"/>
        </w:rPr>
        <w:t>e, f, g</w:t>
      </w:r>
      <w:r w:rsidRPr="00D42C33">
        <w:rPr>
          <w:lang w:eastAsia="de-CH"/>
        </w:rPr>
        <w:t>, Hendrik P N Scholl</w:t>
      </w:r>
      <w:r w:rsidRPr="00D42C33">
        <w:rPr>
          <w:vertAlign w:val="superscript"/>
          <w:lang w:eastAsia="de-CH"/>
        </w:rPr>
        <w:t>h, i, j</w:t>
      </w:r>
    </w:p>
    <w:p w14:paraId="798FEDB0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</w:p>
    <w:p w14:paraId="219E6FA0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>a</w:t>
      </w:r>
      <w:r w:rsidRPr="00D42C33">
        <w:rPr>
          <w:lang w:eastAsia="de-CH"/>
        </w:rPr>
        <w:t xml:space="preserve"> Department of Ophthalmology, Justus-Liebig-University Giessen, Giessen, Germany</w:t>
      </w:r>
    </w:p>
    <w:p w14:paraId="562D1C2C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>b</w:t>
      </w:r>
      <w:r w:rsidRPr="00D42C33">
        <w:rPr>
          <w:lang w:eastAsia="de-CH"/>
        </w:rPr>
        <w:t xml:space="preserve"> Department of Ophthalmology, University Hospital Bonn, Bonn, Germany</w:t>
      </w:r>
    </w:p>
    <w:p w14:paraId="1B9EB607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c </w:t>
      </w:r>
      <w:r w:rsidRPr="00D42C33">
        <w:rPr>
          <w:lang w:eastAsia="de-CH"/>
        </w:rPr>
        <w:t>Association for Innovation and Biomedical Research on Light and Image (AIBILI), Coimbra, Portugal</w:t>
      </w:r>
    </w:p>
    <w:p w14:paraId="32B9EF8E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d </w:t>
      </w:r>
      <w:r w:rsidRPr="00D42C33">
        <w:rPr>
          <w:lang w:eastAsia="de-CH"/>
        </w:rPr>
        <w:t>Rotterdam Eye Hospital and Rotterdam Ophthalmic Institute, Rotterdam, the Netherlands</w:t>
      </w:r>
    </w:p>
    <w:p w14:paraId="2227D93A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e </w:t>
      </w:r>
      <w:r w:rsidRPr="00D42C33">
        <w:rPr>
          <w:lang w:eastAsia="de-CH"/>
        </w:rPr>
        <w:t>Center for Clinical Trials, Association for Innovation and Biomedical Research on Light and Image (AIBILI), Coimbra, Portugal</w:t>
      </w:r>
    </w:p>
    <w:p w14:paraId="6DC55A36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f </w:t>
      </w:r>
      <w:r w:rsidRPr="00D42C33">
        <w:rPr>
          <w:lang w:eastAsia="de-CH"/>
        </w:rPr>
        <w:t>Department of Ophthalmology, Centro Hospitalar e Universitário de Coimbra (CHUC), Coimbra, Portugal</w:t>
      </w:r>
    </w:p>
    <w:p w14:paraId="4722C925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g </w:t>
      </w:r>
      <w:r w:rsidRPr="00D42C33">
        <w:rPr>
          <w:lang w:eastAsia="de-CH"/>
        </w:rPr>
        <w:t>Faculty of Medicine, University of Coimbra (FMUC), Coimbra, Portugal</w:t>
      </w:r>
    </w:p>
    <w:p w14:paraId="1C8B7047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h </w:t>
      </w:r>
      <w:r w:rsidRPr="00D42C33">
        <w:rPr>
          <w:lang w:eastAsia="de-CH"/>
        </w:rPr>
        <w:t>Institute of Molecular and Clinical Ophthalmology Basel (IOB), Basel, Switzerland</w:t>
      </w:r>
    </w:p>
    <w:p w14:paraId="2C5F137C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i </w:t>
      </w:r>
      <w:r w:rsidRPr="00D42C33">
        <w:rPr>
          <w:lang w:eastAsia="de-CH"/>
        </w:rPr>
        <w:t>Department of Ophthalmology, University of Basel, Basel, Switzerland</w:t>
      </w:r>
    </w:p>
    <w:p w14:paraId="567B3EA8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vertAlign w:val="superscript"/>
          <w:lang w:eastAsia="de-CH"/>
        </w:rPr>
        <w:t xml:space="preserve">j </w:t>
      </w:r>
      <w:r w:rsidRPr="00D42C33">
        <w:rPr>
          <w:lang w:eastAsia="de-CH"/>
        </w:rPr>
        <w:t>Wilmer Eye Institute, Johns Hopkins University, Baltimore, Maryland, United States</w:t>
      </w:r>
    </w:p>
    <w:p w14:paraId="511F9F3A" w14:textId="77777777" w:rsidR="00BA60D8" w:rsidRPr="00D42C33" w:rsidRDefault="00BA60D8" w:rsidP="00BA60D8">
      <w:pPr>
        <w:spacing w:after="120" w:line="360" w:lineRule="auto"/>
        <w:rPr>
          <w:lang w:eastAsia="de-CH"/>
        </w:rPr>
      </w:pPr>
      <w:r w:rsidRPr="00D42C33">
        <w:rPr>
          <w:lang w:eastAsia="de-CH"/>
        </w:rPr>
        <w:t>* These authors contributed equally.</w:t>
      </w:r>
    </w:p>
    <w:p w14:paraId="452C5900" w14:textId="77777777" w:rsidR="004D0608" w:rsidRPr="004A0F16" w:rsidRDefault="00DE0360" w:rsidP="001E4EE2">
      <w:pPr>
        <w:spacing w:after="120" w:line="360" w:lineRule="auto"/>
        <w:rPr>
          <w:rFonts w:ascii="Arial" w:hAnsi="Arial" w:cs="Arial"/>
          <w:b/>
          <w:lang w:val="en-US"/>
        </w:rPr>
      </w:pPr>
      <w:r w:rsidRPr="004A0F16">
        <w:rPr>
          <w:rFonts w:ascii="Arial" w:hAnsi="Arial" w:cs="Arial"/>
          <w:lang w:val="en-US" w:eastAsia="de-CH"/>
        </w:rPr>
        <w:br w:type="page"/>
      </w:r>
      <w:bookmarkEnd w:id="0"/>
      <w:r w:rsidR="00BE4E24" w:rsidRPr="004A0F16">
        <w:rPr>
          <w:rFonts w:ascii="Arial" w:hAnsi="Arial" w:cs="Arial"/>
          <w:b/>
          <w:lang w:val="en-US"/>
        </w:rPr>
        <w:lastRenderedPageBreak/>
        <w:t>Supplementary Figures</w:t>
      </w:r>
    </w:p>
    <w:p w14:paraId="515F222D" w14:textId="77777777" w:rsidR="000839AC" w:rsidRPr="004A0F16" w:rsidRDefault="00252765" w:rsidP="00CE43A1">
      <w:pPr>
        <w:keepNext/>
        <w:spacing w:after="0"/>
        <w:jc w:val="center"/>
        <w:rPr>
          <w:rFonts w:ascii="Arial" w:hAnsi="Arial" w:cs="Arial"/>
          <w:lang w:val="en-US"/>
        </w:rPr>
      </w:pPr>
      <w:r w:rsidRPr="004A0F16">
        <w:rPr>
          <w:rFonts w:ascii="Arial" w:hAnsi="Arial" w:cs="Arial"/>
          <w:noProof/>
          <w:lang w:val="en-US" w:eastAsia="pt-PT"/>
        </w:rPr>
        <w:pict w14:anchorId="366D1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5pt">
            <v:imagedata r:id="rId11" o:title="1_5_20200512"/>
          </v:shape>
        </w:pict>
      </w:r>
    </w:p>
    <w:p w14:paraId="49AEF5A2" w14:textId="77777777" w:rsidR="000839AC" w:rsidRPr="004A0F16" w:rsidRDefault="000839AC" w:rsidP="000A1728">
      <w:pPr>
        <w:pStyle w:val="Caption"/>
        <w:spacing w:line="360" w:lineRule="auto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bookmarkStart w:id="1" w:name="_Ref11762531"/>
      <w:bookmarkStart w:id="2" w:name="_Toc13070801"/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Fig</w:t>
      </w:r>
      <w:bookmarkEnd w:id="1"/>
      <w:r w:rsidR="00CE43A1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. S1</w:t>
      </w:r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. Age range at IRD patients first visit.</w:t>
      </w:r>
      <w:bookmarkEnd w:id="2"/>
      <w:r w:rsidR="00CE43A1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Box plot of the percentage of IRD patients/age range at first visit: the box signifies the third quartile (Q3) and first quartile (Q1) range of data, and the median is represented by a black line within the box for each age range. Data falling outside the Q1 – Q3 range are plotted as outliers of the data and are depicted by black dots.</w:t>
      </w:r>
    </w:p>
    <w:p w14:paraId="58122729" w14:textId="77777777" w:rsidR="00A42735" w:rsidRPr="004A0F16" w:rsidRDefault="00AB18C3" w:rsidP="00FF6C32">
      <w:pPr>
        <w:spacing w:after="120" w:line="240" w:lineRule="auto"/>
        <w:rPr>
          <w:rFonts w:ascii="Arial" w:hAnsi="Arial" w:cs="Arial"/>
          <w:b/>
          <w:lang w:val="en-US"/>
        </w:rPr>
      </w:pPr>
      <w:r w:rsidRPr="004A0F16">
        <w:rPr>
          <w:rFonts w:ascii="Arial" w:hAnsi="Arial" w:cs="Arial"/>
          <w:b/>
          <w:lang w:val="en-US"/>
        </w:rPr>
        <w:pict w14:anchorId="12BCC126">
          <v:shape id="_x0000_i1026" type="#_x0000_t75" style="width:453.75pt;height:422.25pt">
            <v:imagedata r:id="rId12" o:title="1_7_20200703"/>
          </v:shape>
        </w:pict>
      </w:r>
      <w:r w:rsidR="00A42735" w:rsidRPr="004A0F16">
        <w:rPr>
          <w:rFonts w:ascii="Arial" w:hAnsi="Arial" w:cs="Arial"/>
          <w:bCs/>
          <w:lang w:val="en-US"/>
        </w:rPr>
        <w:t xml:space="preserve">Fig. S2. Mean time between inquiry of appointment and first contact with a retina expert for </w:t>
      </w:r>
      <w:r w:rsidR="00A42735" w:rsidRPr="004A0F16">
        <w:rPr>
          <w:rFonts w:ascii="Arial" w:hAnsi="Arial" w:cs="Arial"/>
          <w:bCs/>
          <w:lang w:val="en-US"/>
        </w:rPr>
        <w:lastRenderedPageBreak/>
        <w:t xml:space="preserve">IRD patients distributed by country. The percentage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="00A42735" w:rsidRPr="004A0F16">
        <w:rPr>
          <w:rFonts w:ascii="Arial" w:hAnsi="Arial" w:cs="Arial"/>
          <w:bCs/>
          <w:lang w:val="en-US"/>
        </w:rPr>
        <w:t xml:space="preserve">s per country was calculated based on the total number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="00A42735" w:rsidRPr="004A0F16">
        <w:rPr>
          <w:rFonts w:ascii="Arial" w:hAnsi="Arial" w:cs="Arial"/>
          <w:bCs/>
          <w:lang w:val="en-US"/>
        </w:rPr>
        <w:t>s that replied for each country.</w:t>
      </w:r>
    </w:p>
    <w:p w14:paraId="4B752B88" w14:textId="77777777" w:rsidR="00A42735" w:rsidRPr="004A0F16" w:rsidRDefault="00A42735" w:rsidP="00FF6C32">
      <w:pPr>
        <w:spacing w:after="120" w:line="240" w:lineRule="auto"/>
        <w:rPr>
          <w:rFonts w:ascii="Arial" w:hAnsi="Arial" w:cs="Arial"/>
          <w:bCs/>
          <w:lang w:val="en-US"/>
        </w:rPr>
      </w:pPr>
    </w:p>
    <w:p w14:paraId="6913DFDD" w14:textId="77777777" w:rsidR="00A42735" w:rsidRPr="004A0F16" w:rsidRDefault="007B75E3" w:rsidP="00FF6C32">
      <w:pPr>
        <w:spacing w:after="12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pict w14:anchorId="6E4A8B6B">
          <v:shape id="_x0000_i1027" type="#_x0000_t75" style="width:453pt;height:410.25pt">
            <v:imagedata r:id="rId13" o:title="1_8_20201120"/>
          </v:shape>
        </w:pict>
      </w:r>
    </w:p>
    <w:p w14:paraId="3A800ADC" w14:textId="77777777" w:rsidR="00A42735" w:rsidRPr="004A0F16" w:rsidRDefault="00A42735" w:rsidP="00FF6C32">
      <w:pPr>
        <w:spacing w:after="120" w:line="240" w:lineRule="auto"/>
        <w:rPr>
          <w:rFonts w:ascii="Arial" w:hAnsi="Arial" w:cs="Arial"/>
          <w:bCs/>
          <w:lang w:val="en-US"/>
        </w:rPr>
      </w:pPr>
      <w:r w:rsidRPr="004A0F16">
        <w:rPr>
          <w:rFonts w:ascii="Arial" w:hAnsi="Arial" w:cs="Arial"/>
          <w:bCs/>
          <w:lang w:val="en-US"/>
        </w:rPr>
        <w:t xml:space="preserve">Fig. S3. Mean time between inquiry of appointment and final ophthalmological diagnosis for IRD patients distributed by country. The percentage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Pr="004A0F16">
        <w:rPr>
          <w:rFonts w:ascii="Arial" w:hAnsi="Arial" w:cs="Arial"/>
          <w:bCs/>
          <w:lang w:val="en-US"/>
        </w:rPr>
        <w:t xml:space="preserve">s per country was calculated based on the total number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Pr="004A0F16">
        <w:rPr>
          <w:rFonts w:ascii="Arial" w:hAnsi="Arial" w:cs="Arial"/>
          <w:bCs/>
          <w:lang w:val="en-US"/>
        </w:rPr>
        <w:t>s that replied for each country.</w:t>
      </w:r>
    </w:p>
    <w:p w14:paraId="5D2D7123" w14:textId="77777777" w:rsidR="00A42735" w:rsidRPr="004A0F16" w:rsidRDefault="00A42735" w:rsidP="00FF6C32">
      <w:pPr>
        <w:spacing w:after="120" w:line="240" w:lineRule="auto"/>
        <w:rPr>
          <w:rFonts w:ascii="Arial" w:hAnsi="Arial" w:cs="Arial"/>
          <w:bCs/>
          <w:lang w:val="en-US"/>
        </w:rPr>
      </w:pPr>
    </w:p>
    <w:p w14:paraId="335A360A" w14:textId="77777777" w:rsidR="00A42735" w:rsidRPr="004A0F16" w:rsidRDefault="000B3F41" w:rsidP="00FF6C32">
      <w:pPr>
        <w:spacing w:after="12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pict w14:anchorId="3CD3860D">
          <v:shape id="_x0000_i1028" type="#_x0000_t75" style="width:453pt;height:381pt">
            <v:imagedata r:id="rId14" o:title="1_9_20201123"/>
          </v:shape>
        </w:pict>
      </w:r>
    </w:p>
    <w:p w14:paraId="26D7EDCF" w14:textId="77777777" w:rsidR="00A42735" w:rsidRPr="004A0F16" w:rsidRDefault="00A42735" w:rsidP="00FF6C32">
      <w:pPr>
        <w:spacing w:after="120" w:line="240" w:lineRule="auto"/>
        <w:rPr>
          <w:rFonts w:ascii="Arial" w:hAnsi="Arial" w:cs="Arial"/>
          <w:bCs/>
          <w:lang w:val="en-US"/>
        </w:rPr>
      </w:pPr>
      <w:r w:rsidRPr="004A0F16">
        <w:rPr>
          <w:rFonts w:ascii="Arial" w:hAnsi="Arial" w:cs="Arial"/>
          <w:bCs/>
          <w:lang w:val="en-US"/>
        </w:rPr>
        <w:t xml:space="preserve">Fig. </w:t>
      </w:r>
      <w:r w:rsidR="006D1EC1" w:rsidRPr="004A0F16">
        <w:rPr>
          <w:rFonts w:ascii="Arial" w:hAnsi="Arial" w:cs="Arial"/>
          <w:bCs/>
          <w:lang w:val="en-US"/>
        </w:rPr>
        <w:t>S</w:t>
      </w:r>
      <w:r w:rsidRPr="004A0F16">
        <w:rPr>
          <w:rFonts w:ascii="Arial" w:hAnsi="Arial" w:cs="Arial"/>
          <w:bCs/>
          <w:lang w:val="en-US"/>
        </w:rPr>
        <w:t xml:space="preserve">4. Mean time between inquiry of appointment and final ophthalmological and genetic diagnosis for IRD patients distributed by country. The percentage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Pr="004A0F16">
        <w:rPr>
          <w:rFonts w:ascii="Arial" w:hAnsi="Arial" w:cs="Arial"/>
          <w:bCs/>
          <w:lang w:val="en-US"/>
        </w:rPr>
        <w:t xml:space="preserve">s per country was calculated based on the total number of </w:t>
      </w:r>
      <w:r w:rsidR="00963CBF" w:rsidRPr="004A0F16">
        <w:rPr>
          <w:rFonts w:ascii="Arial" w:hAnsi="Arial" w:cs="Arial"/>
          <w:bCs/>
          <w:lang w:val="en-US"/>
        </w:rPr>
        <w:t>center</w:t>
      </w:r>
      <w:r w:rsidRPr="004A0F16">
        <w:rPr>
          <w:rFonts w:ascii="Arial" w:hAnsi="Arial" w:cs="Arial"/>
          <w:bCs/>
          <w:lang w:val="en-US"/>
        </w:rPr>
        <w:t>s that replied for each country.</w:t>
      </w:r>
    </w:p>
    <w:p w14:paraId="44CADF50" w14:textId="77777777" w:rsidR="00A42735" w:rsidRPr="004A0F16" w:rsidRDefault="00A42735" w:rsidP="00FF6C32">
      <w:pPr>
        <w:spacing w:after="120" w:line="240" w:lineRule="auto"/>
        <w:rPr>
          <w:rFonts w:ascii="Arial" w:hAnsi="Arial" w:cs="Arial"/>
          <w:bCs/>
          <w:lang w:val="en-US"/>
        </w:rPr>
      </w:pPr>
    </w:p>
    <w:p w14:paraId="35E5D3FC" w14:textId="77777777" w:rsidR="008F47ED" w:rsidRDefault="008F47ED" w:rsidP="008F47ED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</w:r>
      <w:r>
        <w:rPr>
          <w:rFonts w:ascii="Arial" w:hAnsi="Arial" w:cs="Arial"/>
          <w:lang w:val="en-US"/>
        </w:rPr>
        <w:pict w14:anchorId="07203FBF">
          <v:shape id="_x0000_s1033" type="#_x0000_t75" style="width:416.7pt;height:206.75pt;mso-position-horizontal-relative:char;mso-position-vertical-relative:line">
            <v:imagedata r:id="rId15" o:title="" cropbottom="3138f"/>
            <w10:anchorlock/>
          </v:shape>
        </w:pict>
      </w:r>
    </w:p>
    <w:p w14:paraId="4D022ECE" w14:textId="77777777" w:rsidR="00BE4E24" w:rsidRPr="004A0F16" w:rsidRDefault="009B6934" w:rsidP="008F47ED">
      <w:pPr>
        <w:spacing w:after="120" w:line="240" w:lineRule="auto"/>
        <w:rPr>
          <w:rFonts w:ascii="Arial" w:hAnsi="Arial" w:cs="Arial"/>
          <w:lang w:val="en-US"/>
        </w:rPr>
      </w:pPr>
      <w:r w:rsidRPr="004A0F16">
        <w:rPr>
          <w:rFonts w:ascii="Arial" w:hAnsi="Arial" w:cs="Arial"/>
          <w:lang w:val="en-US"/>
        </w:rPr>
        <w:t>Fig. S</w:t>
      </w:r>
      <w:r w:rsidR="00A42735" w:rsidRPr="004A0F16">
        <w:rPr>
          <w:rFonts w:ascii="Arial" w:hAnsi="Arial" w:cs="Arial"/>
          <w:lang w:val="en-US"/>
        </w:rPr>
        <w:t>5</w:t>
      </w:r>
      <w:r w:rsidRPr="004A0F16">
        <w:rPr>
          <w:rFonts w:ascii="Arial" w:hAnsi="Arial" w:cs="Arial"/>
          <w:lang w:val="en-US"/>
        </w:rPr>
        <w:t xml:space="preserve">. Basic tests performed in IRD patients referenced to expert </w:t>
      </w:r>
      <w:r w:rsidR="00620248" w:rsidRPr="004A0F16">
        <w:rPr>
          <w:rFonts w:ascii="Arial" w:hAnsi="Arial" w:cs="Arial"/>
          <w:lang w:val="en-US"/>
        </w:rPr>
        <w:t>center</w:t>
      </w:r>
      <w:r w:rsidRPr="004A0F16">
        <w:rPr>
          <w:rFonts w:ascii="Arial" w:hAnsi="Arial" w:cs="Arial"/>
          <w:lang w:val="en-US"/>
        </w:rPr>
        <w:t>s.</w:t>
      </w:r>
      <w:r w:rsidR="000A1728" w:rsidRPr="004A0F16">
        <w:rPr>
          <w:rFonts w:ascii="Arial" w:hAnsi="Arial" w:cs="Arial"/>
          <w:lang w:val="en-US"/>
        </w:rPr>
        <w:t xml:space="preserve"> </w:t>
      </w:r>
      <w:r w:rsidR="000A1728" w:rsidRPr="004A0F16">
        <w:rPr>
          <w:rFonts w:ascii="Arial" w:eastAsia="MS Mincho" w:hAnsi="Arial" w:cs="Arial"/>
          <w:lang w:val="en-US"/>
        </w:rPr>
        <w:t>Multiple choices allowed.</w:t>
      </w:r>
    </w:p>
    <w:p w14:paraId="67CA80E1" w14:textId="77777777" w:rsidR="00250FDD" w:rsidRPr="004A0F16" w:rsidRDefault="00250FDD" w:rsidP="00250FDD">
      <w:pPr>
        <w:pStyle w:val="ColorfulList-Accent1"/>
        <w:spacing w:line="276" w:lineRule="auto"/>
        <w:ind w:left="0"/>
        <w:contextualSpacing w:val="0"/>
        <w:rPr>
          <w:rFonts w:ascii="Arial" w:hAnsi="Arial" w:cs="Arial"/>
          <w:lang w:val="en-US"/>
        </w:rPr>
      </w:pPr>
    </w:p>
    <w:p w14:paraId="5EBF3517" w14:textId="77777777" w:rsidR="00250FDD" w:rsidRPr="004A0F16" w:rsidRDefault="00DA3101" w:rsidP="00250FDD">
      <w:pPr>
        <w:pStyle w:val="ColorfulList-Accent1"/>
        <w:keepNext/>
        <w:spacing w:line="276" w:lineRule="auto"/>
        <w:ind w:left="0"/>
        <w:contextualSpacing w:val="0"/>
        <w:rPr>
          <w:rFonts w:ascii="Arial" w:hAnsi="Arial" w:cs="Arial"/>
          <w:lang w:val="en-US"/>
        </w:rPr>
      </w:pPr>
      <w:r w:rsidRPr="004A0F16">
        <w:rPr>
          <w:rFonts w:ascii="Arial" w:hAnsi="Arial" w:cs="Arial"/>
          <w:noProof/>
          <w:lang w:val="en-US"/>
        </w:rPr>
      </w:r>
      <w:r w:rsidRPr="004A0F16">
        <w:rPr>
          <w:rFonts w:ascii="Arial" w:hAnsi="Arial" w:cs="Arial"/>
          <w:lang w:val="en-US"/>
        </w:rPr>
        <w:pict w14:anchorId="05AF5440">
          <v:shape id="_x0000_s1032" type="#_x0000_t75" style="width:388.5pt;height:149.25pt;mso-position-horizontal-relative:char;mso-position-vertical-relative:line">
            <v:imagedata r:id="rId16" o:title="" croptop="2438f" cropbottom="2458f" cropleft="911f" cropright="1408f"/>
            <w10:anchorlock/>
          </v:shape>
        </w:pict>
      </w:r>
    </w:p>
    <w:p w14:paraId="6864AF23" w14:textId="77777777" w:rsidR="00250FDD" w:rsidRPr="004A0F16" w:rsidRDefault="00250FDD" w:rsidP="00250FDD">
      <w:pPr>
        <w:pStyle w:val="Caption"/>
        <w:keepNext/>
        <w:spacing w:line="276" w:lineRule="auto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bookmarkStart w:id="3" w:name="_Ref13036830"/>
      <w:bookmarkStart w:id="4" w:name="_Toc13070834"/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Fig</w:t>
      </w:r>
      <w:bookmarkEnd w:id="3"/>
      <w:r w:rsidR="000A1728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. S</w:t>
      </w:r>
      <w:r w:rsidR="00A42735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6</w:t>
      </w:r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. Technologies to perform genetic testing in IRD patients.</w:t>
      </w:r>
      <w:bookmarkEnd w:id="4"/>
      <w:r w:rsidR="000A1728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Multiple choices allowed.</w:t>
      </w:r>
    </w:p>
    <w:p w14:paraId="799FAE40" w14:textId="77777777" w:rsidR="00250FDD" w:rsidRPr="004A0F16" w:rsidRDefault="00250FDD" w:rsidP="00924475">
      <w:pPr>
        <w:spacing w:after="200" w:line="276" w:lineRule="auto"/>
        <w:rPr>
          <w:rFonts w:ascii="Arial" w:hAnsi="Arial" w:cs="Arial"/>
          <w:lang w:val="en-US"/>
        </w:rPr>
      </w:pPr>
    </w:p>
    <w:p w14:paraId="7DECB399" w14:textId="77777777" w:rsidR="00896A17" w:rsidRPr="004A0F16" w:rsidRDefault="002E76C7" w:rsidP="009B6934">
      <w:pPr>
        <w:rPr>
          <w:rFonts w:ascii="Arial" w:hAnsi="Arial" w:cs="Arial"/>
          <w:b/>
          <w:bCs/>
          <w:lang w:val="en-US"/>
        </w:rPr>
      </w:pPr>
      <w:r w:rsidRPr="004A0F16">
        <w:rPr>
          <w:rFonts w:ascii="Arial" w:hAnsi="Arial" w:cs="Arial"/>
          <w:lang w:val="en-US"/>
        </w:rPr>
        <w:br w:type="page"/>
      </w:r>
      <w:r w:rsidRPr="004A0F16">
        <w:rPr>
          <w:rFonts w:ascii="Arial" w:hAnsi="Arial" w:cs="Arial"/>
          <w:b/>
          <w:bCs/>
          <w:lang w:val="en-US"/>
        </w:rPr>
        <w:lastRenderedPageBreak/>
        <w:t>Supplementary Tables</w:t>
      </w:r>
    </w:p>
    <w:p w14:paraId="7CB2F994" w14:textId="77777777" w:rsidR="000839AC" w:rsidRPr="004A0F16" w:rsidRDefault="000839AC" w:rsidP="00924475">
      <w:pPr>
        <w:pStyle w:val="Caption"/>
        <w:keepNext/>
        <w:spacing w:after="120" w:line="276" w:lineRule="auto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bookmarkStart w:id="5" w:name="_Toc13070678"/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Table</w:t>
      </w:r>
      <w:r w:rsidR="00C045C0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</w:t>
      </w:r>
      <w:r w:rsidR="00DC677B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S1</w:t>
      </w:r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. </w:t>
      </w:r>
      <w:r w:rsidR="005E0D6E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Number of </w:t>
      </w:r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IRD patients present in databases distributed by country.</w:t>
      </w:r>
      <w:bookmarkEnd w:id="5"/>
    </w:p>
    <w:tbl>
      <w:tblPr>
        <w:tblW w:w="903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709"/>
        <w:gridCol w:w="1842"/>
        <w:gridCol w:w="1276"/>
      </w:tblGrid>
      <w:tr w:rsidR="002E76C7" w:rsidRPr="004A0F16" w14:paraId="1E671E22" w14:textId="77777777" w:rsidTr="00924475">
        <w:trPr>
          <w:trHeight w:val="255"/>
        </w:trPr>
        <w:tc>
          <w:tcPr>
            <w:tcW w:w="32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  <w:hideMark/>
          </w:tcPr>
          <w:p w14:paraId="791D8C7C" w14:textId="57023B9F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pt-PT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7DA37CA3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i/>
                <w:iCs/>
                <w:lang w:val="en-US" w:eastAsia="pt-PT"/>
              </w:rPr>
              <w:t>Country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03F1625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i/>
                <w:iCs/>
                <w:lang w:val="en-US" w:eastAsia="pt-PT"/>
              </w:rPr>
              <w:t>No.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5E56777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i/>
                <w:iCs/>
                <w:lang w:val="en-US" w:eastAsia="pt-PT"/>
              </w:rPr>
              <w:t>Total replies per country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36315A6F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i/>
                <w:iCs/>
                <w:lang w:val="en-US" w:eastAsia="pt-PT"/>
              </w:rPr>
              <w:t>% per country</w:t>
            </w:r>
          </w:p>
        </w:tc>
      </w:tr>
      <w:tr w:rsidR="002E76C7" w:rsidRPr="004A0F16" w14:paraId="7B74C362" w14:textId="77777777" w:rsidTr="00334448">
        <w:trPr>
          <w:trHeight w:val="255"/>
        </w:trPr>
        <w:tc>
          <w:tcPr>
            <w:tcW w:w="3227" w:type="dxa"/>
            <w:vMerge w:val="restart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4FBAE9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&lt; 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66493F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Germany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4E71A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F2BBF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1E5AC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9</w:t>
            </w:r>
          </w:p>
        </w:tc>
      </w:tr>
      <w:tr w:rsidR="002E76C7" w:rsidRPr="004A0F16" w14:paraId="1B5A4CA0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497886E1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FDB3E61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Italy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4E48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EF1DD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8163F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13</w:t>
            </w:r>
          </w:p>
        </w:tc>
      </w:tr>
      <w:tr w:rsidR="002E76C7" w:rsidRPr="004A0F16" w14:paraId="36E09AA5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723A5284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27C7B3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Portugal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041DA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3B239D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1E23A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17</w:t>
            </w:r>
          </w:p>
        </w:tc>
      </w:tr>
      <w:tr w:rsidR="002E76C7" w:rsidRPr="004A0F16" w14:paraId="08B85D95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61998208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91E61CB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Spain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9A905E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DA16E5F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13EEAE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33</w:t>
            </w:r>
          </w:p>
        </w:tc>
      </w:tr>
      <w:tr w:rsidR="002E76C7" w:rsidRPr="004A0F16" w14:paraId="0F25793E" w14:textId="77777777" w:rsidTr="00334448">
        <w:trPr>
          <w:trHeight w:val="255"/>
        </w:trPr>
        <w:tc>
          <w:tcPr>
            <w:tcW w:w="3227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3EAE4D6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59B911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United Kingdom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40D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D60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FDE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2E76C7" w:rsidRPr="004A0F16" w14:paraId="30520E6B" w14:textId="77777777" w:rsidTr="00334448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  <w:noWrap/>
            <w:hideMark/>
          </w:tcPr>
          <w:p w14:paraId="2BA90116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100 - 499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D9B805D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Belgium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981B52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5CE0B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25DB11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2E76C7" w:rsidRPr="004A0F16" w14:paraId="03422FD0" w14:textId="77777777" w:rsidTr="00334448">
        <w:trPr>
          <w:trHeight w:val="255"/>
        </w:trPr>
        <w:tc>
          <w:tcPr>
            <w:tcW w:w="3227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hideMark/>
          </w:tcPr>
          <w:p w14:paraId="56FFE06F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hideMark/>
          </w:tcPr>
          <w:p w14:paraId="3151D9B1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France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92D3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7C575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F01BB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2E76C7" w:rsidRPr="004A0F16" w14:paraId="4D94FEE4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1D30FFF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7BD8E340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Germany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2FF6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5C83F6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F25AB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27</w:t>
            </w:r>
          </w:p>
        </w:tc>
      </w:tr>
      <w:tr w:rsidR="002E76C7" w:rsidRPr="004A0F16" w14:paraId="0409C644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68034EB6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1EF8CCF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Italy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9C23B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9D33E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DC7F3A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63</w:t>
            </w:r>
          </w:p>
        </w:tc>
      </w:tr>
      <w:tr w:rsidR="002E76C7" w:rsidRPr="004A0F16" w14:paraId="23C08FF6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0607CB4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740E8C47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Portugal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87B0C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0573EB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CE23F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17</w:t>
            </w:r>
          </w:p>
        </w:tc>
      </w:tr>
      <w:tr w:rsidR="002E76C7" w:rsidRPr="004A0F16" w14:paraId="71DB1787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2D5F9A9F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7BB9FD3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Spain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F483C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DB2CC77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A9A3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22</w:t>
            </w:r>
          </w:p>
        </w:tc>
      </w:tr>
      <w:tr w:rsidR="002E76C7" w:rsidRPr="004A0F16" w14:paraId="3A0E2197" w14:textId="77777777" w:rsidTr="00334448">
        <w:trPr>
          <w:trHeight w:val="255"/>
        </w:trPr>
        <w:tc>
          <w:tcPr>
            <w:tcW w:w="3227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D22974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12FED3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United Kingdom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1C0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F6F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26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0472F3" w:rsidRPr="004A0F16" w14:paraId="6E385F61" w14:textId="77777777" w:rsidTr="00924475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4B2B80D6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500 - 1999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EFA698E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Austria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B0684B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9DDAD0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3E0480A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0472F3" w:rsidRPr="004A0F16" w14:paraId="4D264E27" w14:textId="77777777" w:rsidTr="00924475">
        <w:trPr>
          <w:trHeight w:val="255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AFEB7A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E955B4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France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99E94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5527B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A13CB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0472F3" w:rsidRPr="004A0F16" w14:paraId="176BCB01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51910E4D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hideMark/>
          </w:tcPr>
          <w:p w14:paraId="44DE7B89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Germany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60F43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444AD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B5153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36</w:t>
            </w:r>
          </w:p>
        </w:tc>
      </w:tr>
      <w:tr w:rsidR="000472F3" w:rsidRPr="004A0F16" w14:paraId="6DA92F79" w14:textId="77777777" w:rsidTr="00334448">
        <w:trPr>
          <w:trHeight w:val="255"/>
        </w:trPr>
        <w:tc>
          <w:tcPr>
            <w:tcW w:w="3227" w:type="dxa"/>
            <w:vMerge/>
            <w:tcBorders>
              <w:right w:val="single" w:sz="6" w:space="0" w:color="000000"/>
            </w:tcBorders>
            <w:shd w:val="clear" w:color="auto" w:fill="auto"/>
            <w:hideMark/>
          </w:tcPr>
          <w:p w14:paraId="1D57947F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3E88947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Israel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74B06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36040A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5CBD4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  <w:tr w:rsidR="000472F3" w:rsidRPr="004A0F16" w14:paraId="2C9EC917" w14:textId="77777777" w:rsidTr="00334448">
        <w:trPr>
          <w:trHeight w:val="255"/>
        </w:trPr>
        <w:tc>
          <w:tcPr>
            <w:tcW w:w="3227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E8F1C4A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hideMark/>
          </w:tcPr>
          <w:p w14:paraId="233CEE1E" w14:textId="77777777" w:rsidR="000472F3" w:rsidRPr="004A0F16" w:rsidRDefault="000472F3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Spain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87C751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F66723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DF752C" w14:textId="77777777" w:rsidR="000472F3" w:rsidRPr="004A0F16" w:rsidRDefault="000472F3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22</w:t>
            </w:r>
          </w:p>
        </w:tc>
      </w:tr>
      <w:tr w:rsidR="002E76C7" w:rsidRPr="004A0F16" w14:paraId="2C1D18D2" w14:textId="77777777" w:rsidTr="00334448">
        <w:trPr>
          <w:trHeight w:val="255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25B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1F9672" w14:textId="77777777" w:rsidR="002E76C7" w:rsidRPr="004A0F16" w:rsidRDefault="0017608D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t</w:t>
            </w:r>
            <w:r w:rsidR="002E76C7" w:rsidRPr="004A0F16">
              <w:rPr>
                <w:rFonts w:ascii="Arial" w:eastAsia="Times New Roman" w:hAnsi="Arial" w:cs="Arial"/>
                <w:lang w:val="en-US" w:eastAsia="pt-PT"/>
              </w:rPr>
              <w:t>he Netherlands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B50C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6D96E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0237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33</w:t>
            </w:r>
          </w:p>
        </w:tc>
      </w:tr>
      <w:tr w:rsidR="002E76C7" w:rsidRPr="004A0F16" w14:paraId="1301612B" w14:textId="77777777" w:rsidTr="00334448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  <w:noWrap/>
            <w:hideMark/>
          </w:tcPr>
          <w:p w14:paraId="734DF78B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2000 - 4999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11E85BC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Italy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FD490C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E843B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7A0AEA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13</w:t>
            </w:r>
          </w:p>
        </w:tc>
      </w:tr>
      <w:tr w:rsidR="002E76C7" w:rsidRPr="004A0F16" w14:paraId="15E57F64" w14:textId="77777777" w:rsidTr="00334448">
        <w:trPr>
          <w:trHeight w:val="255"/>
        </w:trPr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6F95DE7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943200" w14:textId="77777777" w:rsidR="002E76C7" w:rsidRPr="004A0F16" w:rsidRDefault="0017608D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t</w:t>
            </w:r>
            <w:r w:rsidR="002E76C7" w:rsidRPr="004A0F16">
              <w:rPr>
                <w:rFonts w:ascii="Arial" w:eastAsia="Times New Roman" w:hAnsi="Arial" w:cs="Arial"/>
                <w:lang w:val="en-US" w:eastAsia="pt-PT"/>
              </w:rPr>
              <w:t>he Netherlands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DDA1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22BD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77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A0F16">
              <w:rPr>
                <w:rFonts w:ascii="Arial" w:eastAsia="Times New Roman" w:hAnsi="Arial" w:cs="Arial"/>
                <w:lang w:val="en-US"/>
              </w:rPr>
              <w:t>67</w:t>
            </w:r>
          </w:p>
        </w:tc>
      </w:tr>
      <w:tr w:rsidR="002E76C7" w:rsidRPr="004A0F16" w14:paraId="26DCEC17" w14:textId="77777777" w:rsidTr="00334448">
        <w:trPr>
          <w:trHeight w:val="255"/>
        </w:trPr>
        <w:tc>
          <w:tcPr>
            <w:tcW w:w="3227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2054E40A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&gt; 5000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3BD1CC3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Germany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054978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E05856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A9A99E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</w:tr>
      <w:tr w:rsidR="002E76C7" w:rsidRPr="004A0F16" w14:paraId="58DF29E4" w14:textId="77777777" w:rsidTr="00334448">
        <w:trPr>
          <w:trHeight w:val="25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F218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A93DFE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Spain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BE063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C08C4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8EFAB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2E76C7" w:rsidRPr="004A0F16" w14:paraId="4A0B03DA" w14:textId="77777777" w:rsidTr="00334448">
        <w:trPr>
          <w:trHeight w:val="255"/>
        </w:trPr>
        <w:tc>
          <w:tcPr>
            <w:tcW w:w="3227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4570791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noWrap/>
            <w:hideMark/>
          </w:tcPr>
          <w:p w14:paraId="19CA0332" w14:textId="77777777" w:rsidR="002E76C7" w:rsidRPr="004A0F16" w:rsidRDefault="002E76C7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4D82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3</w:t>
            </w:r>
            <w:r w:rsidR="000472F3"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4D9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C9C" w14:textId="77777777" w:rsidR="002E76C7" w:rsidRPr="004A0F16" w:rsidRDefault="002E76C7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-</w:t>
            </w:r>
          </w:p>
        </w:tc>
      </w:tr>
    </w:tbl>
    <w:p w14:paraId="239FB177" w14:textId="77777777" w:rsidR="002E76C7" w:rsidRPr="004A0F16" w:rsidRDefault="002E76C7" w:rsidP="009B6934">
      <w:pPr>
        <w:rPr>
          <w:rFonts w:ascii="Arial" w:hAnsi="Arial" w:cs="Arial"/>
          <w:lang w:val="en-US"/>
        </w:rPr>
      </w:pPr>
    </w:p>
    <w:p w14:paraId="4067F1F4" w14:textId="77777777" w:rsidR="000839AC" w:rsidRPr="004A0F16" w:rsidRDefault="000839AC" w:rsidP="00924475">
      <w:pPr>
        <w:pStyle w:val="Caption"/>
        <w:keepNext/>
        <w:spacing w:after="120" w:line="276" w:lineRule="auto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bookmarkStart w:id="6" w:name="_Ref11762554"/>
      <w:bookmarkStart w:id="7" w:name="_Toc13070681"/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Table </w:t>
      </w:r>
      <w:bookmarkEnd w:id="6"/>
      <w:r w:rsidR="00CE43A1"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S2.</w:t>
      </w:r>
      <w:r w:rsidRPr="004A0F16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Current age of the majority of the diagnosed IRD cases.</w:t>
      </w:r>
      <w:bookmarkEnd w:id="7"/>
    </w:p>
    <w:tbl>
      <w:tblPr>
        <w:tblW w:w="9043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371"/>
        <w:gridCol w:w="851"/>
        <w:gridCol w:w="821"/>
      </w:tblGrid>
      <w:tr w:rsidR="000839AC" w:rsidRPr="004A0F16" w14:paraId="48188465" w14:textId="77777777" w:rsidTr="00924475">
        <w:trPr>
          <w:trHeight w:val="255"/>
        </w:trPr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  <w:hideMark/>
          </w:tcPr>
          <w:p w14:paraId="6EBA01AB" w14:textId="656B467E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70DEE9C4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No.</w:t>
            </w:r>
          </w:p>
        </w:tc>
        <w:tc>
          <w:tcPr>
            <w:tcW w:w="821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32BAECBB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%</w:t>
            </w:r>
          </w:p>
        </w:tc>
      </w:tr>
      <w:tr w:rsidR="000839AC" w:rsidRPr="004A0F16" w14:paraId="3AD48A17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6F9BF4F3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&lt; 3 years old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10FB73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F8B3748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0</w:t>
            </w:r>
          </w:p>
        </w:tc>
      </w:tr>
      <w:tr w:rsidR="000839AC" w:rsidRPr="004A0F16" w14:paraId="41F7FE02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6C27265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Pre-school (3 - 5 years old)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AB3E97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08D2603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2</w:t>
            </w:r>
          </w:p>
        </w:tc>
      </w:tr>
      <w:tr w:rsidR="000839AC" w:rsidRPr="004A0F16" w14:paraId="5D0899D7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61D8600D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School (6 - 17 years old)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9C969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7E09031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12</w:t>
            </w:r>
          </w:p>
        </w:tc>
      </w:tr>
      <w:tr w:rsidR="000839AC" w:rsidRPr="004A0F16" w14:paraId="43DEDDC6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2E02B87B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Young adult (18 – 30 years old)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C0553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015154D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4</w:t>
            </w:r>
            <w:r w:rsidR="00CE43A1" w:rsidRPr="004A0F16">
              <w:rPr>
                <w:rFonts w:ascii="Arial" w:eastAsia="Times New Roman" w:hAnsi="Arial" w:cs="Arial"/>
                <w:bCs/>
                <w:lang w:val="en-US" w:eastAsia="pt-PT"/>
              </w:rPr>
              <w:t>5</w:t>
            </w:r>
          </w:p>
        </w:tc>
      </w:tr>
      <w:tr w:rsidR="000839AC" w:rsidRPr="004A0F16" w14:paraId="2F0FE55E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7EED49D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Adult (&gt; 30 years old)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5F70CB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1</w:t>
            </w:r>
            <w:r w:rsidR="00CE43A1" w:rsidRPr="004A0F16">
              <w:rPr>
                <w:rFonts w:ascii="Arial" w:eastAsia="Times New Roman" w:hAnsi="Arial" w:cs="Arial"/>
                <w:bCs/>
                <w:lang w:val="en-US" w:eastAsia="pt-PT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876C27B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3</w:t>
            </w:r>
            <w:r w:rsidR="00CE43A1" w:rsidRPr="004A0F16">
              <w:rPr>
                <w:rFonts w:ascii="Arial" w:eastAsia="Times New Roman" w:hAnsi="Arial" w:cs="Arial"/>
                <w:bCs/>
                <w:lang w:val="en-US" w:eastAsia="pt-PT"/>
              </w:rPr>
              <w:t>3</w:t>
            </w:r>
          </w:p>
        </w:tc>
      </w:tr>
      <w:tr w:rsidR="000839AC" w:rsidRPr="004A0F16" w14:paraId="0A9961B0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FDF129B" w14:textId="77777777" w:rsidR="000839AC" w:rsidRPr="004A0F16" w:rsidRDefault="000839AC" w:rsidP="00924475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pt-PT"/>
              </w:rPr>
            </w:pPr>
            <w:proofErr w:type="gramStart"/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Don't</w:t>
            </w:r>
            <w:proofErr w:type="gramEnd"/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 xml:space="preserve"> know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D97469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053D182" w14:textId="77777777" w:rsidR="000839AC" w:rsidRPr="004A0F16" w:rsidRDefault="000839AC" w:rsidP="00924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lang w:val="en-US" w:eastAsia="pt-PT"/>
              </w:rPr>
              <w:t>7</w:t>
            </w:r>
          </w:p>
        </w:tc>
      </w:tr>
      <w:tr w:rsidR="000839AC" w:rsidRPr="004A0F16" w14:paraId="40CB1B4B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9456146" w14:textId="77777777" w:rsidR="000839AC" w:rsidRPr="004A0F16" w:rsidRDefault="000839AC" w:rsidP="00CE43A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Total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B18715" w14:textId="77777777" w:rsidR="000839AC" w:rsidRPr="004A0F16" w:rsidRDefault="000839AC" w:rsidP="00CE4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4</w:t>
            </w:r>
            <w:r w:rsidR="00CE43A1"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7698037F" w14:textId="77777777" w:rsidR="000839AC" w:rsidRPr="004A0F16" w:rsidRDefault="000839AC" w:rsidP="00CE4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100</w:t>
            </w:r>
          </w:p>
        </w:tc>
      </w:tr>
      <w:tr w:rsidR="000839AC" w:rsidRPr="004A0F16" w14:paraId="1B83C814" w14:textId="77777777" w:rsidTr="00CA6C8F">
        <w:trPr>
          <w:trHeight w:val="255"/>
        </w:trPr>
        <w:tc>
          <w:tcPr>
            <w:tcW w:w="737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4AE2E556" w14:textId="77777777" w:rsidR="000839AC" w:rsidRPr="004A0F16" w:rsidRDefault="000839AC" w:rsidP="00CE43A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 xml:space="preserve">Total of </w:t>
            </w:r>
            <w:r w:rsidR="00620248"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Center</w:t>
            </w: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s currently managing IRD patients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4ECF4" w14:textId="77777777" w:rsidR="000839AC" w:rsidRPr="004A0F16" w:rsidRDefault="000839AC" w:rsidP="00CE4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4</w:t>
            </w:r>
            <w:r w:rsidR="00CE43A1"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F834F3D" w14:textId="77777777" w:rsidR="000839AC" w:rsidRPr="004A0F16" w:rsidRDefault="000839AC" w:rsidP="00CE4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100</w:t>
            </w:r>
          </w:p>
        </w:tc>
      </w:tr>
    </w:tbl>
    <w:p w14:paraId="299F76EB" w14:textId="77777777" w:rsidR="000839AC" w:rsidRPr="004A0F16" w:rsidRDefault="000839AC" w:rsidP="000839AC">
      <w:pPr>
        <w:rPr>
          <w:rFonts w:ascii="Arial" w:hAnsi="Arial" w:cs="Arial"/>
          <w:lang w:val="en-US"/>
        </w:rPr>
      </w:pPr>
    </w:p>
    <w:p w14:paraId="65A1CC11" w14:textId="77777777" w:rsidR="002E76C7" w:rsidRPr="004A0F16" w:rsidRDefault="002E76C7" w:rsidP="00334448">
      <w:pPr>
        <w:rPr>
          <w:rFonts w:ascii="Arial" w:hAnsi="Arial" w:cs="Arial"/>
          <w:lang w:val="en-US"/>
        </w:rPr>
      </w:pPr>
    </w:p>
    <w:p w14:paraId="0B1E98F2" w14:textId="77777777" w:rsidR="00334448" w:rsidRPr="004A0F16" w:rsidRDefault="00334448" w:rsidP="00334448">
      <w:pPr>
        <w:rPr>
          <w:rFonts w:ascii="Arial" w:hAnsi="Arial" w:cs="Arial"/>
          <w:lang w:val="en-US"/>
        </w:rPr>
      </w:pPr>
    </w:p>
    <w:p w14:paraId="2FDE3D8D" w14:textId="77777777" w:rsidR="00334448" w:rsidRPr="004A0F16" w:rsidRDefault="00334448" w:rsidP="00334448">
      <w:pPr>
        <w:rPr>
          <w:rFonts w:ascii="Arial" w:hAnsi="Arial" w:cs="Arial"/>
          <w:lang w:val="en-US"/>
        </w:rPr>
      </w:pPr>
    </w:p>
    <w:p w14:paraId="7BEC288E" w14:textId="77777777" w:rsidR="00334448" w:rsidRPr="004A0F16" w:rsidRDefault="00334448" w:rsidP="00334448">
      <w:pPr>
        <w:rPr>
          <w:rFonts w:ascii="Arial" w:hAnsi="Arial" w:cs="Arial"/>
          <w:lang w:val="en-US"/>
        </w:rPr>
      </w:pPr>
    </w:p>
    <w:p w14:paraId="2DDCC3BA" w14:textId="77777777" w:rsidR="00334448" w:rsidRPr="004A0F16" w:rsidRDefault="00334448" w:rsidP="00334448">
      <w:pPr>
        <w:rPr>
          <w:rFonts w:ascii="Arial" w:hAnsi="Arial" w:cs="Arial"/>
          <w:lang w:val="en-US"/>
        </w:rPr>
      </w:pPr>
    </w:p>
    <w:p w14:paraId="094D7F08" w14:textId="77777777" w:rsidR="00334448" w:rsidRPr="004A0F16" w:rsidRDefault="00334448" w:rsidP="00924475">
      <w:pPr>
        <w:spacing w:after="200" w:line="276" w:lineRule="auto"/>
        <w:rPr>
          <w:rFonts w:ascii="Arial" w:hAnsi="Arial" w:cs="Arial"/>
          <w:lang w:val="en-US"/>
        </w:rPr>
      </w:pPr>
    </w:p>
    <w:p w14:paraId="7D0EFBD1" w14:textId="77777777" w:rsidR="00351986" w:rsidRPr="004A0F16" w:rsidRDefault="00351986" w:rsidP="00351986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  <w:r w:rsidRPr="004A0F16">
        <w:rPr>
          <w:rFonts w:ascii="Arial" w:hAnsi="Arial" w:cs="Arial"/>
          <w:bCs/>
          <w:lang w:val="en-US"/>
        </w:rPr>
        <w:lastRenderedPageBreak/>
        <w:t xml:space="preserve">Table </w:t>
      </w:r>
      <w:r>
        <w:rPr>
          <w:rFonts w:ascii="Arial" w:hAnsi="Arial" w:cs="Arial"/>
          <w:bCs/>
          <w:lang w:val="en-US"/>
        </w:rPr>
        <w:t>S3</w:t>
      </w:r>
      <w:r w:rsidRPr="004A0F16">
        <w:rPr>
          <w:rFonts w:ascii="Arial" w:hAnsi="Arial" w:cs="Arial"/>
          <w:bCs/>
          <w:lang w:val="en-US"/>
        </w:rPr>
        <w:t xml:space="preserve">. Visual field testing in patients with IRDs. </w:t>
      </w:r>
    </w:p>
    <w:p w14:paraId="42DF7DAE" w14:textId="77777777" w:rsidR="00351986" w:rsidRPr="004A0F16" w:rsidRDefault="00351986" w:rsidP="00351986">
      <w:pPr>
        <w:keepNext/>
        <w:spacing w:after="0" w:line="360" w:lineRule="auto"/>
        <w:rPr>
          <w:rFonts w:ascii="Arial" w:hAnsi="Arial" w:cs="Arial"/>
          <w:bCs/>
          <w:lang w:val="en-US"/>
        </w:rPr>
      </w:pPr>
      <w:r w:rsidRPr="004A0F16">
        <w:rPr>
          <w:rFonts w:ascii="Arial" w:hAnsi="Arial" w:cs="Arial"/>
          <w:bCs/>
          <w:lang w:val="en-US"/>
        </w:rPr>
        <w:t xml:space="preserve">Table </w:t>
      </w:r>
      <w:r>
        <w:rPr>
          <w:rFonts w:ascii="Arial" w:hAnsi="Arial" w:cs="Arial"/>
          <w:bCs/>
          <w:lang w:val="en-US"/>
        </w:rPr>
        <w:t>S3a</w:t>
      </w:r>
      <w:r w:rsidRPr="004A0F16">
        <w:rPr>
          <w:rFonts w:ascii="Arial" w:hAnsi="Arial" w:cs="Arial"/>
          <w:bCs/>
          <w:lang w:val="en-US"/>
        </w:rPr>
        <w:t>. Kinetic perimetry devices used in IRD patients.</w:t>
      </w:r>
    </w:p>
    <w:tbl>
      <w:tblPr>
        <w:tblW w:w="88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0"/>
        <w:gridCol w:w="960"/>
        <w:gridCol w:w="960"/>
      </w:tblGrid>
      <w:tr w:rsidR="00351986" w:rsidRPr="004A0F16" w14:paraId="44C69EDE" w14:textId="77777777" w:rsidTr="00713366">
        <w:trPr>
          <w:trHeight w:val="255"/>
        </w:trPr>
        <w:tc>
          <w:tcPr>
            <w:tcW w:w="6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  <w:hideMark/>
          </w:tcPr>
          <w:p w14:paraId="12E566B0" w14:textId="3DA50C0C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05A125B0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No.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122F89D0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%</w:t>
            </w:r>
          </w:p>
        </w:tc>
      </w:tr>
      <w:tr w:rsidR="00351986" w:rsidRPr="004A0F16" w14:paraId="5F663466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2C98E3B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Goldmann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(manual) (Haag-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Streit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AG,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Koeniz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, </w:t>
            </w:r>
            <w:proofErr w:type="gramStart"/>
            <w:r w:rsidRPr="004A0F16">
              <w:rPr>
                <w:rFonts w:ascii="Arial" w:eastAsia="Times New Roman" w:hAnsi="Arial" w:cs="Arial"/>
                <w:lang w:val="en-US" w:eastAsia="pt-PT"/>
              </w:rPr>
              <w:t>Switzerland)*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23045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2A1CE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84</w:t>
            </w:r>
          </w:p>
        </w:tc>
      </w:tr>
      <w:tr w:rsidR="00351986" w:rsidRPr="004A0F16" w14:paraId="75D06EA9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6EF521B7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Octopus (Haag-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Streit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AG,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Koeniz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>, Switzerland)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B6290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11C89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31</w:t>
            </w:r>
          </w:p>
        </w:tc>
      </w:tr>
      <w:tr w:rsidR="00351986" w:rsidRPr="004A0F16" w14:paraId="16DCA58E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83240C1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Other: Humphrey® Field Analyzer </w:t>
            </w:r>
            <w:r w:rsidRPr="004A0F16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(Carl Zeiss </w:t>
            </w:r>
            <w:proofErr w:type="spellStart"/>
            <w:r w:rsidRPr="004A0F16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>Meditec</w:t>
            </w:r>
            <w:proofErr w:type="spellEnd"/>
            <w:r w:rsidRPr="004A0F16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A0F16">
              <w:rPr>
                <w:rStyle w:val="CommentReference"/>
                <w:sz w:val="22"/>
                <w:szCs w:val="22"/>
                <w:lang w:val="en-US"/>
              </w:rPr>
              <w:t>AG</w:t>
            </w:r>
            <w:r w:rsidRPr="004A0F16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>, Jena, Germany)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B1398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B5BC6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6</w:t>
            </w:r>
          </w:p>
        </w:tc>
      </w:tr>
      <w:tr w:rsidR="00351986" w:rsidRPr="004A0F16" w14:paraId="4A21792F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29C7FE45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Other: OCULUS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Twinfield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® 2 (Oculus Inc.,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Wetzlar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>, Germany)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72740E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B38DE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3</w:t>
            </w:r>
          </w:p>
        </w:tc>
      </w:tr>
      <w:tr w:rsidR="00351986" w:rsidRPr="004A0F16" w14:paraId="5110AA89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132E66E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EC216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87B57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125**</w:t>
            </w:r>
          </w:p>
        </w:tc>
      </w:tr>
      <w:tr w:rsidR="00351986" w:rsidRPr="004A0F16" w14:paraId="45AC5D00" w14:textId="77777777" w:rsidTr="00713366">
        <w:trPr>
          <w:trHeight w:val="255"/>
        </w:trPr>
        <w:tc>
          <w:tcPr>
            <w:tcW w:w="6900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76B178D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 of Centers using kinetic perimetry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31E2B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915F7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</w:tbl>
    <w:p w14:paraId="0078B2A7" w14:textId="77777777" w:rsidR="00351986" w:rsidRPr="004A0F16" w:rsidRDefault="00351986" w:rsidP="00351986">
      <w:pPr>
        <w:spacing w:after="0" w:line="240" w:lineRule="auto"/>
        <w:rPr>
          <w:rFonts w:ascii="Arial" w:eastAsia="MS Mincho" w:hAnsi="Arial" w:cs="Arial"/>
          <w:lang w:val="en-US"/>
        </w:rPr>
      </w:pPr>
      <w:r w:rsidRPr="004A0F16">
        <w:rPr>
          <w:rFonts w:ascii="Arial" w:eastAsia="MS Mincho" w:hAnsi="Arial" w:cs="Arial"/>
          <w:lang w:val="en-US"/>
        </w:rPr>
        <w:t>*The device is no longer supported technically. Yet, consumables are still available. **Multiple choices allowed.</w:t>
      </w:r>
    </w:p>
    <w:p w14:paraId="316A687E" w14:textId="77777777" w:rsidR="00351986" w:rsidRPr="004A0F16" w:rsidRDefault="00351986" w:rsidP="00351986">
      <w:pPr>
        <w:spacing w:after="120"/>
        <w:rPr>
          <w:rFonts w:ascii="Arial" w:eastAsia="MS Mincho" w:hAnsi="Arial" w:cs="Arial"/>
          <w:lang w:val="en-US"/>
        </w:rPr>
      </w:pPr>
    </w:p>
    <w:p w14:paraId="5A37699D" w14:textId="77777777" w:rsidR="00351986" w:rsidRPr="004A0F16" w:rsidRDefault="00351986" w:rsidP="00351986">
      <w:pPr>
        <w:keepNext/>
        <w:spacing w:after="0" w:line="360" w:lineRule="auto"/>
        <w:rPr>
          <w:rFonts w:ascii="Arial" w:eastAsia="MS Mincho" w:hAnsi="Arial" w:cs="Arial"/>
          <w:lang w:val="en-US"/>
        </w:rPr>
      </w:pPr>
      <w:bookmarkStart w:id="8" w:name="_Ref12528574"/>
      <w:bookmarkStart w:id="9" w:name="_Toc15469462"/>
      <w:r w:rsidRPr="004A0F16">
        <w:rPr>
          <w:rFonts w:ascii="Arial" w:eastAsia="MS Mincho" w:hAnsi="Arial" w:cs="Arial"/>
          <w:lang w:val="en-US"/>
        </w:rPr>
        <w:t xml:space="preserve">Table </w:t>
      </w:r>
      <w:bookmarkEnd w:id="8"/>
      <w:r>
        <w:rPr>
          <w:rFonts w:ascii="Arial" w:hAnsi="Arial" w:cs="Arial"/>
          <w:bCs/>
          <w:lang w:val="en-US"/>
        </w:rPr>
        <w:t>S3b</w:t>
      </w:r>
      <w:r w:rsidRPr="004A0F16">
        <w:rPr>
          <w:rFonts w:ascii="Arial" w:eastAsia="MS Mincho" w:hAnsi="Arial" w:cs="Arial"/>
          <w:lang w:val="en-US"/>
        </w:rPr>
        <w:t>. Static perimetry device</w:t>
      </w:r>
      <w:r w:rsidR="00C5269F">
        <w:rPr>
          <w:rFonts w:ascii="Arial" w:eastAsia="MS Mincho" w:hAnsi="Arial" w:cs="Arial"/>
          <w:lang w:val="en-US"/>
        </w:rPr>
        <w:t>s</w:t>
      </w:r>
      <w:r w:rsidRPr="004A0F16">
        <w:rPr>
          <w:rFonts w:ascii="Arial" w:eastAsia="MS Mincho" w:hAnsi="Arial" w:cs="Arial"/>
          <w:lang w:val="en-US"/>
        </w:rPr>
        <w:t xml:space="preserve"> used in IRD patients.</w:t>
      </w:r>
      <w:bookmarkEnd w:id="9"/>
    </w:p>
    <w:tbl>
      <w:tblPr>
        <w:tblW w:w="883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2"/>
        <w:gridCol w:w="960"/>
        <w:gridCol w:w="960"/>
      </w:tblGrid>
      <w:tr w:rsidR="00351986" w:rsidRPr="004A0F16" w14:paraId="0D1C4BFB" w14:textId="77777777" w:rsidTr="00713366">
        <w:trPr>
          <w:trHeight w:val="255"/>
        </w:trPr>
        <w:tc>
          <w:tcPr>
            <w:tcW w:w="69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  <w:hideMark/>
          </w:tcPr>
          <w:p w14:paraId="1ADB8816" w14:textId="3A73E3E4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73008044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No.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7545AD75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%</w:t>
            </w:r>
          </w:p>
        </w:tc>
      </w:tr>
      <w:tr w:rsidR="00351986" w:rsidRPr="004A0F16" w14:paraId="4A083DA9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19B9402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Humphrey® (Carl Zeiss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Meditec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AG, </w:t>
            </w:r>
            <w:r w:rsidRPr="004A0F16">
              <w:rPr>
                <w:rStyle w:val="CommentReference"/>
                <w:rFonts w:ascii="Arial" w:hAnsi="Arial" w:cs="Arial"/>
                <w:sz w:val="22"/>
                <w:szCs w:val="22"/>
                <w:lang w:val="en-US"/>
              </w:rPr>
              <w:t>Jena, Germany)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89D091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31B38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89</w:t>
            </w:r>
          </w:p>
        </w:tc>
      </w:tr>
      <w:tr w:rsidR="00351986" w:rsidRPr="004A0F16" w14:paraId="3AADEB37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9326239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Octopus (Haag-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Streit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AG,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Koeniz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>, Switzerland)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EF8C6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ABC7D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28</w:t>
            </w:r>
          </w:p>
        </w:tc>
      </w:tr>
      <w:tr w:rsidR="00351986" w:rsidRPr="004A0F16" w14:paraId="3779D806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3D2574B9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Twinfield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® (Oculus Inc., </w:t>
            </w:r>
            <w:proofErr w:type="spellStart"/>
            <w:r w:rsidRPr="004A0F16">
              <w:rPr>
                <w:rFonts w:ascii="Arial" w:eastAsia="Times New Roman" w:hAnsi="Arial" w:cs="Arial"/>
                <w:lang w:val="en-US" w:eastAsia="pt-PT"/>
              </w:rPr>
              <w:t>Wetzlar</w:t>
            </w:r>
            <w:proofErr w:type="spellEnd"/>
            <w:r w:rsidRPr="004A0F16">
              <w:rPr>
                <w:rFonts w:ascii="Arial" w:eastAsia="Times New Roman" w:hAnsi="Arial" w:cs="Arial"/>
                <w:lang w:val="en-US" w:eastAsia="pt-PT"/>
              </w:rPr>
              <w:t>, Germany)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FBAB95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24CD2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11</w:t>
            </w:r>
          </w:p>
        </w:tc>
      </w:tr>
      <w:tr w:rsidR="00351986" w:rsidRPr="004A0F16" w14:paraId="42F6D0C9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8613FCF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Other: Compass </w:t>
            </w:r>
            <w:r w:rsidRPr="004A0F1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A0F16">
              <w:rPr>
                <w:rFonts w:ascii="Arial" w:hAnsi="Arial" w:cs="Arial"/>
                <w:lang w:val="en-US"/>
              </w:rPr>
              <w:t>CenterVue</w:t>
            </w:r>
            <w:proofErr w:type="spellEnd"/>
            <w:r w:rsidRPr="004A0F16">
              <w:rPr>
                <w:rFonts w:ascii="Arial" w:hAnsi="Arial" w:cs="Arial"/>
                <w:lang w:val="en-US"/>
              </w:rPr>
              <w:t xml:space="preserve"> Inc., Fremont, CA, USA)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D9DC0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B3E6E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3</w:t>
            </w:r>
          </w:p>
        </w:tc>
      </w:tr>
      <w:tr w:rsidR="00351986" w:rsidRPr="004A0F16" w14:paraId="681190D1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1B48C29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71ABE7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DCA0CC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131</w:t>
            </w:r>
            <w:r w:rsidRPr="004A0F16">
              <w:rPr>
                <w:rFonts w:ascii="Arial" w:eastAsia="Times New Roman" w:hAnsi="Arial" w:cs="Arial"/>
                <w:bCs/>
                <w:i/>
                <w:vertAlign w:val="superscript"/>
                <w:lang w:val="en-US" w:eastAsia="pt-PT"/>
              </w:rPr>
              <w:t>*</w:t>
            </w:r>
          </w:p>
        </w:tc>
      </w:tr>
      <w:tr w:rsidR="00351986" w:rsidRPr="004A0F16" w14:paraId="14AD0412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4ED928C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 of Centers using static perimetry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1BB890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842C87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</w:tbl>
    <w:p w14:paraId="4C81F5E3" w14:textId="77777777" w:rsidR="00351986" w:rsidRPr="004A0F16" w:rsidRDefault="00351986" w:rsidP="00351986">
      <w:pPr>
        <w:spacing w:after="0" w:line="240" w:lineRule="auto"/>
        <w:rPr>
          <w:rFonts w:ascii="Arial" w:eastAsia="MS Mincho" w:hAnsi="Arial" w:cs="Arial"/>
          <w:lang w:val="en-US"/>
        </w:rPr>
      </w:pPr>
      <w:r w:rsidRPr="004A0F16">
        <w:rPr>
          <w:rFonts w:ascii="Arial" w:eastAsia="MS Mincho" w:hAnsi="Arial" w:cs="Arial"/>
          <w:lang w:val="en-US"/>
        </w:rPr>
        <w:t xml:space="preserve">  *Multiple choices allowed.</w:t>
      </w:r>
    </w:p>
    <w:p w14:paraId="410B8D57" w14:textId="77777777" w:rsidR="00351986" w:rsidRPr="004A0F16" w:rsidRDefault="00351986" w:rsidP="00351986">
      <w:pPr>
        <w:spacing w:after="120"/>
        <w:rPr>
          <w:rFonts w:ascii="Arial" w:eastAsia="MS Mincho" w:hAnsi="Arial" w:cs="Arial"/>
          <w:lang w:val="en-US"/>
        </w:rPr>
      </w:pPr>
    </w:p>
    <w:p w14:paraId="733A291B" w14:textId="77777777" w:rsidR="00351986" w:rsidRPr="004A0F16" w:rsidRDefault="00351986" w:rsidP="00351986">
      <w:pPr>
        <w:keepNext/>
        <w:spacing w:after="0" w:line="360" w:lineRule="auto"/>
        <w:rPr>
          <w:rFonts w:ascii="Arial" w:eastAsia="MS Mincho" w:hAnsi="Arial" w:cs="Arial"/>
          <w:lang w:val="en-US"/>
        </w:rPr>
      </w:pPr>
      <w:bookmarkStart w:id="10" w:name="_Ref12528547"/>
      <w:bookmarkStart w:id="11" w:name="_Toc15469464"/>
      <w:r w:rsidRPr="004A0F16">
        <w:rPr>
          <w:rFonts w:ascii="Arial" w:eastAsia="MS Mincho" w:hAnsi="Arial" w:cs="Arial"/>
          <w:lang w:val="en-US"/>
        </w:rPr>
        <w:t xml:space="preserve">Table </w:t>
      </w:r>
      <w:bookmarkEnd w:id="10"/>
      <w:r>
        <w:rPr>
          <w:rFonts w:ascii="Arial" w:hAnsi="Arial" w:cs="Arial"/>
          <w:bCs/>
          <w:lang w:val="en-US"/>
        </w:rPr>
        <w:t>S3c</w:t>
      </w:r>
      <w:r w:rsidRPr="004A0F16">
        <w:rPr>
          <w:rFonts w:ascii="Arial" w:eastAsia="MS Mincho" w:hAnsi="Arial" w:cs="Arial"/>
          <w:lang w:val="en-US"/>
        </w:rPr>
        <w:t>. Fundus-controlled perimetry device</w:t>
      </w:r>
      <w:r w:rsidR="00604753">
        <w:rPr>
          <w:rFonts w:ascii="Arial" w:eastAsia="MS Mincho" w:hAnsi="Arial" w:cs="Arial"/>
          <w:lang w:val="en-US"/>
        </w:rPr>
        <w:t>s</w:t>
      </w:r>
      <w:r w:rsidRPr="004A0F16">
        <w:rPr>
          <w:rFonts w:ascii="Arial" w:eastAsia="MS Mincho" w:hAnsi="Arial" w:cs="Arial"/>
          <w:lang w:val="en-US"/>
        </w:rPr>
        <w:t xml:space="preserve"> used in IRD patients.</w:t>
      </w:r>
      <w:bookmarkEnd w:id="11"/>
    </w:p>
    <w:tbl>
      <w:tblPr>
        <w:tblW w:w="883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2"/>
        <w:gridCol w:w="960"/>
        <w:gridCol w:w="960"/>
      </w:tblGrid>
      <w:tr w:rsidR="00351986" w:rsidRPr="004A0F16" w14:paraId="59EBFD2B" w14:textId="77777777" w:rsidTr="004F39D5">
        <w:trPr>
          <w:trHeight w:val="255"/>
        </w:trPr>
        <w:tc>
          <w:tcPr>
            <w:tcW w:w="69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</w:tcPr>
          <w:p w14:paraId="1947DD3C" w14:textId="0A6DA7E0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74FEF3F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No.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D0CECE"/>
            <w:noWrap/>
            <w:hideMark/>
          </w:tcPr>
          <w:p w14:paraId="73E2ABF6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%</w:t>
            </w:r>
          </w:p>
        </w:tc>
      </w:tr>
      <w:tr w:rsidR="00351986" w:rsidRPr="004A0F16" w14:paraId="402F4B0C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4D5C3DC0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MP1 (NIDEK Co., LTD, Aichi, Japan)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9D480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A25F8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22</w:t>
            </w:r>
          </w:p>
        </w:tc>
      </w:tr>
      <w:tr w:rsidR="00351986" w:rsidRPr="004A0F16" w14:paraId="61BC83DA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15EEECA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MP3 (NIDEK Co., LTD, Aichi, Japan)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BADA6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1934C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33</w:t>
            </w:r>
          </w:p>
        </w:tc>
      </w:tr>
      <w:tr w:rsidR="00351986" w:rsidRPr="004A0F16" w14:paraId="1E12E013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181B39B5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Compass </w:t>
            </w:r>
            <w:r w:rsidRPr="004A0F1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A0F16">
              <w:rPr>
                <w:rFonts w:ascii="Arial" w:hAnsi="Arial" w:cs="Arial"/>
                <w:lang w:val="en-US"/>
              </w:rPr>
              <w:t>CenterVue</w:t>
            </w:r>
            <w:proofErr w:type="spellEnd"/>
            <w:r w:rsidRPr="004A0F16">
              <w:rPr>
                <w:rFonts w:ascii="Arial" w:hAnsi="Arial" w:cs="Arial"/>
                <w:lang w:val="en-US"/>
              </w:rPr>
              <w:t xml:space="preserve"> Inc., Fremont, CA, USA)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81A3B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301A4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11</w:t>
            </w:r>
          </w:p>
        </w:tc>
      </w:tr>
      <w:tr w:rsidR="00351986" w:rsidRPr="004A0F16" w14:paraId="438FBEC5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552AF72B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Other: MAIA </w:t>
            </w:r>
            <w:r w:rsidRPr="004A0F1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A0F16">
              <w:rPr>
                <w:rFonts w:ascii="Arial" w:hAnsi="Arial" w:cs="Arial"/>
                <w:lang w:val="en-US"/>
              </w:rPr>
              <w:t>CenterVue</w:t>
            </w:r>
            <w:proofErr w:type="spellEnd"/>
            <w:r w:rsidRPr="004A0F16">
              <w:rPr>
                <w:rFonts w:ascii="Arial" w:hAnsi="Arial" w:cs="Arial"/>
                <w:lang w:val="en-US"/>
              </w:rPr>
              <w:t xml:space="preserve"> Inc., Fremont, CA, USA)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590449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6524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MS Mincho" w:hAnsi="Arial" w:cs="Arial"/>
                <w:lang w:val="en-US"/>
              </w:rPr>
            </w:pPr>
            <w:r w:rsidRPr="004A0F16">
              <w:rPr>
                <w:rFonts w:ascii="Arial" w:eastAsia="MS Mincho" w:hAnsi="Arial" w:cs="Arial"/>
                <w:lang w:val="en-US"/>
              </w:rPr>
              <w:t>44</w:t>
            </w:r>
          </w:p>
        </w:tc>
      </w:tr>
      <w:tr w:rsidR="00351986" w:rsidRPr="004A0F16" w14:paraId="0E5C7C88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7C9655E4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6A133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70543D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111</w:t>
            </w:r>
            <w:r w:rsidRPr="004A0F16">
              <w:rPr>
                <w:rFonts w:ascii="Arial" w:eastAsia="Times New Roman" w:hAnsi="Arial" w:cs="Arial"/>
                <w:bCs/>
                <w:i/>
                <w:vertAlign w:val="superscript"/>
                <w:lang w:val="en-US" w:eastAsia="pt-PT"/>
              </w:rPr>
              <w:t>*</w:t>
            </w:r>
          </w:p>
        </w:tc>
      </w:tr>
      <w:tr w:rsidR="00351986" w:rsidRPr="004A0F16" w14:paraId="6E4B06D5" w14:textId="77777777" w:rsidTr="00713366">
        <w:trPr>
          <w:trHeight w:val="255"/>
        </w:trPr>
        <w:tc>
          <w:tcPr>
            <w:tcW w:w="6912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14:paraId="0D22351E" w14:textId="77777777" w:rsidR="00351986" w:rsidRPr="004A0F16" w:rsidRDefault="00351986" w:rsidP="007133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 of Centers using fundus-controlled perimetry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5C6CDA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C8E6CD" w14:textId="77777777" w:rsidR="00351986" w:rsidRPr="004A0F16" w:rsidRDefault="00351986" w:rsidP="007133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</w:tbl>
    <w:p w14:paraId="4F521AB4" w14:textId="77777777" w:rsidR="00351986" w:rsidRPr="004A0F16" w:rsidRDefault="00351986" w:rsidP="00351986">
      <w:pPr>
        <w:shd w:val="clear" w:color="auto" w:fill="FCFCFC"/>
        <w:spacing w:after="120" w:line="360" w:lineRule="auto"/>
        <w:rPr>
          <w:rFonts w:ascii="Arial" w:eastAsia="MS Mincho" w:hAnsi="Arial" w:cs="Arial"/>
          <w:lang w:val="en-US"/>
        </w:rPr>
      </w:pPr>
      <w:r w:rsidRPr="004A0F16">
        <w:rPr>
          <w:rFonts w:ascii="Arial" w:eastAsia="MS Mincho" w:hAnsi="Arial" w:cs="Arial"/>
          <w:lang w:val="en-US"/>
        </w:rPr>
        <w:t xml:space="preserve">  *Multiple choices allowed.</w:t>
      </w:r>
    </w:p>
    <w:p w14:paraId="1BD75903" w14:textId="46852263" w:rsidR="00351986" w:rsidRDefault="00351986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7C84FAD1" w14:textId="14970F60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02359BA3" w14:textId="5DA073CF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6F87C3DC" w14:textId="1979AD36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6BF6ABBC" w14:textId="77777777" w:rsidR="004F39D5" w:rsidRDefault="004F39D5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154C6596" w14:textId="2EE1D6CD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28FA4FDD" w14:textId="25D69F83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35B23058" w14:textId="0FF56BF3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553B03CC" w14:textId="540D7DA1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24995F22" w14:textId="77777777" w:rsidR="00010C32" w:rsidRDefault="00010C32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2F7E97F7" w14:textId="77777777" w:rsidR="00351986" w:rsidRDefault="00351986" w:rsidP="00896A17">
      <w:pPr>
        <w:shd w:val="clear" w:color="auto" w:fill="FCFCFC"/>
        <w:spacing w:after="0" w:line="360" w:lineRule="auto"/>
        <w:rPr>
          <w:rFonts w:ascii="Arial" w:hAnsi="Arial" w:cs="Arial"/>
          <w:bCs/>
          <w:lang w:val="en-US"/>
        </w:rPr>
      </w:pPr>
    </w:p>
    <w:p w14:paraId="2698AA56" w14:textId="77777777" w:rsidR="00896A17" w:rsidRPr="004A0F16" w:rsidRDefault="00896A17" w:rsidP="00896A17">
      <w:pPr>
        <w:shd w:val="clear" w:color="auto" w:fill="FCFCFC"/>
        <w:spacing w:after="0" w:line="360" w:lineRule="auto"/>
        <w:rPr>
          <w:rFonts w:ascii="Arial" w:hAnsi="Arial" w:cs="Arial"/>
          <w:lang w:val="en-US"/>
        </w:rPr>
      </w:pPr>
      <w:r w:rsidRPr="004A0F16">
        <w:rPr>
          <w:rFonts w:ascii="Arial" w:hAnsi="Arial" w:cs="Arial"/>
          <w:bCs/>
          <w:lang w:val="en-US"/>
        </w:rPr>
        <w:lastRenderedPageBreak/>
        <w:t xml:space="preserve">Table </w:t>
      </w:r>
      <w:r w:rsidR="00334448" w:rsidRPr="00B07AC5">
        <w:rPr>
          <w:rFonts w:ascii="Arial" w:hAnsi="Arial" w:cs="Arial"/>
          <w:bCs/>
          <w:lang w:val="en-US"/>
        </w:rPr>
        <w:t>S</w:t>
      </w:r>
      <w:r w:rsidR="00B07AC5" w:rsidRPr="00B07AC5">
        <w:rPr>
          <w:rFonts w:ascii="Arial" w:hAnsi="Arial" w:cs="Arial"/>
          <w:bCs/>
          <w:lang w:val="en-US"/>
        </w:rPr>
        <w:t>4</w:t>
      </w:r>
      <w:r w:rsidRPr="004A0F16">
        <w:rPr>
          <w:rFonts w:ascii="Arial" w:hAnsi="Arial" w:cs="Arial"/>
          <w:bCs/>
          <w:lang w:val="en-US"/>
        </w:rPr>
        <w:t>.</w:t>
      </w:r>
      <w:r w:rsidRPr="004A0F16">
        <w:rPr>
          <w:rFonts w:ascii="Arial" w:hAnsi="Arial" w:cs="Arial"/>
          <w:lang w:val="en-US"/>
        </w:rPr>
        <w:t xml:space="preserve"> Number of genes in each IRD-specific gene panel.</w:t>
      </w:r>
    </w:p>
    <w:tbl>
      <w:tblPr>
        <w:tblW w:w="907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1"/>
        <w:gridCol w:w="5954"/>
        <w:gridCol w:w="709"/>
        <w:gridCol w:w="708"/>
      </w:tblGrid>
      <w:tr w:rsidR="00896A17" w:rsidRPr="004A0F16" w14:paraId="3525E3C9" w14:textId="77777777" w:rsidTr="00473EC0">
        <w:trPr>
          <w:trHeight w:val="255"/>
          <w:tblHeader/>
        </w:trPr>
        <w:tc>
          <w:tcPr>
            <w:tcW w:w="76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noWrap/>
            <w:hideMark/>
          </w:tcPr>
          <w:p w14:paraId="49CB6348" w14:textId="2BCE03EF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1AACAA4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No.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D0CECE"/>
            <w:noWrap/>
            <w:vAlign w:val="center"/>
            <w:hideMark/>
          </w:tcPr>
          <w:p w14:paraId="6D0D5FE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iCs/>
                <w:lang w:val="en-US" w:eastAsia="pt-PT"/>
              </w:rPr>
              <w:t>%</w:t>
            </w:r>
          </w:p>
        </w:tc>
      </w:tr>
      <w:tr w:rsidR="00896A17" w:rsidRPr="004A0F16" w14:paraId="7B8C3901" w14:textId="77777777" w:rsidTr="00473EC0">
        <w:trPr>
          <w:trHeight w:val="255"/>
        </w:trPr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14:paraId="09A0640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General panel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9F10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71E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DCAD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31B11FC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D73C87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E1C5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49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78E9E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23EF225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31DC4C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1EC5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EE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A893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671724A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2805BDF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4D24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7D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7BCA9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60B68577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DE6A7F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65B2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292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CBC7A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50AF42EC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52B0A8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0F21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DB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4286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504373F5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EA73E7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40FD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362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5A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A0AE1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33944CD0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6C46268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018E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2874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500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B3DF8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53E84739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B5395B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3524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4800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AC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4BFAF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7F85B1C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1013FF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F633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All genes described in literature for monogenic causes of blindness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D3D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525B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4045E85A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703062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ECED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Regularly updated to published genes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5E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52CB1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1AA982C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4EFAAF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EE9F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proofErr w:type="gramStart"/>
            <w:r w:rsidRPr="004A0F16">
              <w:rPr>
                <w:rFonts w:ascii="Arial" w:eastAsia="Times New Roman" w:hAnsi="Arial" w:cs="Arial"/>
                <w:lang w:val="en-US" w:eastAsia="pt-PT"/>
              </w:rPr>
              <w:t>Don't</w:t>
            </w:r>
            <w:proofErr w:type="gram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know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54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1D5DE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6C0A8F5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40BB86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D4D2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Not specified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00C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AB633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26</w:t>
            </w:r>
          </w:p>
        </w:tc>
      </w:tr>
      <w:tr w:rsidR="00896A17" w:rsidRPr="004A0F16" w14:paraId="037BD16A" w14:textId="77777777" w:rsidTr="00473EC0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A921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D13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98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47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  <w:tr w:rsidR="00896A17" w:rsidRPr="004A0F16" w14:paraId="31FA9E33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D7FB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LCA panel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854E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9E3D8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ABE19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40A02EB2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14:paraId="7693C86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C8C1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78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C625A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7445662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C2C3C2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B932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9B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24A11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76F0C97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256D65E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B002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23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38967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63F8D64A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E6EC01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BF99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BE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22754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330C0202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C41BE0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3267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2D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41169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790ED7E1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EB5E33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987D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All genes described in literature for monogenic causes of blindness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65F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20BD6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5247DC9C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97CCD3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AC32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Regularly updated to published genes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894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AB3CC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0E879E06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29E7349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9A8F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proofErr w:type="gramStart"/>
            <w:r w:rsidRPr="004A0F16">
              <w:rPr>
                <w:rFonts w:ascii="Arial" w:eastAsia="Times New Roman" w:hAnsi="Arial" w:cs="Arial"/>
                <w:lang w:val="en-US" w:eastAsia="pt-PT"/>
              </w:rPr>
              <w:t>Don't</w:t>
            </w:r>
            <w:proofErr w:type="gram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know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42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B3A4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6D251417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3C5F2B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C581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Not specified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C0B1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AC46C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37</w:t>
            </w:r>
          </w:p>
        </w:tc>
      </w:tr>
      <w:tr w:rsidR="00896A17" w:rsidRPr="004A0F16" w14:paraId="4E9A25F0" w14:textId="77777777" w:rsidTr="00473EC0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0ACA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EEC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C7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938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  <w:tr w:rsidR="00896A17" w:rsidRPr="004A0F16" w14:paraId="48C8D78B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AE531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RP panel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73AB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54DE7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E66BF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36B7D690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14:paraId="5C01D02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B4E2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37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3DCB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7F42A5D5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5AF29F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A499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3A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77A7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5C313235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3AE0E4D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743A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EB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5D2B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513E8681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6600DE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1E09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E8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FB783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</w:tr>
      <w:tr w:rsidR="00896A17" w:rsidRPr="004A0F16" w14:paraId="7C1EE5A9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6BADE2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8549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62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461EF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1B01248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485D6F0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8D89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D5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F8A1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01ECC844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5E3A4F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C619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B41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A67C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2FC92AE4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3CB934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EA61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All genes described in literature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59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9241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</w:tr>
      <w:tr w:rsidR="00896A17" w:rsidRPr="004A0F16" w14:paraId="5D60DD81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37F45B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1817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Regularly updated to published genes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78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F0224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5CED8A99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81E8FA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ADCA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Varies depending on clinical appearance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A3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0A731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</w:tr>
      <w:tr w:rsidR="00896A17" w:rsidRPr="004A0F16" w14:paraId="69A1FFDA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FEB029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F7A7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Not specified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9E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D6ED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35</w:t>
            </w:r>
          </w:p>
        </w:tc>
      </w:tr>
      <w:tr w:rsidR="00896A17" w:rsidRPr="004A0F16" w14:paraId="738ACE38" w14:textId="77777777" w:rsidTr="00473EC0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12E8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C7B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D6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D6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i/>
                <w:lang w:val="en-US" w:eastAsia="pt-PT"/>
              </w:rPr>
              <w:t>100</w:t>
            </w:r>
          </w:p>
        </w:tc>
      </w:tr>
      <w:tr w:rsidR="00896A17" w:rsidRPr="004A0F16" w14:paraId="78A899BD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163E1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CRD panel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7F89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E9116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4D4DA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2F69FAF1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14:paraId="771EEFF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84D1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E8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8E8AA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353DA017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FCCCAF7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3304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301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31DED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6403D07C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833539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BB64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BDF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24A61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0539194F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1621DF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50678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CB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079DA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017161DC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A8C959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639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E5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3C255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3AA635D4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75C3F3E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20EC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All genes described in literature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1A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4560F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28E55442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56BEC2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F280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Regularly updated to published genes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4D3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011091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284C08BA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0DE29B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22A3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Varies depending on clinical appearance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62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35F6D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4063366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07F780E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882F2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Not specified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8C4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4872A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33</w:t>
            </w:r>
          </w:p>
        </w:tc>
      </w:tr>
      <w:tr w:rsidR="00896A17" w:rsidRPr="004A0F16" w14:paraId="3F4D5C6E" w14:textId="77777777" w:rsidTr="00473EC0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BD18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2C3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9C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9F0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  <w:tr w:rsidR="00896A17" w:rsidRPr="004A0F16" w14:paraId="33C6C140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FC5B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lastRenderedPageBreak/>
              <w:t>Optic atrophy panel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0206B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D8922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6B772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40ECA063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14:paraId="6AF082E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B8D4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64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F2BB6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715007FE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50D1C37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398D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BA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39892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44EEA206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264F7F28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DD9F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6DD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58923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40DCA97D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1CA89B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0DFA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FA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98D97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5E5C512E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C5EFDC5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A54D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A0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4FB841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0E3EBD46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6A33B1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D972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All genes described in literature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6F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F175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5936C135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17EFCC1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682BF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Regularly updated to published genes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027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7817D2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6</w:t>
            </w:r>
          </w:p>
        </w:tc>
      </w:tr>
      <w:tr w:rsidR="00896A17" w:rsidRPr="004A0F16" w14:paraId="749A9A7B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249EFA0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9B37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proofErr w:type="gramStart"/>
            <w:r w:rsidRPr="004A0F16">
              <w:rPr>
                <w:rFonts w:ascii="Arial" w:eastAsia="Times New Roman" w:hAnsi="Arial" w:cs="Arial"/>
                <w:lang w:val="en-US" w:eastAsia="pt-PT"/>
              </w:rPr>
              <w:t>Don't</w:t>
            </w:r>
            <w:proofErr w:type="gramEnd"/>
            <w:r w:rsidRPr="004A0F16">
              <w:rPr>
                <w:rFonts w:ascii="Arial" w:eastAsia="Times New Roman" w:hAnsi="Arial" w:cs="Arial"/>
                <w:lang w:val="en-US" w:eastAsia="pt-PT"/>
              </w:rPr>
              <w:t xml:space="preserve"> know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5B9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1648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11</w:t>
            </w:r>
          </w:p>
        </w:tc>
      </w:tr>
      <w:tr w:rsidR="00896A17" w:rsidRPr="004A0F16" w14:paraId="19620A4C" w14:textId="77777777" w:rsidTr="00473EC0">
        <w:trPr>
          <w:trHeight w:val="25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  <w:hideMark/>
          </w:tcPr>
          <w:p w14:paraId="6A256228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393F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Not specified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E3F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3CB7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28</w:t>
            </w:r>
          </w:p>
        </w:tc>
      </w:tr>
      <w:tr w:rsidR="00896A17" w:rsidRPr="004A0F16" w14:paraId="747EFF98" w14:textId="77777777" w:rsidTr="00473EC0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1CC91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10A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8B8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DC1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  <w:tr w:rsidR="00896A17" w:rsidRPr="004A0F16" w14:paraId="45911081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06A0C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Other: Blindness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123B4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260-270 genes covering all known IRD genes (LCA, RP, CRD)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1385F5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06F27B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100</w:t>
            </w:r>
          </w:p>
        </w:tc>
      </w:tr>
      <w:tr w:rsidR="00896A17" w:rsidRPr="004A0F16" w14:paraId="5D9B7B89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30B10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5BB9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AC2A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69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  <w:tr w:rsidR="00896A17" w:rsidRPr="004A0F16" w14:paraId="7CA93CE0" w14:textId="77777777" w:rsidTr="00473EC0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DF1136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Other: Macular dystrophy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4014E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D3127C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78F059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lang w:val="en-US" w:eastAsia="pt-PT"/>
              </w:rPr>
              <w:t>100</w:t>
            </w:r>
          </w:p>
        </w:tc>
      </w:tr>
      <w:tr w:rsidR="00896A17" w:rsidRPr="004A0F16" w14:paraId="01DF44C1" w14:textId="77777777" w:rsidTr="00473EC0">
        <w:trPr>
          <w:trHeight w:val="255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14:paraId="03916693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8B8FD" w14:textId="77777777" w:rsidR="00896A17" w:rsidRPr="004A0F16" w:rsidRDefault="00896A17" w:rsidP="00473E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CD3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27B1DE" w14:textId="77777777" w:rsidR="00896A17" w:rsidRPr="004A0F16" w:rsidRDefault="00896A17" w:rsidP="00473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t-PT"/>
              </w:rPr>
            </w:pPr>
            <w:r w:rsidRPr="004A0F16">
              <w:rPr>
                <w:rFonts w:ascii="Arial" w:eastAsia="Times New Roman" w:hAnsi="Arial" w:cs="Arial"/>
                <w:bCs/>
                <w:i/>
                <w:lang w:val="en-US" w:eastAsia="pt-PT"/>
              </w:rPr>
              <w:t>100</w:t>
            </w:r>
          </w:p>
        </w:tc>
      </w:tr>
    </w:tbl>
    <w:p w14:paraId="6D5D4EF1" w14:textId="77777777" w:rsidR="00896A17" w:rsidRPr="004A0F16" w:rsidRDefault="00896A17" w:rsidP="00896A17">
      <w:pPr>
        <w:shd w:val="clear" w:color="auto" w:fill="FCFCFC"/>
        <w:spacing w:after="120" w:line="360" w:lineRule="auto"/>
        <w:rPr>
          <w:rFonts w:ascii="Arial" w:hAnsi="Arial" w:cs="Arial"/>
          <w:lang w:val="en-US"/>
        </w:rPr>
      </w:pPr>
    </w:p>
    <w:p w14:paraId="2FAA618D" w14:textId="77777777" w:rsidR="00896A17" w:rsidRPr="004A0F16" w:rsidRDefault="00896A17" w:rsidP="00924475">
      <w:pPr>
        <w:spacing w:after="200" w:line="276" w:lineRule="auto"/>
        <w:rPr>
          <w:rFonts w:ascii="Arial" w:hAnsi="Arial" w:cs="Arial"/>
          <w:lang w:val="en-US"/>
        </w:rPr>
      </w:pPr>
    </w:p>
    <w:sectPr w:rsidR="00896A17" w:rsidRPr="004A0F16" w:rsidSect="00BA6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7D1E" w14:textId="77777777" w:rsidR="00371784" w:rsidRDefault="00371784" w:rsidP="001B170B">
      <w:pPr>
        <w:spacing w:after="0" w:line="240" w:lineRule="auto"/>
      </w:pPr>
      <w:r>
        <w:separator/>
      </w:r>
    </w:p>
  </w:endnote>
  <w:endnote w:type="continuationSeparator" w:id="0">
    <w:p w14:paraId="287D6388" w14:textId="77777777" w:rsidR="00371784" w:rsidRDefault="00371784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396C" w14:textId="77777777" w:rsidR="001B2353" w:rsidRDefault="001B2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D4CA" w14:textId="77777777" w:rsidR="004F0D6A" w:rsidRDefault="004F0D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E0D6E" w:rsidRPr="005E0D6E">
      <w:rPr>
        <w:noProof/>
        <w:lang w:val="de-DE"/>
      </w:rPr>
      <w:t>6</w:t>
    </w:r>
    <w:r>
      <w:fldChar w:fldCharType="end"/>
    </w:r>
  </w:p>
  <w:p w14:paraId="6B71FF67" w14:textId="77777777" w:rsidR="004F0D6A" w:rsidRDefault="004F0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DD01" w14:textId="77777777" w:rsidR="001B2353" w:rsidRDefault="001B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D41F" w14:textId="77777777" w:rsidR="00371784" w:rsidRDefault="00371784" w:rsidP="001B170B">
      <w:pPr>
        <w:spacing w:after="0" w:line="240" w:lineRule="auto"/>
      </w:pPr>
      <w:r>
        <w:separator/>
      </w:r>
    </w:p>
  </w:footnote>
  <w:footnote w:type="continuationSeparator" w:id="0">
    <w:p w14:paraId="4820F70A" w14:textId="77777777" w:rsidR="00371784" w:rsidRDefault="00371784" w:rsidP="001B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58D9" w14:textId="77777777" w:rsidR="001B2353" w:rsidRDefault="001B2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8B70" w14:textId="77777777" w:rsidR="001B2353" w:rsidRDefault="001B2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91E3" w14:textId="77777777" w:rsidR="001B2353" w:rsidRDefault="001B2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C03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11767"/>
    <w:multiLevelType w:val="hybridMultilevel"/>
    <w:tmpl w:val="C6762A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058F"/>
    <w:multiLevelType w:val="hybridMultilevel"/>
    <w:tmpl w:val="2E46A6BE"/>
    <w:lvl w:ilvl="0" w:tplc="263E91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4256A"/>
    <w:multiLevelType w:val="hybridMultilevel"/>
    <w:tmpl w:val="C5BAE54A"/>
    <w:lvl w:ilvl="0" w:tplc="1D50C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026704"/>
    <w:multiLevelType w:val="hybridMultilevel"/>
    <w:tmpl w:val="9448FE94"/>
    <w:lvl w:ilvl="0" w:tplc="796EDB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14DC"/>
    <w:multiLevelType w:val="multilevel"/>
    <w:tmpl w:val="D5A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204"/>
    <w:rsid w:val="00002CA3"/>
    <w:rsid w:val="00003591"/>
    <w:rsid w:val="00006A63"/>
    <w:rsid w:val="00010C32"/>
    <w:rsid w:val="00015BBE"/>
    <w:rsid w:val="00015D91"/>
    <w:rsid w:val="00017C29"/>
    <w:rsid w:val="000204B5"/>
    <w:rsid w:val="00020E46"/>
    <w:rsid w:val="00021351"/>
    <w:rsid w:val="0002194C"/>
    <w:rsid w:val="00030D7E"/>
    <w:rsid w:val="00033238"/>
    <w:rsid w:val="00040689"/>
    <w:rsid w:val="000450B2"/>
    <w:rsid w:val="000472F3"/>
    <w:rsid w:val="000473D9"/>
    <w:rsid w:val="000477ED"/>
    <w:rsid w:val="00050A28"/>
    <w:rsid w:val="000557E5"/>
    <w:rsid w:val="00061727"/>
    <w:rsid w:val="00064B74"/>
    <w:rsid w:val="00064DA7"/>
    <w:rsid w:val="00073302"/>
    <w:rsid w:val="000805FC"/>
    <w:rsid w:val="000839AC"/>
    <w:rsid w:val="0008511F"/>
    <w:rsid w:val="00091FE8"/>
    <w:rsid w:val="000A1728"/>
    <w:rsid w:val="000A1B6C"/>
    <w:rsid w:val="000A2BCF"/>
    <w:rsid w:val="000A46A1"/>
    <w:rsid w:val="000B0BC0"/>
    <w:rsid w:val="000B18A3"/>
    <w:rsid w:val="000B3F41"/>
    <w:rsid w:val="000B6357"/>
    <w:rsid w:val="000B6774"/>
    <w:rsid w:val="000B6C7E"/>
    <w:rsid w:val="000B7258"/>
    <w:rsid w:val="000C28AF"/>
    <w:rsid w:val="000C2D75"/>
    <w:rsid w:val="000C417D"/>
    <w:rsid w:val="000C6D9C"/>
    <w:rsid w:val="000C769C"/>
    <w:rsid w:val="000C76A0"/>
    <w:rsid w:val="000D3824"/>
    <w:rsid w:val="000D7FBE"/>
    <w:rsid w:val="000E64E4"/>
    <w:rsid w:val="000E6F9C"/>
    <w:rsid w:val="000F1D0F"/>
    <w:rsid w:val="000F3A3C"/>
    <w:rsid w:val="000F5AEF"/>
    <w:rsid w:val="001007C1"/>
    <w:rsid w:val="00101D45"/>
    <w:rsid w:val="00101FAB"/>
    <w:rsid w:val="001057CF"/>
    <w:rsid w:val="0011045D"/>
    <w:rsid w:val="001158A3"/>
    <w:rsid w:val="00115C81"/>
    <w:rsid w:val="00132BF2"/>
    <w:rsid w:val="00140116"/>
    <w:rsid w:val="001402D2"/>
    <w:rsid w:val="00140A67"/>
    <w:rsid w:val="00141F4D"/>
    <w:rsid w:val="001503CF"/>
    <w:rsid w:val="00150E99"/>
    <w:rsid w:val="00152C2A"/>
    <w:rsid w:val="001542D7"/>
    <w:rsid w:val="0015716C"/>
    <w:rsid w:val="00157A33"/>
    <w:rsid w:val="0016034F"/>
    <w:rsid w:val="001703C6"/>
    <w:rsid w:val="00170400"/>
    <w:rsid w:val="00174640"/>
    <w:rsid w:val="0017608D"/>
    <w:rsid w:val="001802C8"/>
    <w:rsid w:val="00187F79"/>
    <w:rsid w:val="00192619"/>
    <w:rsid w:val="0019434E"/>
    <w:rsid w:val="001958FF"/>
    <w:rsid w:val="001960B9"/>
    <w:rsid w:val="0019696C"/>
    <w:rsid w:val="00196AAE"/>
    <w:rsid w:val="00196CD5"/>
    <w:rsid w:val="001B170B"/>
    <w:rsid w:val="001B2353"/>
    <w:rsid w:val="001B2AE5"/>
    <w:rsid w:val="001B4B99"/>
    <w:rsid w:val="001C0027"/>
    <w:rsid w:val="001C3A04"/>
    <w:rsid w:val="001C4A18"/>
    <w:rsid w:val="001D03F4"/>
    <w:rsid w:val="001D09DE"/>
    <w:rsid w:val="001E15D6"/>
    <w:rsid w:val="001E19B8"/>
    <w:rsid w:val="001E1B7F"/>
    <w:rsid w:val="001E4EE2"/>
    <w:rsid w:val="001E5B69"/>
    <w:rsid w:val="001F0538"/>
    <w:rsid w:val="001F084E"/>
    <w:rsid w:val="001F0C21"/>
    <w:rsid w:val="001F35D9"/>
    <w:rsid w:val="001F3EEA"/>
    <w:rsid w:val="001F4237"/>
    <w:rsid w:val="001F5B40"/>
    <w:rsid w:val="00200323"/>
    <w:rsid w:val="0020122B"/>
    <w:rsid w:val="00204699"/>
    <w:rsid w:val="00210168"/>
    <w:rsid w:val="00214BE8"/>
    <w:rsid w:val="00215458"/>
    <w:rsid w:val="0021674B"/>
    <w:rsid w:val="002213C5"/>
    <w:rsid w:val="002262C9"/>
    <w:rsid w:val="002302BA"/>
    <w:rsid w:val="00230B9D"/>
    <w:rsid w:val="0024237F"/>
    <w:rsid w:val="00244268"/>
    <w:rsid w:val="0024761F"/>
    <w:rsid w:val="00250FDD"/>
    <w:rsid w:val="00252765"/>
    <w:rsid w:val="00255E95"/>
    <w:rsid w:val="00262CC0"/>
    <w:rsid w:val="00262CC2"/>
    <w:rsid w:val="002642C3"/>
    <w:rsid w:val="002674BD"/>
    <w:rsid w:val="00267811"/>
    <w:rsid w:val="00271257"/>
    <w:rsid w:val="00273499"/>
    <w:rsid w:val="002773C6"/>
    <w:rsid w:val="00280912"/>
    <w:rsid w:val="002832D4"/>
    <w:rsid w:val="0028342E"/>
    <w:rsid w:val="002850DE"/>
    <w:rsid w:val="002904B6"/>
    <w:rsid w:val="00291011"/>
    <w:rsid w:val="002955A9"/>
    <w:rsid w:val="0029642D"/>
    <w:rsid w:val="002A124E"/>
    <w:rsid w:val="002A617F"/>
    <w:rsid w:val="002B2A8D"/>
    <w:rsid w:val="002B4F0F"/>
    <w:rsid w:val="002C10C4"/>
    <w:rsid w:val="002C164A"/>
    <w:rsid w:val="002D09BD"/>
    <w:rsid w:val="002D1393"/>
    <w:rsid w:val="002D5B37"/>
    <w:rsid w:val="002D5B5C"/>
    <w:rsid w:val="002D70A7"/>
    <w:rsid w:val="002E07EE"/>
    <w:rsid w:val="002E1849"/>
    <w:rsid w:val="002E3128"/>
    <w:rsid w:val="002E4DD6"/>
    <w:rsid w:val="002E6E25"/>
    <w:rsid w:val="002E745A"/>
    <w:rsid w:val="002E76C7"/>
    <w:rsid w:val="002F1E87"/>
    <w:rsid w:val="002F2861"/>
    <w:rsid w:val="002F34CD"/>
    <w:rsid w:val="0030173B"/>
    <w:rsid w:val="00301D99"/>
    <w:rsid w:val="00301E24"/>
    <w:rsid w:val="0030313D"/>
    <w:rsid w:val="003113B0"/>
    <w:rsid w:val="00312001"/>
    <w:rsid w:val="00312EAB"/>
    <w:rsid w:val="003238E4"/>
    <w:rsid w:val="00323BFA"/>
    <w:rsid w:val="00326136"/>
    <w:rsid w:val="003275AD"/>
    <w:rsid w:val="003311B9"/>
    <w:rsid w:val="00333DE1"/>
    <w:rsid w:val="00334448"/>
    <w:rsid w:val="003404BD"/>
    <w:rsid w:val="00344130"/>
    <w:rsid w:val="003464FC"/>
    <w:rsid w:val="00351986"/>
    <w:rsid w:val="00352A4D"/>
    <w:rsid w:val="00354E13"/>
    <w:rsid w:val="003551DE"/>
    <w:rsid w:val="00356141"/>
    <w:rsid w:val="003566B7"/>
    <w:rsid w:val="003568CA"/>
    <w:rsid w:val="003571BC"/>
    <w:rsid w:val="003575D5"/>
    <w:rsid w:val="003578D9"/>
    <w:rsid w:val="0036076C"/>
    <w:rsid w:val="00361B2F"/>
    <w:rsid w:val="00365E94"/>
    <w:rsid w:val="00366FED"/>
    <w:rsid w:val="003709DB"/>
    <w:rsid w:val="00370B87"/>
    <w:rsid w:val="003713AA"/>
    <w:rsid w:val="00371784"/>
    <w:rsid w:val="00373D71"/>
    <w:rsid w:val="00382086"/>
    <w:rsid w:val="003824FD"/>
    <w:rsid w:val="0038341C"/>
    <w:rsid w:val="00384089"/>
    <w:rsid w:val="003901ED"/>
    <w:rsid w:val="003921CE"/>
    <w:rsid w:val="003922A8"/>
    <w:rsid w:val="00393D64"/>
    <w:rsid w:val="00394D35"/>
    <w:rsid w:val="003A3CF5"/>
    <w:rsid w:val="003A4515"/>
    <w:rsid w:val="003B1B22"/>
    <w:rsid w:val="003B38CF"/>
    <w:rsid w:val="003B3A62"/>
    <w:rsid w:val="003B4B31"/>
    <w:rsid w:val="003C14D8"/>
    <w:rsid w:val="003C1AAB"/>
    <w:rsid w:val="003C4829"/>
    <w:rsid w:val="003C57DF"/>
    <w:rsid w:val="003D210F"/>
    <w:rsid w:val="003D37DB"/>
    <w:rsid w:val="003D3D17"/>
    <w:rsid w:val="003D7FE1"/>
    <w:rsid w:val="003E03D8"/>
    <w:rsid w:val="003E0B6B"/>
    <w:rsid w:val="003E2F19"/>
    <w:rsid w:val="003E58DE"/>
    <w:rsid w:val="003E597E"/>
    <w:rsid w:val="003F24AB"/>
    <w:rsid w:val="003F60BE"/>
    <w:rsid w:val="004011DD"/>
    <w:rsid w:val="00401CC2"/>
    <w:rsid w:val="0040264E"/>
    <w:rsid w:val="00404123"/>
    <w:rsid w:val="00406012"/>
    <w:rsid w:val="00417CAB"/>
    <w:rsid w:val="0042097A"/>
    <w:rsid w:val="0042424F"/>
    <w:rsid w:val="00425715"/>
    <w:rsid w:val="004271D7"/>
    <w:rsid w:val="00430B6C"/>
    <w:rsid w:val="0043199A"/>
    <w:rsid w:val="00441336"/>
    <w:rsid w:val="004413B0"/>
    <w:rsid w:val="0044166D"/>
    <w:rsid w:val="0044241D"/>
    <w:rsid w:val="004450C8"/>
    <w:rsid w:val="00446204"/>
    <w:rsid w:val="00450FE7"/>
    <w:rsid w:val="00452FEA"/>
    <w:rsid w:val="00457D3E"/>
    <w:rsid w:val="00457FC6"/>
    <w:rsid w:val="00461FD9"/>
    <w:rsid w:val="004633B2"/>
    <w:rsid w:val="00463640"/>
    <w:rsid w:val="00463D00"/>
    <w:rsid w:val="00471521"/>
    <w:rsid w:val="00473EC0"/>
    <w:rsid w:val="00474570"/>
    <w:rsid w:val="00482AF2"/>
    <w:rsid w:val="004855A4"/>
    <w:rsid w:val="0049114F"/>
    <w:rsid w:val="00491DD6"/>
    <w:rsid w:val="0049378B"/>
    <w:rsid w:val="00494E73"/>
    <w:rsid w:val="004A0F16"/>
    <w:rsid w:val="004A3A58"/>
    <w:rsid w:val="004B414E"/>
    <w:rsid w:val="004B5CC2"/>
    <w:rsid w:val="004B7EB0"/>
    <w:rsid w:val="004C2208"/>
    <w:rsid w:val="004C433D"/>
    <w:rsid w:val="004C46CA"/>
    <w:rsid w:val="004D0608"/>
    <w:rsid w:val="004D66A6"/>
    <w:rsid w:val="004E08CA"/>
    <w:rsid w:val="004E1D8A"/>
    <w:rsid w:val="004E360D"/>
    <w:rsid w:val="004F0D6A"/>
    <w:rsid w:val="004F39D5"/>
    <w:rsid w:val="004F3B98"/>
    <w:rsid w:val="004F5816"/>
    <w:rsid w:val="004F62A9"/>
    <w:rsid w:val="00504C74"/>
    <w:rsid w:val="005075DE"/>
    <w:rsid w:val="00507E7D"/>
    <w:rsid w:val="0051131E"/>
    <w:rsid w:val="0051268E"/>
    <w:rsid w:val="0051396C"/>
    <w:rsid w:val="0051787F"/>
    <w:rsid w:val="005221E2"/>
    <w:rsid w:val="00522436"/>
    <w:rsid w:val="0052449F"/>
    <w:rsid w:val="00525BF2"/>
    <w:rsid w:val="00526BD1"/>
    <w:rsid w:val="00527044"/>
    <w:rsid w:val="0053076B"/>
    <w:rsid w:val="005325F2"/>
    <w:rsid w:val="0053345E"/>
    <w:rsid w:val="00536883"/>
    <w:rsid w:val="00541565"/>
    <w:rsid w:val="00542885"/>
    <w:rsid w:val="00552D34"/>
    <w:rsid w:val="00554608"/>
    <w:rsid w:val="00554667"/>
    <w:rsid w:val="00556904"/>
    <w:rsid w:val="005600FF"/>
    <w:rsid w:val="005616B9"/>
    <w:rsid w:val="0057015B"/>
    <w:rsid w:val="0057083A"/>
    <w:rsid w:val="00570B12"/>
    <w:rsid w:val="00571D46"/>
    <w:rsid w:val="00574256"/>
    <w:rsid w:val="0057489E"/>
    <w:rsid w:val="00574D86"/>
    <w:rsid w:val="005750C8"/>
    <w:rsid w:val="00575757"/>
    <w:rsid w:val="005817D7"/>
    <w:rsid w:val="00584691"/>
    <w:rsid w:val="005915F3"/>
    <w:rsid w:val="00594ACB"/>
    <w:rsid w:val="00596289"/>
    <w:rsid w:val="005A4F7B"/>
    <w:rsid w:val="005A58E2"/>
    <w:rsid w:val="005B010F"/>
    <w:rsid w:val="005C1C1F"/>
    <w:rsid w:val="005C2FF0"/>
    <w:rsid w:val="005C3D65"/>
    <w:rsid w:val="005C6577"/>
    <w:rsid w:val="005C6F21"/>
    <w:rsid w:val="005D349E"/>
    <w:rsid w:val="005E0D6E"/>
    <w:rsid w:val="005E529E"/>
    <w:rsid w:val="005F1514"/>
    <w:rsid w:val="005F54C2"/>
    <w:rsid w:val="00603002"/>
    <w:rsid w:val="00603D19"/>
    <w:rsid w:val="00604753"/>
    <w:rsid w:val="00611C00"/>
    <w:rsid w:val="00613484"/>
    <w:rsid w:val="00613F5D"/>
    <w:rsid w:val="00615B11"/>
    <w:rsid w:val="00616D71"/>
    <w:rsid w:val="006178B2"/>
    <w:rsid w:val="00617D8E"/>
    <w:rsid w:val="00620248"/>
    <w:rsid w:val="00630867"/>
    <w:rsid w:val="006319CB"/>
    <w:rsid w:val="00631EF3"/>
    <w:rsid w:val="006345AB"/>
    <w:rsid w:val="00635CA4"/>
    <w:rsid w:val="0063638B"/>
    <w:rsid w:val="006401BB"/>
    <w:rsid w:val="00642C50"/>
    <w:rsid w:val="00643961"/>
    <w:rsid w:val="00645B2F"/>
    <w:rsid w:val="0064781B"/>
    <w:rsid w:val="00651B49"/>
    <w:rsid w:val="006530D5"/>
    <w:rsid w:val="00653C2E"/>
    <w:rsid w:val="00654EB7"/>
    <w:rsid w:val="0065590C"/>
    <w:rsid w:val="00656451"/>
    <w:rsid w:val="0065717B"/>
    <w:rsid w:val="006579F9"/>
    <w:rsid w:val="00663A33"/>
    <w:rsid w:val="00670432"/>
    <w:rsid w:val="006715A9"/>
    <w:rsid w:val="0067229B"/>
    <w:rsid w:val="0068403A"/>
    <w:rsid w:val="00690935"/>
    <w:rsid w:val="00691604"/>
    <w:rsid w:val="00692E2B"/>
    <w:rsid w:val="006A09C0"/>
    <w:rsid w:val="006A141E"/>
    <w:rsid w:val="006A6059"/>
    <w:rsid w:val="006B6BC6"/>
    <w:rsid w:val="006C3281"/>
    <w:rsid w:val="006C5B06"/>
    <w:rsid w:val="006D1A6B"/>
    <w:rsid w:val="006D1EC1"/>
    <w:rsid w:val="006D4F4D"/>
    <w:rsid w:val="006D55EA"/>
    <w:rsid w:val="006D6A4F"/>
    <w:rsid w:val="006D6CEF"/>
    <w:rsid w:val="006D6F6D"/>
    <w:rsid w:val="006E0290"/>
    <w:rsid w:val="006E26D8"/>
    <w:rsid w:val="006E4ED7"/>
    <w:rsid w:val="006E5CFE"/>
    <w:rsid w:val="006E5F61"/>
    <w:rsid w:val="006E6C77"/>
    <w:rsid w:val="006F152A"/>
    <w:rsid w:val="006F288D"/>
    <w:rsid w:val="006F55D2"/>
    <w:rsid w:val="00700226"/>
    <w:rsid w:val="00702AE9"/>
    <w:rsid w:val="00705CC1"/>
    <w:rsid w:val="00707E14"/>
    <w:rsid w:val="00713366"/>
    <w:rsid w:val="00713CBA"/>
    <w:rsid w:val="00721932"/>
    <w:rsid w:val="0072278A"/>
    <w:rsid w:val="00724149"/>
    <w:rsid w:val="0072648A"/>
    <w:rsid w:val="007356E1"/>
    <w:rsid w:val="00737474"/>
    <w:rsid w:val="00740991"/>
    <w:rsid w:val="0074342F"/>
    <w:rsid w:val="0074798A"/>
    <w:rsid w:val="007503C1"/>
    <w:rsid w:val="007523AB"/>
    <w:rsid w:val="00755575"/>
    <w:rsid w:val="00766BCF"/>
    <w:rsid w:val="007735AE"/>
    <w:rsid w:val="007742B5"/>
    <w:rsid w:val="00783789"/>
    <w:rsid w:val="00787FE0"/>
    <w:rsid w:val="007904C5"/>
    <w:rsid w:val="00792722"/>
    <w:rsid w:val="007A04F5"/>
    <w:rsid w:val="007A15F1"/>
    <w:rsid w:val="007A2326"/>
    <w:rsid w:val="007A5912"/>
    <w:rsid w:val="007B01E8"/>
    <w:rsid w:val="007B12A8"/>
    <w:rsid w:val="007B1C9D"/>
    <w:rsid w:val="007B2D92"/>
    <w:rsid w:val="007B497E"/>
    <w:rsid w:val="007B68A8"/>
    <w:rsid w:val="007B75E3"/>
    <w:rsid w:val="007C41B1"/>
    <w:rsid w:val="007C4825"/>
    <w:rsid w:val="007C61FD"/>
    <w:rsid w:val="007C6578"/>
    <w:rsid w:val="007C74E3"/>
    <w:rsid w:val="007D1752"/>
    <w:rsid w:val="007D7C73"/>
    <w:rsid w:val="007E1FED"/>
    <w:rsid w:val="007E3D92"/>
    <w:rsid w:val="007E625B"/>
    <w:rsid w:val="007F06C9"/>
    <w:rsid w:val="007F45E1"/>
    <w:rsid w:val="007F6D49"/>
    <w:rsid w:val="00803281"/>
    <w:rsid w:val="008037CB"/>
    <w:rsid w:val="008064EB"/>
    <w:rsid w:val="008121E5"/>
    <w:rsid w:val="00813219"/>
    <w:rsid w:val="00814CCE"/>
    <w:rsid w:val="00814E01"/>
    <w:rsid w:val="008160B9"/>
    <w:rsid w:val="00816FA5"/>
    <w:rsid w:val="00823CDE"/>
    <w:rsid w:val="00831173"/>
    <w:rsid w:val="00835EAE"/>
    <w:rsid w:val="00836F52"/>
    <w:rsid w:val="0084109D"/>
    <w:rsid w:val="00843579"/>
    <w:rsid w:val="00843B8C"/>
    <w:rsid w:val="008451D0"/>
    <w:rsid w:val="00847E57"/>
    <w:rsid w:val="008517FB"/>
    <w:rsid w:val="008525A2"/>
    <w:rsid w:val="008530F2"/>
    <w:rsid w:val="00855C38"/>
    <w:rsid w:val="00856B27"/>
    <w:rsid w:val="00860572"/>
    <w:rsid w:val="008609F7"/>
    <w:rsid w:val="00861F3F"/>
    <w:rsid w:val="00864665"/>
    <w:rsid w:val="008744E8"/>
    <w:rsid w:val="00875326"/>
    <w:rsid w:val="00882EED"/>
    <w:rsid w:val="00892E3E"/>
    <w:rsid w:val="008932FD"/>
    <w:rsid w:val="00896A17"/>
    <w:rsid w:val="008A4BE3"/>
    <w:rsid w:val="008A4F29"/>
    <w:rsid w:val="008A516F"/>
    <w:rsid w:val="008B16B8"/>
    <w:rsid w:val="008B35E1"/>
    <w:rsid w:val="008C4953"/>
    <w:rsid w:val="008C6765"/>
    <w:rsid w:val="008C6B2B"/>
    <w:rsid w:val="008D0A4D"/>
    <w:rsid w:val="008D1776"/>
    <w:rsid w:val="008E2281"/>
    <w:rsid w:val="008E388D"/>
    <w:rsid w:val="008E52EA"/>
    <w:rsid w:val="008E6606"/>
    <w:rsid w:val="008F0900"/>
    <w:rsid w:val="008F3926"/>
    <w:rsid w:val="008F47ED"/>
    <w:rsid w:val="00902A78"/>
    <w:rsid w:val="00904619"/>
    <w:rsid w:val="00905753"/>
    <w:rsid w:val="00905CA7"/>
    <w:rsid w:val="00906A2D"/>
    <w:rsid w:val="009128B3"/>
    <w:rsid w:val="00915F11"/>
    <w:rsid w:val="00922E3C"/>
    <w:rsid w:val="00923DFB"/>
    <w:rsid w:val="00923E27"/>
    <w:rsid w:val="00924475"/>
    <w:rsid w:val="00924F91"/>
    <w:rsid w:val="00925DC4"/>
    <w:rsid w:val="009261B8"/>
    <w:rsid w:val="009261F1"/>
    <w:rsid w:val="00927E1E"/>
    <w:rsid w:val="00937F5D"/>
    <w:rsid w:val="0095170F"/>
    <w:rsid w:val="00953400"/>
    <w:rsid w:val="0096247C"/>
    <w:rsid w:val="00963BAC"/>
    <w:rsid w:val="00963CBF"/>
    <w:rsid w:val="009701B5"/>
    <w:rsid w:val="00971A83"/>
    <w:rsid w:val="00973B22"/>
    <w:rsid w:val="00975981"/>
    <w:rsid w:val="00976D89"/>
    <w:rsid w:val="009846C2"/>
    <w:rsid w:val="00986E1E"/>
    <w:rsid w:val="009877A5"/>
    <w:rsid w:val="00991C67"/>
    <w:rsid w:val="0099497F"/>
    <w:rsid w:val="00994AF9"/>
    <w:rsid w:val="009A1512"/>
    <w:rsid w:val="009A20E8"/>
    <w:rsid w:val="009A2147"/>
    <w:rsid w:val="009A68BD"/>
    <w:rsid w:val="009B6457"/>
    <w:rsid w:val="009B6934"/>
    <w:rsid w:val="009B707A"/>
    <w:rsid w:val="009C1F72"/>
    <w:rsid w:val="009D0E4D"/>
    <w:rsid w:val="009D61D0"/>
    <w:rsid w:val="009D661C"/>
    <w:rsid w:val="009D7CAA"/>
    <w:rsid w:val="009E124F"/>
    <w:rsid w:val="009E21E3"/>
    <w:rsid w:val="009E4018"/>
    <w:rsid w:val="009E46F0"/>
    <w:rsid w:val="009E5267"/>
    <w:rsid w:val="009E6FF5"/>
    <w:rsid w:val="009E7061"/>
    <w:rsid w:val="009E71E0"/>
    <w:rsid w:val="009E7342"/>
    <w:rsid w:val="009F10D1"/>
    <w:rsid w:val="009F280E"/>
    <w:rsid w:val="009F3198"/>
    <w:rsid w:val="009F5362"/>
    <w:rsid w:val="009F5539"/>
    <w:rsid w:val="009F5F1D"/>
    <w:rsid w:val="009F6128"/>
    <w:rsid w:val="009F7349"/>
    <w:rsid w:val="00A056C4"/>
    <w:rsid w:val="00A0629C"/>
    <w:rsid w:val="00A07B91"/>
    <w:rsid w:val="00A1114C"/>
    <w:rsid w:val="00A11907"/>
    <w:rsid w:val="00A15996"/>
    <w:rsid w:val="00A17397"/>
    <w:rsid w:val="00A211A4"/>
    <w:rsid w:val="00A32BF8"/>
    <w:rsid w:val="00A33539"/>
    <w:rsid w:val="00A41A96"/>
    <w:rsid w:val="00A42735"/>
    <w:rsid w:val="00A43EEE"/>
    <w:rsid w:val="00A446F7"/>
    <w:rsid w:val="00A4584F"/>
    <w:rsid w:val="00A51584"/>
    <w:rsid w:val="00A5182D"/>
    <w:rsid w:val="00A53F34"/>
    <w:rsid w:val="00A55CAD"/>
    <w:rsid w:val="00A613DA"/>
    <w:rsid w:val="00A63179"/>
    <w:rsid w:val="00A649F7"/>
    <w:rsid w:val="00A6667A"/>
    <w:rsid w:val="00A673F4"/>
    <w:rsid w:val="00A77616"/>
    <w:rsid w:val="00A808AF"/>
    <w:rsid w:val="00A82616"/>
    <w:rsid w:val="00A83E2D"/>
    <w:rsid w:val="00A844E1"/>
    <w:rsid w:val="00A849C3"/>
    <w:rsid w:val="00A932D5"/>
    <w:rsid w:val="00A941F2"/>
    <w:rsid w:val="00AB1796"/>
    <w:rsid w:val="00AB18C3"/>
    <w:rsid w:val="00AB589A"/>
    <w:rsid w:val="00AB7B87"/>
    <w:rsid w:val="00AC2273"/>
    <w:rsid w:val="00AC6015"/>
    <w:rsid w:val="00AC6B91"/>
    <w:rsid w:val="00AC6D2F"/>
    <w:rsid w:val="00AC6E15"/>
    <w:rsid w:val="00AD03B4"/>
    <w:rsid w:val="00AD2AD9"/>
    <w:rsid w:val="00AD34BA"/>
    <w:rsid w:val="00AD352E"/>
    <w:rsid w:val="00AF1595"/>
    <w:rsid w:val="00AF2D77"/>
    <w:rsid w:val="00AF374C"/>
    <w:rsid w:val="00AF37F3"/>
    <w:rsid w:val="00AF7143"/>
    <w:rsid w:val="00B01929"/>
    <w:rsid w:val="00B03A08"/>
    <w:rsid w:val="00B076C2"/>
    <w:rsid w:val="00B07AC5"/>
    <w:rsid w:val="00B13FE2"/>
    <w:rsid w:val="00B257CF"/>
    <w:rsid w:val="00B27D9B"/>
    <w:rsid w:val="00B315B7"/>
    <w:rsid w:val="00B342BC"/>
    <w:rsid w:val="00B34D47"/>
    <w:rsid w:val="00B4085C"/>
    <w:rsid w:val="00B40D52"/>
    <w:rsid w:val="00B410AF"/>
    <w:rsid w:val="00B41F67"/>
    <w:rsid w:val="00B42BC2"/>
    <w:rsid w:val="00B43BAA"/>
    <w:rsid w:val="00B45DDB"/>
    <w:rsid w:val="00B4682C"/>
    <w:rsid w:val="00B46ECF"/>
    <w:rsid w:val="00B502C8"/>
    <w:rsid w:val="00B504F5"/>
    <w:rsid w:val="00B5109D"/>
    <w:rsid w:val="00B515F4"/>
    <w:rsid w:val="00B564EB"/>
    <w:rsid w:val="00B65104"/>
    <w:rsid w:val="00B6622B"/>
    <w:rsid w:val="00B7140E"/>
    <w:rsid w:val="00B719A9"/>
    <w:rsid w:val="00B73129"/>
    <w:rsid w:val="00B73947"/>
    <w:rsid w:val="00B76B40"/>
    <w:rsid w:val="00B7760F"/>
    <w:rsid w:val="00B83319"/>
    <w:rsid w:val="00B83CC8"/>
    <w:rsid w:val="00B84E11"/>
    <w:rsid w:val="00B84F5F"/>
    <w:rsid w:val="00B938DB"/>
    <w:rsid w:val="00B97B03"/>
    <w:rsid w:val="00BA135A"/>
    <w:rsid w:val="00BA2100"/>
    <w:rsid w:val="00BA3FE1"/>
    <w:rsid w:val="00BA5B48"/>
    <w:rsid w:val="00BA60D8"/>
    <w:rsid w:val="00BA7D8A"/>
    <w:rsid w:val="00BB033F"/>
    <w:rsid w:val="00BB68C5"/>
    <w:rsid w:val="00BB7626"/>
    <w:rsid w:val="00BC4A38"/>
    <w:rsid w:val="00BC79A5"/>
    <w:rsid w:val="00BD09E0"/>
    <w:rsid w:val="00BD12DE"/>
    <w:rsid w:val="00BD23D7"/>
    <w:rsid w:val="00BD5BB5"/>
    <w:rsid w:val="00BE4E24"/>
    <w:rsid w:val="00BF107F"/>
    <w:rsid w:val="00BF45B7"/>
    <w:rsid w:val="00C00C08"/>
    <w:rsid w:val="00C00EC1"/>
    <w:rsid w:val="00C02B71"/>
    <w:rsid w:val="00C045C0"/>
    <w:rsid w:val="00C05E67"/>
    <w:rsid w:val="00C1038A"/>
    <w:rsid w:val="00C11C62"/>
    <w:rsid w:val="00C15006"/>
    <w:rsid w:val="00C174DD"/>
    <w:rsid w:val="00C17664"/>
    <w:rsid w:val="00C21B98"/>
    <w:rsid w:val="00C23D3B"/>
    <w:rsid w:val="00C25C14"/>
    <w:rsid w:val="00C26615"/>
    <w:rsid w:val="00C30490"/>
    <w:rsid w:val="00C32EA2"/>
    <w:rsid w:val="00C3311D"/>
    <w:rsid w:val="00C34241"/>
    <w:rsid w:val="00C34EB7"/>
    <w:rsid w:val="00C3583D"/>
    <w:rsid w:val="00C374FA"/>
    <w:rsid w:val="00C376B7"/>
    <w:rsid w:val="00C42692"/>
    <w:rsid w:val="00C4299E"/>
    <w:rsid w:val="00C46E91"/>
    <w:rsid w:val="00C523D2"/>
    <w:rsid w:val="00C5269F"/>
    <w:rsid w:val="00C567A9"/>
    <w:rsid w:val="00C64A7D"/>
    <w:rsid w:val="00C65589"/>
    <w:rsid w:val="00C659BE"/>
    <w:rsid w:val="00C726DA"/>
    <w:rsid w:val="00C77A51"/>
    <w:rsid w:val="00C77ECA"/>
    <w:rsid w:val="00C800B6"/>
    <w:rsid w:val="00C85617"/>
    <w:rsid w:val="00C86E7D"/>
    <w:rsid w:val="00C8767D"/>
    <w:rsid w:val="00C909C8"/>
    <w:rsid w:val="00CA2066"/>
    <w:rsid w:val="00CA2270"/>
    <w:rsid w:val="00CA64F5"/>
    <w:rsid w:val="00CA6C8F"/>
    <w:rsid w:val="00CA6DA4"/>
    <w:rsid w:val="00CB108A"/>
    <w:rsid w:val="00CB1F2D"/>
    <w:rsid w:val="00CB4A53"/>
    <w:rsid w:val="00CB59FF"/>
    <w:rsid w:val="00CB6AE3"/>
    <w:rsid w:val="00CB6D09"/>
    <w:rsid w:val="00CB6FCF"/>
    <w:rsid w:val="00CD17A6"/>
    <w:rsid w:val="00CD4E0E"/>
    <w:rsid w:val="00CD50BE"/>
    <w:rsid w:val="00CD63B4"/>
    <w:rsid w:val="00CE3635"/>
    <w:rsid w:val="00CE43A1"/>
    <w:rsid w:val="00CE6314"/>
    <w:rsid w:val="00CE6A2C"/>
    <w:rsid w:val="00CF329B"/>
    <w:rsid w:val="00CF36EB"/>
    <w:rsid w:val="00CF60D6"/>
    <w:rsid w:val="00D0430D"/>
    <w:rsid w:val="00D079E3"/>
    <w:rsid w:val="00D1445C"/>
    <w:rsid w:val="00D168B4"/>
    <w:rsid w:val="00D16BBE"/>
    <w:rsid w:val="00D225E3"/>
    <w:rsid w:val="00D22A92"/>
    <w:rsid w:val="00D260D8"/>
    <w:rsid w:val="00D27030"/>
    <w:rsid w:val="00D30107"/>
    <w:rsid w:val="00D431B6"/>
    <w:rsid w:val="00D507CB"/>
    <w:rsid w:val="00D62D3B"/>
    <w:rsid w:val="00D630D0"/>
    <w:rsid w:val="00D67054"/>
    <w:rsid w:val="00D673D8"/>
    <w:rsid w:val="00D72DC7"/>
    <w:rsid w:val="00D84E98"/>
    <w:rsid w:val="00D92FE1"/>
    <w:rsid w:val="00D94A2C"/>
    <w:rsid w:val="00D97C59"/>
    <w:rsid w:val="00DA3101"/>
    <w:rsid w:val="00DA386D"/>
    <w:rsid w:val="00DA5597"/>
    <w:rsid w:val="00DC5C22"/>
    <w:rsid w:val="00DC677B"/>
    <w:rsid w:val="00DC71AC"/>
    <w:rsid w:val="00DC72F4"/>
    <w:rsid w:val="00DC7B4A"/>
    <w:rsid w:val="00DD1F4E"/>
    <w:rsid w:val="00DD60ED"/>
    <w:rsid w:val="00DE0360"/>
    <w:rsid w:val="00DE540C"/>
    <w:rsid w:val="00DE58AF"/>
    <w:rsid w:val="00DE6AF2"/>
    <w:rsid w:val="00DF2686"/>
    <w:rsid w:val="00DF706C"/>
    <w:rsid w:val="00E04A88"/>
    <w:rsid w:val="00E06A97"/>
    <w:rsid w:val="00E106C1"/>
    <w:rsid w:val="00E23563"/>
    <w:rsid w:val="00E23B5F"/>
    <w:rsid w:val="00E279E7"/>
    <w:rsid w:val="00E30ED8"/>
    <w:rsid w:val="00E31D95"/>
    <w:rsid w:val="00E32262"/>
    <w:rsid w:val="00E322D3"/>
    <w:rsid w:val="00E34468"/>
    <w:rsid w:val="00E361CC"/>
    <w:rsid w:val="00E40139"/>
    <w:rsid w:val="00E507CA"/>
    <w:rsid w:val="00E5579F"/>
    <w:rsid w:val="00E64296"/>
    <w:rsid w:val="00E6484A"/>
    <w:rsid w:val="00E65BB1"/>
    <w:rsid w:val="00E6695A"/>
    <w:rsid w:val="00E67923"/>
    <w:rsid w:val="00E7758C"/>
    <w:rsid w:val="00E84F32"/>
    <w:rsid w:val="00E87240"/>
    <w:rsid w:val="00E87FC0"/>
    <w:rsid w:val="00E965DA"/>
    <w:rsid w:val="00E9682B"/>
    <w:rsid w:val="00E97F8B"/>
    <w:rsid w:val="00EA7FAB"/>
    <w:rsid w:val="00EB1220"/>
    <w:rsid w:val="00EB649E"/>
    <w:rsid w:val="00EC19B0"/>
    <w:rsid w:val="00EC2742"/>
    <w:rsid w:val="00ED3293"/>
    <w:rsid w:val="00EE05A6"/>
    <w:rsid w:val="00EE09A9"/>
    <w:rsid w:val="00EE49D1"/>
    <w:rsid w:val="00EE6757"/>
    <w:rsid w:val="00EF2A48"/>
    <w:rsid w:val="00F0084D"/>
    <w:rsid w:val="00F019DF"/>
    <w:rsid w:val="00F0258C"/>
    <w:rsid w:val="00F0476D"/>
    <w:rsid w:val="00F11202"/>
    <w:rsid w:val="00F11363"/>
    <w:rsid w:val="00F11BE1"/>
    <w:rsid w:val="00F11D87"/>
    <w:rsid w:val="00F1403F"/>
    <w:rsid w:val="00F16593"/>
    <w:rsid w:val="00F165BF"/>
    <w:rsid w:val="00F21C51"/>
    <w:rsid w:val="00F24345"/>
    <w:rsid w:val="00F25914"/>
    <w:rsid w:val="00F311DF"/>
    <w:rsid w:val="00F323D0"/>
    <w:rsid w:val="00F32F97"/>
    <w:rsid w:val="00F400A4"/>
    <w:rsid w:val="00F40B85"/>
    <w:rsid w:val="00F41AFF"/>
    <w:rsid w:val="00F4315F"/>
    <w:rsid w:val="00F4617A"/>
    <w:rsid w:val="00F52EF0"/>
    <w:rsid w:val="00F538FB"/>
    <w:rsid w:val="00F56317"/>
    <w:rsid w:val="00F60D03"/>
    <w:rsid w:val="00F61D6B"/>
    <w:rsid w:val="00F6300D"/>
    <w:rsid w:val="00F6629E"/>
    <w:rsid w:val="00F6784D"/>
    <w:rsid w:val="00F67A88"/>
    <w:rsid w:val="00F67C86"/>
    <w:rsid w:val="00F70B94"/>
    <w:rsid w:val="00F723AC"/>
    <w:rsid w:val="00F75773"/>
    <w:rsid w:val="00F76BBF"/>
    <w:rsid w:val="00F81893"/>
    <w:rsid w:val="00F81D8B"/>
    <w:rsid w:val="00F83EDE"/>
    <w:rsid w:val="00F90114"/>
    <w:rsid w:val="00F9034B"/>
    <w:rsid w:val="00F91B37"/>
    <w:rsid w:val="00FA1A55"/>
    <w:rsid w:val="00FA2310"/>
    <w:rsid w:val="00FA4416"/>
    <w:rsid w:val="00FA4FE3"/>
    <w:rsid w:val="00FB0662"/>
    <w:rsid w:val="00FB14C7"/>
    <w:rsid w:val="00FC000B"/>
    <w:rsid w:val="00FC0C8D"/>
    <w:rsid w:val="00FC1B34"/>
    <w:rsid w:val="00FC1B4F"/>
    <w:rsid w:val="00FC2AE2"/>
    <w:rsid w:val="00FC4841"/>
    <w:rsid w:val="00FD19B6"/>
    <w:rsid w:val="00FD1CAC"/>
    <w:rsid w:val="00FD4395"/>
    <w:rsid w:val="00FD5D88"/>
    <w:rsid w:val="00FD5F0E"/>
    <w:rsid w:val="00FE2A7C"/>
    <w:rsid w:val="00FF4F6C"/>
    <w:rsid w:val="00FF5D38"/>
    <w:rsid w:val="00FF634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04289EA7"/>
  <w15:chartTrackingRefBased/>
  <w15:docId w15:val="{4F7ED7B6-450F-4A73-8246-85A182BF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8A"/>
    <w:pPr>
      <w:spacing w:after="160" w:line="259" w:lineRule="auto"/>
    </w:pPr>
    <w:rPr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2D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5F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3A5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5D91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46204"/>
  </w:style>
  <w:style w:type="character" w:customStyle="1" w:styleId="Heading6Char">
    <w:name w:val="Heading 6 Char"/>
    <w:link w:val="Heading6"/>
    <w:uiPriority w:val="9"/>
    <w:rsid w:val="00015D91"/>
    <w:rPr>
      <w:rFonts w:ascii="Calibri Light" w:eastAsia="Times New Roman" w:hAnsi="Calibri Light" w:cs="Times New Roman"/>
      <w:color w:val="1F4D78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rsid w:val="00015D91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D9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15D91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70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B1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70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B170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E7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279E7"/>
    <w:rPr>
      <w:lang w:eastAsia="en-US"/>
    </w:rPr>
  </w:style>
  <w:style w:type="character" w:styleId="FootnoteReference">
    <w:name w:val="footnote reference"/>
    <w:uiPriority w:val="99"/>
    <w:semiHidden/>
    <w:unhideWhenUsed/>
    <w:rsid w:val="00E279E7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2A617F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4A3A58"/>
    <w:rPr>
      <w:rFonts w:ascii="Calibri Light" w:eastAsia="Times New Roman" w:hAnsi="Calibri Light" w:cs="Times New Roman"/>
      <w:i/>
      <w:iCs/>
      <w:color w:val="2E74B5"/>
    </w:rPr>
  </w:style>
  <w:style w:type="table" w:styleId="TableClassic1">
    <w:name w:val="Table Classic 1"/>
    <w:basedOn w:val="TableNormal"/>
    <w:rsid w:val="00C30490"/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1AA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AAB"/>
    <w:rPr>
      <w:rFonts w:ascii="Segoe UI" w:hAnsi="Segoe UI" w:cs="Segoe UI"/>
      <w:sz w:val="18"/>
      <w:szCs w:val="18"/>
      <w:lang w:val="de-CH" w:eastAsia="en-US"/>
    </w:rPr>
  </w:style>
  <w:style w:type="paragraph" w:styleId="Caption">
    <w:name w:val="caption"/>
    <w:basedOn w:val="Normal"/>
    <w:next w:val="Normal"/>
    <w:uiPriority w:val="35"/>
    <w:qFormat/>
    <w:rsid w:val="00CD4E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281"/>
    <w:rPr>
      <w:b/>
      <w:bCs/>
      <w:lang w:val="de-CH" w:eastAsia="en-US"/>
    </w:rPr>
  </w:style>
  <w:style w:type="character" w:customStyle="1" w:styleId="Heading1Char">
    <w:name w:val="Heading 1 Char"/>
    <w:link w:val="Heading1"/>
    <w:uiPriority w:val="9"/>
    <w:rsid w:val="001542D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Emphasis">
    <w:name w:val="Emphasis"/>
    <w:uiPriority w:val="20"/>
    <w:qFormat/>
    <w:rsid w:val="00DD60ED"/>
    <w:rPr>
      <w:i/>
      <w:iCs/>
    </w:rPr>
  </w:style>
  <w:style w:type="paragraph" w:styleId="ColorfulShading-Accent1">
    <w:name w:val="Colorful Shading Accent 1"/>
    <w:hidden/>
    <w:uiPriority w:val="99"/>
    <w:semiHidden/>
    <w:rsid w:val="00E9682B"/>
    <w:pPr>
      <w:spacing w:after="160" w:line="259" w:lineRule="auto"/>
    </w:pPr>
    <w:rPr>
      <w:sz w:val="22"/>
      <w:szCs w:val="22"/>
      <w:lang w:val="de-CH" w:eastAsia="en-US"/>
    </w:rPr>
  </w:style>
  <w:style w:type="paragraph" w:styleId="NormalWeb">
    <w:name w:val="Normal (Web)"/>
    <w:basedOn w:val="Normal"/>
    <w:uiPriority w:val="99"/>
    <w:unhideWhenUsed/>
    <w:rsid w:val="00774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FollowedHyperlink">
    <w:name w:val="FollowedHyperlink"/>
    <w:uiPriority w:val="99"/>
    <w:semiHidden/>
    <w:unhideWhenUsed/>
    <w:rsid w:val="00EF2A48"/>
    <w:rPr>
      <w:color w:val="954F72"/>
      <w:u w:val="single"/>
    </w:rPr>
  </w:style>
  <w:style w:type="character" w:customStyle="1" w:styleId="MenoNoResolvida">
    <w:name w:val="Menção Não Resolvida"/>
    <w:uiPriority w:val="99"/>
    <w:semiHidden/>
    <w:unhideWhenUsed/>
    <w:rsid w:val="000D7FBE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5325F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F323D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MediumGrid2">
    <w:name w:val="Medium Grid 2"/>
    <w:uiPriority w:val="1"/>
    <w:qFormat/>
    <w:rsid w:val="00813219"/>
    <w:rPr>
      <w:sz w:val="22"/>
      <w:szCs w:val="22"/>
      <w:lang w:val="de-DE" w:eastAsia="de-DE"/>
    </w:rPr>
  </w:style>
  <w:style w:type="paragraph" w:styleId="Revision">
    <w:name w:val="Revision"/>
    <w:hidden/>
    <w:uiPriority w:val="99"/>
    <w:semiHidden/>
    <w:rsid w:val="0044241D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E877DB54EB4A888F0E204D3FE0DA" ma:contentTypeVersion="13" ma:contentTypeDescription="Create a new document." ma:contentTypeScope="" ma:versionID="42a378f223c2a36c2fcd362be95591cc">
  <xsd:schema xmlns:xsd="http://www.w3.org/2001/XMLSchema" xmlns:xs="http://www.w3.org/2001/XMLSchema" xmlns:p="http://schemas.microsoft.com/office/2006/metadata/properties" xmlns:ns3="a372c0b6-dd35-4576-89c0-4c351e44b9e7" xmlns:ns4="30b1d78f-6de5-4222-9f6e-4db2bc0c9a10" targetNamespace="http://schemas.microsoft.com/office/2006/metadata/properties" ma:root="true" ma:fieldsID="3e4718d4aeabbdda1591f5ffbdcfa727" ns3:_="" ns4:_="">
    <xsd:import namespace="a372c0b6-dd35-4576-89c0-4c351e44b9e7"/>
    <xsd:import namespace="30b1d78f-6de5-4222-9f6e-4db2bc0c9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0b6-dd35-4576-89c0-4c351e44b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d78f-6de5-4222-9f6e-4db2bc0c9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39632-FFDC-4823-8F25-C0EC18E44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11936-6A99-4B85-B46A-CF2F8584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0b6-dd35-4576-89c0-4c351e44b9e7"/>
    <ds:schemaRef ds:uri="30b1d78f-6de5-4222-9f6e-4db2bc0c9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E2D5A-2A2E-4B19-AD52-1A54CE5EB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FBA1E-23DE-4BF0-BD0A-A619A8A16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990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Joana  Tavares</cp:lastModifiedBy>
  <cp:revision>3</cp:revision>
  <cp:lastPrinted>2020-10-19T08:39:00Z</cp:lastPrinted>
  <dcterms:created xsi:type="dcterms:W3CDTF">2020-11-25T15:54:00Z</dcterms:created>
  <dcterms:modified xsi:type="dcterms:W3CDTF">2020-11-25T15:55:00Z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http://csl.mendeley.com/styles/11483971/advances-in-alzheimers-disease-JT</vt:lpwstr>
  </property>
  <property fmtid="{D5CDD505-2E9C-101B-9397-08002B2CF9AE}" pid="3" name="Mendeley Recent Style Name 0_1">
    <vt:lpwstr>Advances in Alzheimer's Disease - Joana Tavares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409d722b-755e-3ad4-9aef-873efb53d472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0x01010086C5E877DB54EB4A888F0E204D3FE0DA</vt:lpwstr>
  </property>
  <property fmtid="{D5CDD505-2E9C-101B-9397-08002B2CF9AE}" pid="26" name="MSIP_Label_4929bff8-5b33-42aa-95d2-28f72e792cb0_Enabled">
    <vt:lpwstr>True</vt:lpwstr>
  </property>
  <property fmtid="{D5CDD505-2E9C-101B-9397-08002B2CF9AE}" pid="27" name="MSIP_Label_4929bff8-5b33-42aa-95d2-28f72e792cb0_SiteId">
    <vt:lpwstr>f35a6974-607f-47d4-82d7-ff31d7dc53a5</vt:lpwstr>
  </property>
  <property fmtid="{D5CDD505-2E9C-101B-9397-08002B2CF9AE}" pid="28" name="MSIP_Label_4929bff8-5b33-42aa-95d2-28f72e792cb0_Owner">
    <vt:lpwstr>MICHAJE3@novartis.net</vt:lpwstr>
  </property>
  <property fmtid="{D5CDD505-2E9C-101B-9397-08002B2CF9AE}" pid="29" name="MSIP_Label_4929bff8-5b33-42aa-95d2-28f72e792cb0_SetDate">
    <vt:lpwstr>2020-10-14T10:58:27.9564494Z</vt:lpwstr>
  </property>
  <property fmtid="{D5CDD505-2E9C-101B-9397-08002B2CF9AE}" pid="30" name="MSIP_Label_4929bff8-5b33-42aa-95d2-28f72e792cb0_Name">
    <vt:lpwstr>Business Use Only</vt:lpwstr>
  </property>
  <property fmtid="{D5CDD505-2E9C-101B-9397-08002B2CF9AE}" pid="31" name="MSIP_Label_4929bff8-5b33-42aa-95d2-28f72e792cb0_Application">
    <vt:lpwstr>Microsoft Azure Information Protection</vt:lpwstr>
  </property>
  <property fmtid="{D5CDD505-2E9C-101B-9397-08002B2CF9AE}" pid="32" name="MSIP_Label_4929bff8-5b33-42aa-95d2-28f72e792cb0_ActionId">
    <vt:lpwstr>33911af0-f616-4bb8-9a06-20230d61d517</vt:lpwstr>
  </property>
  <property fmtid="{D5CDD505-2E9C-101B-9397-08002B2CF9AE}" pid="33" name="MSIP_Label_4929bff8-5b33-42aa-95d2-28f72e792cb0_Extended_MSFT_Method">
    <vt:lpwstr>Automatic</vt:lpwstr>
  </property>
  <property fmtid="{D5CDD505-2E9C-101B-9397-08002B2CF9AE}" pid="34" name="Confidentiality">
    <vt:lpwstr>Business Use Only</vt:lpwstr>
  </property>
</Properties>
</file>