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31E3E" w14:textId="7DC83064" w:rsidR="004D7C57" w:rsidRPr="001625BA" w:rsidRDefault="003440F6" w:rsidP="00352DE9">
      <w:pPr>
        <w:pBdr>
          <w:top w:val="nil"/>
          <w:left w:val="nil"/>
          <w:bottom w:val="nil"/>
          <w:right w:val="nil"/>
          <w:between w:val="nil"/>
          <w:bar w:val="nil"/>
        </w:pBdr>
        <w:spacing w:after="120" w:line="360" w:lineRule="auto"/>
        <w:jc w:val="both"/>
        <w:rPr>
          <w:rFonts w:ascii="Times New Roman" w:eastAsia="MS Gothic" w:hAnsi="Times New Roman" w:cs="Times New Roman"/>
          <w:b/>
          <w:bCs/>
          <w:color w:val="000000" w:themeColor="text1"/>
          <w:sz w:val="24"/>
          <w:szCs w:val="24"/>
          <w:lang w:val="en-US" w:eastAsia="es-ES"/>
        </w:rPr>
      </w:pPr>
      <w:r w:rsidRPr="001625BA">
        <w:rPr>
          <w:rFonts w:ascii="Times New Roman" w:eastAsia="MS Gothic" w:hAnsi="Times New Roman" w:cs="Times New Roman"/>
          <w:b/>
          <w:bCs/>
          <w:color w:val="000000" w:themeColor="text1"/>
          <w:sz w:val="24"/>
          <w:szCs w:val="24"/>
          <w:lang w:val="en-US" w:eastAsia="es-ES"/>
        </w:rPr>
        <w:t>SUPPLEMENTARY MATERIALS</w:t>
      </w:r>
    </w:p>
    <w:p w14:paraId="193EDDE4" w14:textId="149D0934" w:rsidR="00352DE9" w:rsidRPr="001625BA" w:rsidRDefault="00352DE9" w:rsidP="00716633">
      <w:pPr>
        <w:pBdr>
          <w:top w:val="nil"/>
          <w:left w:val="nil"/>
          <w:bottom w:val="nil"/>
          <w:right w:val="nil"/>
          <w:between w:val="nil"/>
        </w:pBdr>
        <w:spacing w:after="0" w:line="480" w:lineRule="auto"/>
        <w:jc w:val="both"/>
        <w:rPr>
          <w:rFonts w:ascii="Times New Roman" w:eastAsia="Cambria" w:hAnsi="Times New Roman" w:cs="Times New Roman"/>
          <w:b/>
          <w:color w:val="000000"/>
          <w:sz w:val="24"/>
          <w:szCs w:val="24"/>
          <w:lang w:val="en-US" w:eastAsia="es-ES"/>
        </w:rPr>
      </w:pPr>
      <w:r w:rsidRPr="001625BA">
        <w:rPr>
          <w:rFonts w:ascii="Times New Roman" w:eastAsia="Cambria" w:hAnsi="Times New Roman" w:cs="Times New Roman"/>
          <w:b/>
          <w:color w:val="000000"/>
          <w:sz w:val="24"/>
          <w:szCs w:val="24"/>
          <w:lang w:val="en-US" w:eastAsia="es-ES"/>
        </w:rPr>
        <w:t>M</w:t>
      </w:r>
      <w:r w:rsidR="00AF25D5" w:rsidRPr="001625BA">
        <w:rPr>
          <w:rFonts w:ascii="Times New Roman" w:eastAsia="Cambria" w:hAnsi="Times New Roman" w:cs="Times New Roman"/>
          <w:b/>
          <w:color w:val="000000"/>
          <w:sz w:val="24"/>
          <w:szCs w:val="24"/>
          <w:lang w:val="en-US" w:eastAsia="es-ES"/>
        </w:rPr>
        <w:t>ATHERIAL AND M</w:t>
      </w:r>
      <w:r w:rsidRPr="001625BA">
        <w:rPr>
          <w:rFonts w:ascii="Times New Roman" w:eastAsia="Cambria" w:hAnsi="Times New Roman" w:cs="Times New Roman"/>
          <w:b/>
          <w:color w:val="000000"/>
          <w:sz w:val="24"/>
          <w:szCs w:val="24"/>
          <w:lang w:val="en-US" w:eastAsia="es-ES"/>
        </w:rPr>
        <w:t>ETHODS</w:t>
      </w:r>
    </w:p>
    <w:p w14:paraId="1BD34427" w14:textId="77777777" w:rsidR="00352DE9" w:rsidRPr="001625BA" w:rsidRDefault="00352DE9" w:rsidP="00716633">
      <w:pPr>
        <w:pBdr>
          <w:top w:val="nil"/>
          <w:left w:val="nil"/>
          <w:bottom w:val="nil"/>
          <w:right w:val="nil"/>
          <w:between w:val="nil"/>
          <w:bar w:val="nil"/>
        </w:pBdr>
        <w:spacing w:after="0" w:line="480" w:lineRule="auto"/>
        <w:jc w:val="both"/>
        <w:rPr>
          <w:rFonts w:ascii="Times New Roman" w:eastAsia="Arial Unicode MS" w:hAnsi="Times New Roman" w:cs="Times New Roman"/>
          <w:b/>
          <w:color w:val="000000"/>
          <w:sz w:val="24"/>
          <w:szCs w:val="24"/>
          <w:u w:color="000000"/>
          <w:bdr w:val="nil"/>
          <w:lang w:val="en-US" w:eastAsia="es-ES_tradnl"/>
          <w14:textOutline w14:w="12700" w14:cap="flat" w14:cmpd="sng" w14:algn="ctr">
            <w14:noFill/>
            <w14:prstDash w14:val="solid"/>
            <w14:miter w14:lim="400000"/>
          </w14:textOutline>
        </w:rPr>
      </w:pPr>
      <w:r w:rsidRPr="001625BA">
        <w:rPr>
          <w:rFonts w:ascii="Times New Roman" w:eastAsia="Arial Unicode MS" w:hAnsi="Times New Roman" w:cs="Times New Roman"/>
          <w:b/>
          <w:color w:val="000000"/>
          <w:sz w:val="24"/>
          <w:szCs w:val="24"/>
          <w:u w:color="000000"/>
          <w:bdr w:val="nil"/>
          <w:lang w:val="en-US" w:eastAsia="es-ES_tradnl"/>
          <w14:textOutline w14:w="12700" w14:cap="flat" w14:cmpd="sng" w14:algn="ctr">
            <w14:noFill/>
            <w14:prstDash w14:val="solid"/>
            <w14:miter w14:lim="400000"/>
          </w14:textOutline>
        </w:rPr>
        <w:t>Study patients</w:t>
      </w:r>
    </w:p>
    <w:p w14:paraId="12EA5B38" w14:textId="7401E768" w:rsidR="00352DE9" w:rsidRPr="001625BA" w:rsidRDefault="00352DE9" w:rsidP="00352DE9">
      <w:pPr>
        <w:pBdr>
          <w:top w:val="nil"/>
          <w:left w:val="nil"/>
          <w:bottom w:val="nil"/>
          <w:right w:val="nil"/>
          <w:between w:val="nil"/>
          <w:bar w:val="nil"/>
        </w:pBdr>
        <w:spacing w:after="120" w:line="480" w:lineRule="auto"/>
        <w:jc w:val="both"/>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pPr>
      <w:r w:rsidRPr="001625BA">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t>The two patients were recruited immediately upon arrival to the Emergency Department of La Paz University Hospital</w:t>
      </w:r>
      <w:r w:rsidR="00491B8B" w:rsidRPr="001625BA">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t xml:space="preserve"> (</w:t>
      </w:r>
      <w:r w:rsidR="00240365">
        <w:rPr>
          <w:rFonts w:ascii="Times New Roman" w:eastAsia="Arial Unicode MS" w:hAnsi="Times New Roman" w:cs="Times New Roman"/>
          <w:b/>
          <w:color w:val="000000"/>
          <w:sz w:val="24"/>
          <w:szCs w:val="24"/>
          <w:u w:color="000000"/>
          <w:bdr w:val="nil"/>
          <w:lang w:val="en-US" w:eastAsia="es-ES_tradnl"/>
          <w14:textOutline w14:w="12700" w14:cap="flat" w14:cmpd="sng" w14:algn="ctr">
            <w14:noFill/>
            <w14:prstDash w14:val="solid"/>
            <w14:miter w14:lim="400000"/>
          </w14:textOutline>
        </w:rPr>
        <w:t>Figure</w:t>
      </w:r>
      <w:r w:rsidR="00491B8B" w:rsidRPr="001625BA">
        <w:rPr>
          <w:rFonts w:ascii="Times New Roman" w:eastAsia="Arial Unicode MS" w:hAnsi="Times New Roman" w:cs="Times New Roman"/>
          <w:b/>
          <w:color w:val="000000"/>
          <w:sz w:val="24"/>
          <w:szCs w:val="24"/>
          <w:u w:color="000000"/>
          <w:bdr w:val="nil"/>
          <w:lang w:val="en-US" w:eastAsia="es-ES_tradnl"/>
          <w14:textOutline w14:w="12700" w14:cap="flat" w14:cmpd="sng" w14:algn="ctr">
            <w14:noFill/>
            <w14:prstDash w14:val="solid"/>
            <w14:miter w14:lim="400000"/>
          </w14:textOutline>
        </w:rPr>
        <w:t xml:space="preserve"> 1</w:t>
      </w:r>
      <w:r w:rsidR="00491B8B" w:rsidRPr="001625BA">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t>)</w:t>
      </w:r>
      <w:r w:rsidRPr="001625BA">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t xml:space="preserve">. As controls, </w:t>
      </w:r>
      <w:r w:rsidR="009A03DB" w:rsidRPr="001625BA">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t>10</w:t>
      </w:r>
      <w:r w:rsidR="00A02601" w:rsidRPr="001625BA">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t xml:space="preserve"> </w:t>
      </w:r>
      <w:r w:rsidRPr="001625BA">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t>healthy volunteers were recruited</w:t>
      </w:r>
      <w:r w:rsidR="00491B8B" w:rsidRPr="001625BA">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t xml:space="preserve"> (</w:t>
      </w:r>
      <w:r w:rsidR="00491B8B" w:rsidRPr="001625BA">
        <w:rPr>
          <w:rFonts w:ascii="Times New Roman" w:eastAsia="Arial Unicode MS" w:hAnsi="Times New Roman" w:cs="Times New Roman"/>
          <w:b/>
          <w:color w:val="000000"/>
          <w:sz w:val="24"/>
          <w:szCs w:val="24"/>
          <w:u w:color="000000"/>
          <w:bdr w:val="nil"/>
          <w:lang w:val="en-US" w:eastAsia="es-ES_tradnl"/>
          <w14:textOutline w14:w="12700" w14:cap="flat" w14:cmpd="sng" w14:algn="ctr">
            <w14:noFill/>
            <w14:prstDash w14:val="solid"/>
            <w14:miter w14:lim="400000"/>
          </w14:textOutline>
        </w:rPr>
        <w:t xml:space="preserve">Table </w:t>
      </w:r>
      <w:r w:rsidR="00240365">
        <w:rPr>
          <w:rFonts w:ascii="Times New Roman" w:eastAsia="Arial Unicode MS" w:hAnsi="Times New Roman" w:cs="Times New Roman"/>
          <w:b/>
          <w:color w:val="000000"/>
          <w:sz w:val="24"/>
          <w:szCs w:val="24"/>
          <w:u w:color="000000"/>
          <w:bdr w:val="nil"/>
          <w:lang w:val="en-US" w:eastAsia="es-ES_tradnl"/>
          <w14:textOutline w14:w="12700" w14:cap="flat" w14:cmpd="sng" w14:algn="ctr">
            <w14:noFill/>
            <w14:prstDash w14:val="solid"/>
            <w14:miter w14:lim="400000"/>
          </w14:textOutline>
        </w:rPr>
        <w:t>1</w:t>
      </w:r>
      <w:r w:rsidR="00491B8B" w:rsidRPr="001625BA">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t>)</w:t>
      </w:r>
      <w:r w:rsidRPr="001625BA">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t xml:space="preserve">. All patients and healthy controls signed an informed consent, and the data were treated according to the recommended confidentiality criteria and following the ethical guidelines of the 1975 Declaration of Helsinki. </w:t>
      </w:r>
    </w:p>
    <w:p w14:paraId="295AF2E0" w14:textId="77777777" w:rsidR="00491B8B" w:rsidRPr="001625BA" w:rsidRDefault="00491B8B" w:rsidP="00352DE9">
      <w:pPr>
        <w:pBdr>
          <w:top w:val="nil"/>
          <w:left w:val="nil"/>
          <w:bottom w:val="nil"/>
          <w:right w:val="nil"/>
          <w:between w:val="nil"/>
          <w:bar w:val="nil"/>
        </w:pBdr>
        <w:spacing w:after="120" w:line="480" w:lineRule="auto"/>
        <w:jc w:val="both"/>
        <w:rPr>
          <w:rFonts w:ascii="Times New Roman" w:eastAsia="Arial Unicode MS" w:hAnsi="Times New Roman" w:cs="Times New Roman"/>
          <w:b/>
          <w:color w:val="000000"/>
          <w:sz w:val="24"/>
          <w:szCs w:val="24"/>
          <w:u w:color="000000"/>
          <w:bdr w:val="nil"/>
          <w:lang w:val="en-US" w:eastAsia="es-ES_tradnl"/>
          <w14:textOutline w14:w="12700" w14:cap="flat" w14:cmpd="sng" w14:algn="ctr">
            <w14:noFill/>
            <w14:prstDash w14:val="solid"/>
            <w14:miter w14:lim="400000"/>
          </w14:textOutline>
        </w:rPr>
      </w:pPr>
      <w:r w:rsidRPr="001625BA">
        <w:rPr>
          <w:rFonts w:ascii="Times New Roman" w:eastAsia="Arial Unicode MS" w:hAnsi="Times New Roman" w:cs="Times New Roman"/>
          <w:b/>
          <w:color w:val="000000"/>
          <w:sz w:val="24"/>
          <w:szCs w:val="24"/>
          <w:u w:color="000000"/>
          <w:bdr w:val="nil"/>
          <w:lang w:val="en-US" w:eastAsia="es-ES_tradnl"/>
          <w14:textOutline w14:w="12700" w14:cap="flat" w14:cmpd="sng" w14:algn="ctr">
            <w14:noFill/>
            <w14:prstDash w14:val="solid"/>
            <w14:miter w14:lim="400000"/>
          </w14:textOutline>
        </w:rPr>
        <w:t>Retrospective analysis</w:t>
      </w:r>
    </w:p>
    <w:p w14:paraId="5D2572FF" w14:textId="1F4B58D7" w:rsidR="00491B8B" w:rsidRPr="001625BA" w:rsidRDefault="008B5C08" w:rsidP="00352DE9">
      <w:pPr>
        <w:pBdr>
          <w:top w:val="nil"/>
          <w:left w:val="nil"/>
          <w:bottom w:val="nil"/>
          <w:right w:val="nil"/>
          <w:between w:val="nil"/>
          <w:bar w:val="nil"/>
        </w:pBdr>
        <w:spacing w:after="120" w:line="480" w:lineRule="auto"/>
        <w:jc w:val="both"/>
        <w:rPr>
          <w:rFonts w:ascii="Times New Roman" w:eastAsia="Arial Unicode MS" w:hAnsi="Times New Roman" w:cs="Times New Roman"/>
          <w:b/>
          <w:color w:val="000000"/>
          <w:sz w:val="24"/>
          <w:szCs w:val="24"/>
          <w:u w:color="000000"/>
          <w:bdr w:val="nil"/>
          <w:lang w:val="en-US" w:eastAsia="es-ES_tradnl"/>
          <w14:textOutline w14:w="12700" w14:cap="flat" w14:cmpd="sng" w14:algn="ctr">
            <w14:noFill/>
            <w14:prstDash w14:val="solid"/>
            <w14:miter w14:lim="400000"/>
          </w14:textOutline>
        </w:rPr>
      </w:pPr>
      <w:r w:rsidRPr="001625BA">
        <w:rPr>
          <w:rFonts w:ascii="Times New Roman" w:eastAsia="Cambria" w:hAnsi="Times New Roman" w:cs="Times New Roman"/>
          <w:color w:val="000000"/>
          <w:sz w:val="24"/>
          <w:szCs w:val="24"/>
          <w:lang w:val="en-US"/>
        </w:rPr>
        <w:t xml:space="preserve">Plasma samples and viability frozen peripheral blood mononuclear cells </w:t>
      </w:r>
      <w:r w:rsidR="00491B8B" w:rsidRPr="001625BA">
        <w:rPr>
          <w:rFonts w:ascii="Times New Roman" w:eastAsia="Cambria" w:hAnsi="Times New Roman" w:cs="Times New Roman"/>
          <w:color w:val="000000"/>
          <w:sz w:val="24"/>
          <w:szCs w:val="24"/>
          <w:lang w:val="en-US"/>
        </w:rPr>
        <w:t xml:space="preserve">from fifty-seven COVID-19 patients with disparate evolution were included. Blood samples taken on admission and before any treatment were stored in the Biobank of La Paz University Hospital during the first wave of the pandemic. Patients included in the study were classified according to their final outcome as survivors (n=47) or </w:t>
      </w:r>
      <w:r w:rsidR="00491B8B" w:rsidRPr="001625BA">
        <w:rPr>
          <w:rFonts w:ascii="Times New Roman" w:eastAsia="Cambria" w:hAnsi="Times New Roman" w:cs="Times New Roman"/>
          <w:i/>
          <w:color w:val="000000"/>
          <w:sz w:val="24"/>
          <w:szCs w:val="24"/>
          <w:lang w:val="en-US"/>
        </w:rPr>
        <w:t xml:space="preserve">exitus </w:t>
      </w:r>
      <w:r w:rsidR="00491B8B" w:rsidRPr="001625BA">
        <w:rPr>
          <w:rFonts w:ascii="Times New Roman" w:eastAsia="Cambria" w:hAnsi="Times New Roman" w:cs="Times New Roman"/>
          <w:color w:val="000000"/>
          <w:sz w:val="24"/>
          <w:szCs w:val="24"/>
          <w:lang w:val="en-US"/>
        </w:rPr>
        <w:t xml:space="preserve">(n=10). Additionally, </w:t>
      </w:r>
      <w:r w:rsidR="009A03DB" w:rsidRPr="001625BA">
        <w:rPr>
          <w:rFonts w:ascii="Times New Roman" w:eastAsia="Cambria" w:hAnsi="Times New Roman" w:cs="Times New Roman"/>
          <w:color w:val="000000"/>
          <w:sz w:val="24"/>
          <w:szCs w:val="24"/>
          <w:lang w:val="en-US"/>
        </w:rPr>
        <w:t xml:space="preserve">new </w:t>
      </w:r>
      <w:r w:rsidR="00491B8B" w:rsidRPr="001625BA">
        <w:rPr>
          <w:rFonts w:ascii="Times New Roman" w:eastAsia="Cambria" w:hAnsi="Times New Roman" w:cs="Times New Roman"/>
          <w:color w:val="000000"/>
          <w:sz w:val="24"/>
          <w:szCs w:val="24"/>
          <w:lang w:val="en-US"/>
        </w:rPr>
        <w:t>healthy volunteers (n=15) were also included (</w:t>
      </w:r>
      <w:r w:rsidR="0001256B" w:rsidRPr="001625BA">
        <w:rPr>
          <w:rFonts w:ascii="Times New Roman" w:eastAsia="Cambria" w:hAnsi="Times New Roman" w:cs="Times New Roman"/>
          <w:b/>
          <w:color w:val="000000"/>
          <w:sz w:val="24"/>
          <w:szCs w:val="24"/>
          <w:lang w:val="en-US"/>
        </w:rPr>
        <w:t>S</w:t>
      </w:r>
      <w:r w:rsidR="00491B8B" w:rsidRPr="001625BA">
        <w:rPr>
          <w:rFonts w:ascii="Times New Roman" w:eastAsia="Cambria" w:hAnsi="Times New Roman" w:cs="Times New Roman"/>
          <w:b/>
          <w:color w:val="000000"/>
          <w:sz w:val="24"/>
          <w:szCs w:val="24"/>
          <w:lang w:val="en-US"/>
        </w:rPr>
        <w:t>upplementary Table</w:t>
      </w:r>
      <w:r w:rsidR="00491B8B" w:rsidRPr="001625BA">
        <w:rPr>
          <w:rFonts w:ascii="Times New Roman" w:eastAsia="Cambria" w:hAnsi="Times New Roman" w:cs="Times New Roman"/>
          <w:color w:val="000000"/>
          <w:sz w:val="24"/>
          <w:szCs w:val="24"/>
          <w:lang w:val="en-US"/>
        </w:rPr>
        <w:t xml:space="preserve"> </w:t>
      </w:r>
      <w:r w:rsidR="00491B8B" w:rsidRPr="001625BA">
        <w:rPr>
          <w:rFonts w:ascii="Times New Roman" w:eastAsia="Cambria" w:hAnsi="Times New Roman" w:cs="Times New Roman"/>
          <w:b/>
          <w:color w:val="000000"/>
          <w:sz w:val="24"/>
          <w:szCs w:val="24"/>
          <w:lang w:val="en-US"/>
        </w:rPr>
        <w:t>1</w:t>
      </w:r>
      <w:r w:rsidR="00491B8B" w:rsidRPr="001625BA">
        <w:rPr>
          <w:rFonts w:ascii="Times New Roman" w:eastAsia="Cambria" w:hAnsi="Times New Roman" w:cs="Times New Roman"/>
          <w:color w:val="000000"/>
          <w:sz w:val="24"/>
          <w:szCs w:val="24"/>
          <w:lang w:val="en-US"/>
        </w:rPr>
        <w:t xml:space="preserve">).  </w:t>
      </w:r>
      <w:r w:rsidR="002E6328" w:rsidRPr="001625BA">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t>All patients and healthy controls signed an informed consent, and the data were treated according to the recommended confidentiality criteria and following the ethical guidelines of the 1975 Declaration of Helsinki.</w:t>
      </w:r>
    </w:p>
    <w:p w14:paraId="43BA3F05" w14:textId="77777777" w:rsidR="00352DE9" w:rsidRPr="001625BA" w:rsidRDefault="00352DE9" w:rsidP="00716633">
      <w:pPr>
        <w:pBdr>
          <w:top w:val="nil"/>
          <w:left w:val="nil"/>
          <w:bottom w:val="nil"/>
          <w:right w:val="nil"/>
          <w:between w:val="nil"/>
          <w:bar w:val="nil"/>
        </w:pBdr>
        <w:spacing w:after="0" w:line="480" w:lineRule="auto"/>
        <w:jc w:val="both"/>
        <w:rPr>
          <w:rFonts w:ascii="Times New Roman" w:eastAsia="Arial Unicode MS" w:hAnsi="Times New Roman" w:cs="Times New Roman"/>
          <w:b/>
          <w:color w:val="000000"/>
          <w:sz w:val="24"/>
          <w:szCs w:val="24"/>
          <w:u w:color="000000"/>
          <w:bdr w:val="nil"/>
          <w:lang w:val="en-US" w:eastAsia="es-ES_tradnl"/>
          <w14:textOutline w14:w="12700" w14:cap="flat" w14:cmpd="sng" w14:algn="ctr">
            <w14:noFill/>
            <w14:prstDash w14:val="solid"/>
            <w14:miter w14:lim="400000"/>
          </w14:textOutline>
        </w:rPr>
      </w:pPr>
      <w:r w:rsidRPr="001625BA">
        <w:rPr>
          <w:rFonts w:ascii="Times New Roman" w:eastAsia="Arial Unicode MS" w:hAnsi="Times New Roman" w:cs="Times New Roman"/>
          <w:b/>
          <w:color w:val="000000"/>
          <w:sz w:val="24"/>
          <w:szCs w:val="24"/>
          <w:u w:color="000000"/>
          <w:bdr w:val="nil"/>
          <w:lang w:val="en-US" w:eastAsia="es-ES_tradnl"/>
          <w14:textOutline w14:w="12700" w14:cap="flat" w14:cmpd="sng" w14:algn="ctr">
            <w14:noFill/>
            <w14:prstDash w14:val="solid"/>
            <w14:miter w14:lim="400000"/>
          </w14:textOutline>
        </w:rPr>
        <w:t>Whole blood sample preparation and plasma collection</w:t>
      </w:r>
    </w:p>
    <w:p w14:paraId="5B108E30" w14:textId="77777777" w:rsidR="00352DE9" w:rsidRPr="001625BA" w:rsidRDefault="00352DE9" w:rsidP="00352DE9">
      <w:pPr>
        <w:pBdr>
          <w:top w:val="nil"/>
          <w:left w:val="nil"/>
          <w:bottom w:val="nil"/>
          <w:right w:val="nil"/>
          <w:between w:val="nil"/>
          <w:bar w:val="nil"/>
        </w:pBdr>
        <w:spacing w:after="120" w:line="480" w:lineRule="auto"/>
        <w:jc w:val="both"/>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pPr>
      <w:r w:rsidRPr="001625BA">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t xml:space="preserve">Blood samples were collected in BD Vacutainer® CPT™ Sodium Heparin and BD Vacutainer ® Lithium Heparin PST tubes. For plasma isolation, CPT tubes containing the blood were centrifuged at room temperature for 15 min at a relative centrifugal force of 1800. Plasma samples were stored at -80º C until analysis. For leukocyte cell isolation, 0.5 mL of blood from the lithium heparin PST tube were treated with BD FACS lysing </w:t>
      </w:r>
      <w:r w:rsidRPr="001625BA">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lastRenderedPageBreak/>
        <w:t>solution (BD Biosciences) for red blood cell lysis. After that, the samples were washed twice with phosphate-buffered saline</w:t>
      </w:r>
      <w:r w:rsidRPr="001625BA" w:rsidDel="004E187D">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t xml:space="preserve"> </w:t>
      </w:r>
      <w:r w:rsidRPr="001625BA">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t>and stored at 4 ºC until analyzed by flow cytometry.</w:t>
      </w:r>
    </w:p>
    <w:p w14:paraId="252BAC71" w14:textId="77777777" w:rsidR="00352DE9" w:rsidRPr="001625BA" w:rsidRDefault="00352DE9" w:rsidP="00352DE9">
      <w:pPr>
        <w:pBdr>
          <w:top w:val="nil"/>
          <w:left w:val="nil"/>
          <w:bottom w:val="nil"/>
          <w:right w:val="nil"/>
          <w:between w:val="nil"/>
          <w:bar w:val="nil"/>
        </w:pBdr>
        <w:spacing w:after="120" w:line="480" w:lineRule="auto"/>
        <w:jc w:val="both"/>
        <w:rPr>
          <w:rFonts w:ascii="Times New Roman" w:eastAsia="Arial Unicode MS" w:hAnsi="Times New Roman" w:cs="Times New Roman"/>
          <w:b/>
          <w:color w:val="000000"/>
          <w:sz w:val="24"/>
          <w:szCs w:val="24"/>
          <w:u w:color="000000"/>
          <w:bdr w:val="nil"/>
          <w:lang w:val="en-US" w:eastAsia="es-ES_tradnl"/>
          <w14:textOutline w14:w="12700" w14:cap="flat" w14:cmpd="sng" w14:algn="ctr">
            <w14:noFill/>
            <w14:prstDash w14:val="solid"/>
            <w14:miter w14:lim="400000"/>
          </w14:textOutline>
        </w:rPr>
      </w:pPr>
      <w:r w:rsidRPr="001625BA">
        <w:rPr>
          <w:rFonts w:ascii="Times New Roman" w:eastAsia="Arial Unicode MS" w:hAnsi="Times New Roman" w:cs="Times New Roman"/>
          <w:b/>
          <w:color w:val="000000"/>
          <w:sz w:val="24"/>
          <w:szCs w:val="24"/>
          <w:u w:color="000000"/>
          <w:bdr w:val="nil"/>
          <w:lang w:val="en-US" w:eastAsia="es-ES_tradnl"/>
          <w14:textOutline w14:w="12700" w14:cap="flat" w14:cmpd="sng" w14:algn="ctr">
            <w14:noFill/>
            <w14:prstDash w14:val="solid"/>
            <w14:miter w14:lim="400000"/>
          </w14:textOutline>
        </w:rPr>
        <w:t xml:space="preserve">Cytokine and soluble </w:t>
      </w:r>
      <w:r w:rsidRPr="001625BA">
        <w:rPr>
          <w:rFonts w:ascii="Times New Roman" w:eastAsia="Times New Roman" w:hAnsi="Times New Roman" w:cs="Times New Roman"/>
          <w:b/>
          <w:color w:val="000000"/>
          <w:sz w:val="24"/>
          <w:szCs w:val="24"/>
          <w:lang w:val="en-US" w:eastAsia="es-ES"/>
        </w:rPr>
        <w:t>immune checkpoints</w:t>
      </w:r>
      <w:r w:rsidRPr="001625BA">
        <w:rPr>
          <w:rFonts w:ascii="Times New Roman" w:eastAsia="Arial Unicode MS" w:hAnsi="Times New Roman" w:cs="Times New Roman"/>
          <w:b/>
          <w:color w:val="000000"/>
          <w:sz w:val="24"/>
          <w:szCs w:val="24"/>
          <w:u w:color="000000"/>
          <w:bdr w:val="nil"/>
          <w:lang w:val="en-US" w:eastAsia="es-ES_tradnl"/>
          <w14:textOutline w14:w="12700" w14:cap="flat" w14:cmpd="sng" w14:algn="ctr">
            <w14:noFill/>
            <w14:prstDash w14:val="solid"/>
            <w14:miter w14:lim="400000"/>
          </w14:textOutline>
        </w:rPr>
        <w:t xml:space="preserve"> quantification</w:t>
      </w:r>
    </w:p>
    <w:p w14:paraId="17833F33" w14:textId="77777777" w:rsidR="00352DE9" w:rsidRPr="001625BA" w:rsidRDefault="00352DE9" w:rsidP="00352DE9">
      <w:pPr>
        <w:pBdr>
          <w:top w:val="nil"/>
          <w:left w:val="nil"/>
          <w:bottom w:val="nil"/>
          <w:right w:val="nil"/>
          <w:between w:val="nil"/>
          <w:bar w:val="nil"/>
        </w:pBdr>
        <w:spacing w:after="120" w:line="480" w:lineRule="auto"/>
        <w:jc w:val="both"/>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pPr>
      <w:r w:rsidRPr="001625BA">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t xml:space="preserve">The IL-6 and IL-17 levels in the patients and healthy volunteers’ plasma were measured by using the Cytometric Bead Array (CBA) Human Th1/Th2/Th17 Cytokine Kit from BD Biosciences. The levels of soluble Galectin-9, PD-L1, PD-1, LAG-3, CTLA-4, 4-1BB, and CD86 in the patients and healthy volunteers’ plasma were measured by using </w:t>
      </w:r>
      <w:proofErr w:type="spellStart"/>
      <w:r w:rsidRPr="001625BA">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t>LEGENDplex</w:t>
      </w:r>
      <w:proofErr w:type="spellEnd"/>
      <w:r w:rsidRPr="001625BA">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t xml:space="preserve">™ HU Immune Checkpoint Panel 1 from </w:t>
      </w:r>
      <w:proofErr w:type="spellStart"/>
      <w:r w:rsidRPr="001625BA">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t>BioLegend</w:t>
      </w:r>
      <w:proofErr w:type="spellEnd"/>
      <w:r w:rsidRPr="001625BA">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t xml:space="preserve">. Samples were acquired in </w:t>
      </w:r>
      <w:proofErr w:type="spellStart"/>
      <w:r w:rsidRPr="001625BA">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t>FACSCalibur</w:t>
      </w:r>
      <w:proofErr w:type="spellEnd"/>
      <w:r w:rsidRPr="001625BA">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t xml:space="preserve"> (BD Biosciences) flow cytometers, and the data was analyzed using FCAP Array Software v3.0 (BD Biosciences) and </w:t>
      </w:r>
      <w:proofErr w:type="spellStart"/>
      <w:r w:rsidRPr="001625BA">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t>LEGENDplex</w:t>
      </w:r>
      <w:proofErr w:type="spellEnd"/>
      <w:r w:rsidRPr="001625BA">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t>™ Software v8 (</w:t>
      </w:r>
      <w:proofErr w:type="spellStart"/>
      <w:r w:rsidRPr="001625BA">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t>BioLegend</w:t>
      </w:r>
      <w:proofErr w:type="spellEnd"/>
      <w:r w:rsidRPr="001625BA">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t>).</w:t>
      </w:r>
    </w:p>
    <w:p w14:paraId="211C3A55" w14:textId="77777777" w:rsidR="00352DE9" w:rsidRPr="001625BA" w:rsidRDefault="00352DE9" w:rsidP="00716633">
      <w:pPr>
        <w:pBdr>
          <w:top w:val="nil"/>
          <w:left w:val="nil"/>
          <w:bottom w:val="nil"/>
          <w:right w:val="nil"/>
          <w:between w:val="nil"/>
          <w:bar w:val="nil"/>
        </w:pBdr>
        <w:spacing w:after="0" w:line="480" w:lineRule="auto"/>
        <w:jc w:val="both"/>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pPr>
      <w:r w:rsidRPr="001625BA">
        <w:rPr>
          <w:rFonts w:ascii="Times New Roman" w:eastAsia="Arial Unicode MS" w:hAnsi="Times New Roman" w:cs="Times New Roman"/>
          <w:b/>
          <w:color w:val="000000"/>
          <w:sz w:val="24"/>
          <w:szCs w:val="24"/>
          <w:u w:color="000000"/>
          <w:bdr w:val="nil"/>
          <w:lang w:val="en-US" w:eastAsia="es-ES_tradnl"/>
          <w14:textOutline w14:w="12700" w14:cap="flat" w14:cmpd="sng" w14:algn="ctr">
            <w14:noFill/>
            <w14:prstDash w14:val="solid"/>
            <w14:miter w14:lim="400000"/>
          </w14:textOutline>
        </w:rPr>
        <w:t>Antibodies and flow spectral cytometry analysis</w:t>
      </w:r>
    </w:p>
    <w:p w14:paraId="52F68833" w14:textId="77777777" w:rsidR="00352DE9" w:rsidRPr="001625BA" w:rsidRDefault="00352DE9" w:rsidP="00352DE9">
      <w:pPr>
        <w:pBdr>
          <w:top w:val="nil"/>
          <w:left w:val="nil"/>
          <w:bottom w:val="nil"/>
          <w:right w:val="nil"/>
          <w:between w:val="nil"/>
          <w:bar w:val="nil"/>
        </w:pBdr>
        <w:spacing w:after="120" w:line="480" w:lineRule="auto"/>
        <w:jc w:val="both"/>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pPr>
      <w:r w:rsidRPr="001625BA">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t>The FACS analysis was performed using specific human antibodies to the following surface molecules: CD3-Spark Blue 550, CD4-Brilliant Violet (BV) 570, CD16-BV510, CD14-Alexa Fluor® 488, CD56-BV750, CD3-BV510, CD14-Spark Blue-550, CD27-Allophycocyanin (APC), CD45-Peridin-Chlorophyll-protein (</w:t>
      </w:r>
      <w:proofErr w:type="spellStart"/>
      <w:r w:rsidRPr="001625BA">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t>PerCP</w:t>
      </w:r>
      <w:proofErr w:type="spellEnd"/>
      <w:r w:rsidRPr="001625BA">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t xml:space="preserve">), CD57-Fluorescein (FITC), CD95-Phycoerythrin (PE)-Cyanine (Cy)-5, HLA-DR-APC/Fire750, PD-1-BV785, PD-L1-PE (all 14 from </w:t>
      </w:r>
      <w:proofErr w:type="spellStart"/>
      <w:r w:rsidRPr="001625BA">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t>BioLegend</w:t>
      </w:r>
      <w:proofErr w:type="spellEnd"/>
      <w:r w:rsidRPr="001625BA">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t xml:space="preserve">), HLA-DR-Brilliant </w:t>
      </w:r>
      <w:proofErr w:type="spellStart"/>
      <w:r w:rsidRPr="001625BA">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t>UltraViolet</w:t>
      </w:r>
      <w:proofErr w:type="spellEnd"/>
      <w:r w:rsidRPr="001625BA">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t xml:space="preserve"> (BUV) 496, CD8-BUV805, CD16-BUV496, CD45RA-BUV395 and CD56-BUV737 (all 5 from BD Biosciences) and CD4-CF568 (from </w:t>
      </w:r>
      <w:proofErr w:type="spellStart"/>
      <w:r w:rsidRPr="001625BA">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t>Cytek</w:t>
      </w:r>
      <w:proofErr w:type="spellEnd"/>
      <w:r w:rsidRPr="001625BA">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t xml:space="preserve"> Biosciences).</w:t>
      </w:r>
    </w:p>
    <w:p w14:paraId="56D3E4A4" w14:textId="77777777" w:rsidR="00352DE9" w:rsidRPr="001625BA" w:rsidRDefault="00352DE9" w:rsidP="00352DE9">
      <w:pPr>
        <w:pBdr>
          <w:top w:val="nil"/>
          <w:left w:val="nil"/>
          <w:bottom w:val="nil"/>
          <w:right w:val="nil"/>
          <w:between w:val="nil"/>
          <w:bar w:val="nil"/>
        </w:pBdr>
        <w:spacing w:after="120" w:line="480" w:lineRule="auto"/>
        <w:jc w:val="both"/>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pPr>
      <w:r w:rsidRPr="001625BA">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t xml:space="preserve">Cells were stained with proper antibodies for 30 min at 4 ºC in the dark and washed once with phosphate buffer saline. Unlabeled cells were used as negative controls. Samples were acquired in </w:t>
      </w:r>
      <w:proofErr w:type="spellStart"/>
      <w:r w:rsidRPr="001625BA">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t>Cytek</w:t>
      </w:r>
      <w:proofErr w:type="spellEnd"/>
      <w:r w:rsidRPr="001625BA">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t>™ Aurora cytometer (</w:t>
      </w:r>
      <w:proofErr w:type="spellStart"/>
      <w:r w:rsidRPr="001625BA">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t>Cytek</w:t>
      </w:r>
      <w:proofErr w:type="spellEnd"/>
      <w:r w:rsidRPr="001625BA">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t xml:space="preserve"> Biosciences), and the data were analyzed with </w:t>
      </w:r>
      <w:proofErr w:type="spellStart"/>
      <w:r w:rsidRPr="001625BA">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t>FlowJo</w:t>
      </w:r>
      <w:proofErr w:type="spellEnd"/>
      <w:r w:rsidRPr="001625BA">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t>, version 10.6.2 software (</w:t>
      </w:r>
      <w:proofErr w:type="spellStart"/>
      <w:r w:rsidRPr="001625BA">
        <w:rPr>
          <w:rFonts w:ascii="Times New Roman" w:eastAsia="Arial Unicode MS" w:hAnsi="Times New Roman" w:cs="Times New Roman"/>
          <w:color w:val="000000"/>
          <w:sz w:val="24"/>
          <w:szCs w:val="24"/>
          <w:u w:color="000000"/>
          <w:bdr w:val="nil"/>
          <w:lang w:val="en-GB" w:eastAsia="es-ES_tradnl"/>
          <w14:textOutline w14:w="12700" w14:cap="flat" w14:cmpd="sng" w14:algn="ctr">
            <w14:noFill/>
            <w14:prstDash w14:val="solid"/>
            <w14:miter w14:lim="400000"/>
          </w14:textOutline>
        </w:rPr>
        <w:t>Flowjo</w:t>
      </w:r>
      <w:proofErr w:type="spellEnd"/>
      <w:r w:rsidRPr="001625BA">
        <w:rPr>
          <w:rFonts w:ascii="Times New Roman" w:eastAsia="Arial Unicode MS" w:hAnsi="Times New Roman" w:cs="Times New Roman"/>
          <w:color w:val="000000"/>
          <w:sz w:val="24"/>
          <w:szCs w:val="24"/>
          <w:u w:color="000000"/>
          <w:bdr w:val="nil"/>
          <w:lang w:val="en-GB" w:eastAsia="es-ES_tradnl"/>
          <w14:textOutline w14:w="12700" w14:cap="flat" w14:cmpd="sng" w14:algn="ctr">
            <w14:noFill/>
            <w14:prstDash w14:val="solid"/>
            <w14:miter w14:lim="400000"/>
          </w14:textOutline>
        </w:rPr>
        <w:t>, Ashland, Oregon</w:t>
      </w:r>
      <w:r w:rsidRPr="001625BA">
        <w:rPr>
          <w:rFonts w:ascii="Times New Roman" w:eastAsia="Arial Unicode MS" w:hAnsi="Times New Roman" w:cs="Times New Roman"/>
          <w:color w:val="000000"/>
          <w:sz w:val="24"/>
          <w:szCs w:val="24"/>
          <w:u w:color="000000"/>
          <w:bdr w:val="nil"/>
          <w:lang w:val="en-US" w:eastAsia="es-ES_tradnl"/>
          <w14:textOutline w14:w="12700" w14:cap="flat" w14:cmpd="sng" w14:algn="ctr">
            <w14:noFill/>
            <w14:prstDash w14:val="solid"/>
            <w14:miter w14:lim="400000"/>
          </w14:textOutline>
        </w:rPr>
        <w:t xml:space="preserve">). </w:t>
      </w:r>
    </w:p>
    <w:p w14:paraId="00944D8E" w14:textId="0A698E4A" w:rsidR="00352DE9" w:rsidRPr="001625BA" w:rsidRDefault="00352DE9" w:rsidP="00716633">
      <w:pPr>
        <w:pBdr>
          <w:top w:val="nil"/>
          <w:left w:val="nil"/>
          <w:bottom w:val="nil"/>
          <w:right w:val="nil"/>
          <w:between w:val="nil"/>
          <w:bar w:val="nil"/>
        </w:pBdr>
        <w:spacing w:after="120" w:line="480" w:lineRule="auto"/>
        <w:jc w:val="both"/>
        <w:rPr>
          <w:rFonts w:ascii="Times New Roman" w:eastAsia="Arial Unicode MS" w:hAnsi="Times New Roman" w:cs="Times New Roman"/>
          <w:color w:val="000000"/>
          <w:sz w:val="24"/>
          <w:szCs w:val="24"/>
          <w:u w:color="000000"/>
          <w:bdr w:val="nil"/>
          <w:lang w:val="en-GB" w:eastAsia="es-ES_tradnl"/>
          <w14:textOutline w14:w="12700" w14:cap="flat" w14:cmpd="sng" w14:algn="ctr">
            <w14:noFill/>
            <w14:prstDash w14:val="solid"/>
            <w14:miter w14:lim="400000"/>
          </w14:textOutline>
        </w:rPr>
      </w:pPr>
      <w:r w:rsidRPr="001625BA">
        <w:rPr>
          <w:rFonts w:ascii="Times New Roman" w:eastAsia="Arial Unicode MS" w:hAnsi="Times New Roman" w:cs="Times New Roman"/>
          <w:color w:val="000000"/>
          <w:sz w:val="24"/>
          <w:szCs w:val="24"/>
          <w:u w:color="000000"/>
          <w:bdr w:val="nil"/>
          <w:lang w:val="en-GB" w:eastAsia="es-ES_tradnl"/>
          <w14:textOutline w14:w="12700" w14:cap="flat" w14:cmpd="sng" w14:algn="ctr">
            <w14:noFill/>
            <w14:prstDash w14:val="solid"/>
            <w14:miter w14:lim="400000"/>
          </w14:textOutline>
        </w:rPr>
        <w:lastRenderedPageBreak/>
        <w:t>A subset</w:t>
      </w:r>
      <w:r w:rsidR="00576B36" w:rsidRPr="001625BA">
        <w:rPr>
          <w:rFonts w:ascii="Times New Roman" w:eastAsia="Arial Unicode MS" w:hAnsi="Times New Roman" w:cs="Times New Roman"/>
          <w:color w:val="000000"/>
          <w:sz w:val="24"/>
          <w:szCs w:val="24"/>
          <w:u w:color="000000"/>
          <w:bdr w:val="nil"/>
          <w:lang w:val="en-GB" w:eastAsia="es-ES_tradnl"/>
          <w14:textOutline w14:w="12700" w14:cap="flat" w14:cmpd="sng" w14:algn="ctr">
            <w14:noFill/>
            <w14:prstDash w14:val="solid"/>
            <w14:miter w14:lim="400000"/>
          </w14:textOutline>
        </w:rPr>
        <w:t xml:space="preserve"> of</w:t>
      </w:r>
      <w:r w:rsidRPr="001625BA">
        <w:rPr>
          <w:rFonts w:ascii="Times New Roman" w:eastAsia="Arial Unicode MS" w:hAnsi="Times New Roman" w:cs="Times New Roman"/>
          <w:color w:val="000000"/>
          <w:sz w:val="24"/>
          <w:szCs w:val="24"/>
          <w:u w:color="000000"/>
          <w:bdr w:val="nil"/>
          <w:lang w:val="en-GB" w:eastAsia="es-ES_tradnl"/>
          <w14:textOutline w14:w="12700" w14:cap="flat" w14:cmpd="sng" w14:algn="ctr">
            <w14:noFill/>
            <w14:prstDash w14:val="solid"/>
            <w14:miter w14:lim="400000"/>
          </w14:textOutline>
        </w:rPr>
        <w:t xml:space="preserve"> T cells (CD4</w:t>
      </w:r>
      <w:r w:rsidRPr="001625BA">
        <w:rPr>
          <w:rFonts w:ascii="Times New Roman" w:eastAsia="Arial Unicode MS" w:hAnsi="Times New Roman" w:cs="Times New Roman"/>
          <w:color w:val="000000"/>
          <w:sz w:val="24"/>
          <w:szCs w:val="24"/>
          <w:u w:color="000000"/>
          <w:bdr w:val="nil"/>
          <w:vertAlign w:val="superscript"/>
          <w:lang w:val="en-GB" w:eastAsia="es-ES_tradnl"/>
          <w14:textOutline w14:w="12700" w14:cap="flat" w14:cmpd="sng" w14:algn="ctr">
            <w14:noFill/>
            <w14:prstDash w14:val="solid"/>
            <w14:miter w14:lim="400000"/>
          </w14:textOutline>
        </w:rPr>
        <w:t>+</w:t>
      </w:r>
      <w:r w:rsidRPr="001625BA">
        <w:rPr>
          <w:rFonts w:ascii="Times New Roman" w:eastAsia="Arial Unicode MS" w:hAnsi="Times New Roman" w:cs="Times New Roman"/>
          <w:color w:val="000000"/>
          <w:sz w:val="24"/>
          <w:szCs w:val="24"/>
          <w:u w:color="000000"/>
          <w:bdr w:val="nil"/>
          <w:lang w:val="en-GB" w:eastAsia="es-ES_tradnl"/>
          <w14:textOutline w14:w="12700" w14:cap="flat" w14:cmpd="sng" w14:algn="ctr">
            <w14:noFill/>
            <w14:prstDash w14:val="solid"/>
            <w14:miter w14:lim="400000"/>
          </w14:textOutline>
        </w:rPr>
        <w:t xml:space="preserve"> and CD8</w:t>
      </w:r>
      <w:r w:rsidRPr="001625BA">
        <w:rPr>
          <w:rFonts w:ascii="Times New Roman" w:eastAsia="Arial Unicode MS" w:hAnsi="Times New Roman" w:cs="Times New Roman"/>
          <w:color w:val="000000"/>
          <w:sz w:val="24"/>
          <w:szCs w:val="24"/>
          <w:u w:color="000000"/>
          <w:bdr w:val="nil"/>
          <w:vertAlign w:val="superscript"/>
          <w:lang w:val="en-GB" w:eastAsia="es-ES_tradnl"/>
          <w14:textOutline w14:w="12700" w14:cap="flat" w14:cmpd="sng" w14:algn="ctr">
            <w14:noFill/>
            <w14:prstDash w14:val="solid"/>
            <w14:miter w14:lim="400000"/>
          </w14:textOutline>
        </w:rPr>
        <w:t>+</w:t>
      </w:r>
      <w:r w:rsidRPr="001625BA">
        <w:rPr>
          <w:rFonts w:ascii="Times New Roman" w:eastAsia="Arial Unicode MS" w:hAnsi="Times New Roman" w:cs="Times New Roman"/>
          <w:color w:val="000000"/>
          <w:sz w:val="24"/>
          <w:szCs w:val="24"/>
          <w:u w:color="000000"/>
          <w:bdr w:val="nil"/>
          <w:lang w:val="en-GB" w:eastAsia="es-ES_tradnl"/>
          <w14:textOutline w14:w="12700" w14:cap="flat" w14:cmpd="sng" w14:algn="ctr">
            <w14:noFill/>
            <w14:prstDash w14:val="solid"/>
            <w14:miter w14:lim="400000"/>
          </w14:textOutline>
        </w:rPr>
        <w:t xml:space="preserve"> T cells) were gated using </w:t>
      </w:r>
      <w:proofErr w:type="spellStart"/>
      <w:r w:rsidRPr="001625BA">
        <w:rPr>
          <w:rFonts w:ascii="Times New Roman" w:eastAsia="Arial Unicode MS" w:hAnsi="Times New Roman" w:cs="Times New Roman"/>
          <w:color w:val="000000"/>
          <w:sz w:val="24"/>
          <w:szCs w:val="24"/>
          <w:u w:color="000000"/>
          <w:bdr w:val="nil"/>
          <w:lang w:val="en-GB" w:eastAsia="es-ES_tradnl"/>
          <w14:textOutline w14:w="12700" w14:cap="flat" w14:cmpd="sng" w14:algn="ctr">
            <w14:noFill/>
            <w14:prstDash w14:val="solid"/>
            <w14:miter w14:lim="400000"/>
          </w14:textOutline>
        </w:rPr>
        <w:t>FlowJo</w:t>
      </w:r>
      <w:proofErr w:type="spellEnd"/>
      <w:r w:rsidRPr="001625BA">
        <w:rPr>
          <w:rFonts w:ascii="Times New Roman" w:eastAsia="Arial Unicode MS" w:hAnsi="Times New Roman" w:cs="Times New Roman"/>
          <w:color w:val="000000"/>
          <w:sz w:val="24"/>
          <w:szCs w:val="24"/>
          <w:u w:color="000000"/>
          <w:bdr w:val="nil"/>
          <w:lang w:val="en-GB" w:eastAsia="es-ES_tradnl"/>
          <w14:textOutline w14:w="12700" w14:cap="flat" w14:cmpd="sng" w14:algn="ctr">
            <w14:noFill/>
            <w14:prstDash w14:val="solid"/>
            <w14:miter w14:lim="400000"/>
          </w14:textOutline>
        </w:rPr>
        <w:t xml:space="preserve"> </w:t>
      </w:r>
      <w:proofErr w:type="spellStart"/>
      <w:r w:rsidRPr="001625BA">
        <w:rPr>
          <w:rFonts w:ascii="Times New Roman" w:eastAsia="Arial Unicode MS" w:hAnsi="Times New Roman" w:cs="Times New Roman"/>
          <w:color w:val="000000"/>
          <w:sz w:val="24"/>
          <w:szCs w:val="24"/>
          <w:u w:color="000000"/>
          <w:bdr w:val="nil"/>
          <w:lang w:val="en-GB" w:eastAsia="es-ES_tradnl"/>
          <w14:textOutline w14:w="12700" w14:cap="flat" w14:cmpd="sng" w14:algn="ctr">
            <w14:noFill/>
            <w14:prstDash w14:val="solid"/>
            <w14:miter w14:lim="400000"/>
          </w14:textOutline>
        </w:rPr>
        <w:t>FlowJo</w:t>
      </w:r>
      <w:proofErr w:type="spellEnd"/>
      <w:r w:rsidRPr="001625BA">
        <w:rPr>
          <w:rFonts w:ascii="Times New Roman" w:eastAsia="Arial Unicode MS" w:hAnsi="Times New Roman" w:cs="Times New Roman"/>
          <w:color w:val="000000"/>
          <w:sz w:val="24"/>
          <w:szCs w:val="24"/>
          <w:u w:color="000000"/>
          <w:bdr w:val="nil"/>
          <w:lang w:val="en-GB" w:eastAsia="es-ES_tradnl"/>
          <w14:textOutline w14:w="12700" w14:cap="flat" w14:cmpd="sng" w14:algn="ctr">
            <w14:noFill/>
            <w14:prstDash w14:val="solid"/>
            <w14:miter w14:lim="400000"/>
          </w14:textOutline>
        </w:rPr>
        <w:t>® software (</w:t>
      </w:r>
      <w:proofErr w:type="spellStart"/>
      <w:r w:rsidRPr="001625BA">
        <w:rPr>
          <w:rFonts w:ascii="Times New Roman" w:eastAsia="Arial Unicode MS" w:hAnsi="Times New Roman" w:cs="Times New Roman"/>
          <w:color w:val="000000"/>
          <w:sz w:val="24"/>
          <w:szCs w:val="24"/>
          <w:u w:color="000000"/>
          <w:bdr w:val="nil"/>
          <w:lang w:val="en-GB" w:eastAsia="es-ES_tradnl"/>
          <w14:textOutline w14:w="12700" w14:cap="flat" w14:cmpd="sng" w14:algn="ctr">
            <w14:noFill/>
            <w14:prstDash w14:val="solid"/>
            <w14:miter w14:lim="400000"/>
          </w14:textOutline>
        </w:rPr>
        <w:t>Flowjo</w:t>
      </w:r>
      <w:proofErr w:type="spellEnd"/>
      <w:r w:rsidRPr="001625BA">
        <w:rPr>
          <w:rFonts w:ascii="Times New Roman" w:eastAsia="Arial Unicode MS" w:hAnsi="Times New Roman" w:cs="Times New Roman"/>
          <w:color w:val="000000"/>
          <w:sz w:val="24"/>
          <w:szCs w:val="24"/>
          <w:u w:color="000000"/>
          <w:bdr w:val="nil"/>
          <w:lang w:val="en-GB" w:eastAsia="es-ES_tradnl"/>
          <w14:textOutline w14:w="12700" w14:cap="flat" w14:cmpd="sng" w14:algn="ctr">
            <w14:noFill/>
            <w14:prstDash w14:val="solid"/>
            <w14:miter w14:lim="400000"/>
          </w14:textOutline>
        </w:rPr>
        <w:t>, Ashland, Oregon). Positive gate of each marker was manually defined by CD3</w:t>
      </w:r>
      <w:r w:rsidRPr="001625BA">
        <w:rPr>
          <w:rFonts w:ascii="Times New Roman" w:eastAsia="Arial Unicode MS" w:hAnsi="Times New Roman" w:cs="Times New Roman"/>
          <w:color w:val="000000"/>
          <w:sz w:val="24"/>
          <w:szCs w:val="24"/>
          <w:u w:color="000000"/>
          <w:bdr w:val="nil"/>
          <w:vertAlign w:val="superscript"/>
          <w:lang w:val="en-GB" w:eastAsia="es-ES_tradnl"/>
          <w14:textOutline w14:w="12700" w14:cap="flat" w14:cmpd="sng" w14:algn="ctr">
            <w14:noFill/>
            <w14:prstDash w14:val="solid"/>
            <w14:miter w14:lim="400000"/>
          </w14:textOutline>
        </w:rPr>
        <w:t>+</w:t>
      </w:r>
      <w:r w:rsidRPr="001625BA">
        <w:rPr>
          <w:rFonts w:ascii="Times New Roman" w:eastAsia="Arial Unicode MS" w:hAnsi="Times New Roman" w:cs="Times New Roman"/>
          <w:color w:val="000000"/>
          <w:sz w:val="24"/>
          <w:szCs w:val="24"/>
          <w:u w:color="000000"/>
          <w:bdr w:val="nil"/>
          <w:lang w:val="en-GB" w:eastAsia="es-ES_tradnl"/>
          <w14:textOutline w14:w="12700" w14:cap="flat" w14:cmpd="sng" w14:algn="ctr">
            <w14:noFill/>
            <w14:prstDash w14:val="solid"/>
            <w14:miter w14:lim="400000"/>
          </w14:textOutline>
        </w:rPr>
        <w:t xml:space="preserve"> CD4</w:t>
      </w:r>
      <w:r w:rsidRPr="001625BA">
        <w:rPr>
          <w:rFonts w:ascii="Times New Roman" w:eastAsia="Arial Unicode MS" w:hAnsi="Times New Roman" w:cs="Times New Roman"/>
          <w:color w:val="000000"/>
          <w:sz w:val="24"/>
          <w:szCs w:val="24"/>
          <w:u w:color="000000"/>
          <w:bdr w:val="nil"/>
          <w:vertAlign w:val="superscript"/>
          <w:lang w:val="en-GB" w:eastAsia="es-ES_tradnl"/>
          <w14:textOutline w14:w="12700" w14:cap="flat" w14:cmpd="sng" w14:algn="ctr">
            <w14:noFill/>
            <w14:prstDash w14:val="solid"/>
            <w14:miter w14:lim="400000"/>
          </w14:textOutline>
        </w:rPr>
        <w:t xml:space="preserve">+ </w:t>
      </w:r>
      <w:r w:rsidRPr="001625BA">
        <w:rPr>
          <w:rFonts w:ascii="Times New Roman" w:eastAsia="Arial Unicode MS" w:hAnsi="Times New Roman" w:cs="Times New Roman"/>
          <w:color w:val="000000"/>
          <w:sz w:val="24"/>
          <w:szCs w:val="24"/>
          <w:u w:color="000000"/>
          <w:bdr w:val="nil"/>
          <w:lang w:val="en-GB" w:eastAsia="es-ES_tradnl"/>
          <w14:textOutline w14:w="12700" w14:cap="flat" w14:cmpd="sng" w14:algn="ctr">
            <w14:noFill/>
            <w14:prstDash w14:val="solid"/>
            <w14:miter w14:lim="400000"/>
          </w14:textOutline>
        </w:rPr>
        <w:t>and CD8</w:t>
      </w:r>
      <w:r w:rsidRPr="001625BA">
        <w:rPr>
          <w:rFonts w:ascii="Times New Roman" w:eastAsia="Arial Unicode MS" w:hAnsi="Times New Roman" w:cs="Times New Roman"/>
          <w:color w:val="000000"/>
          <w:sz w:val="24"/>
          <w:szCs w:val="24"/>
          <w:u w:color="000000"/>
          <w:bdr w:val="nil"/>
          <w:vertAlign w:val="superscript"/>
          <w:lang w:val="en-GB" w:eastAsia="es-ES_tradnl"/>
          <w14:textOutline w14:w="12700" w14:cap="flat" w14:cmpd="sng" w14:algn="ctr">
            <w14:noFill/>
            <w14:prstDash w14:val="solid"/>
            <w14:miter w14:lim="400000"/>
          </w14:textOutline>
        </w:rPr>
        <w:t>+</w:t>
      </w:r>
      <w:r w:rsidRPr="001625BA">
        <w:rPr>
          <w:rFonts w:ascii="Times New Roman" w:eastAsia="Arial Unicode MS" w:hAnsi="Times New Roman" w:cs="Times New Roman"/>
          <w:color w:val="000000"/>
          <w:sz w:val="24"/>
          <w:szCs w:val="24"/>
          <w:u w:color="000000"/>
          <w:bdr w:val="nil"/>
          <w:lang w:val="en-GB" w:eastAsia="es-ES_tradnl"/>
          <w14:textOutline w14:w="12700" w14:cap="flat" w14:cmpd="sng" w14:algn="ctr">
            <w14:noFill/>
            <w14:prstDash w14:val="solid"/>
            <w14:miter w14:lim="400000"/>
          </w14:textOutline>
        </w:rPr>
        <w:t>. After gating on populations of interest each sample was exported and concatenate for further dimensionality reduction analysis (</w:t>
      </w:r>
      <w:r w:rsidRPr="001625BA">
        <w:rPr>
          <w:rFonts w:ascii="Times New Roman" w:eastAsia="Arial Unicode MS" w:hAnsi="Times New Roman" w:cs="Times New Roman"/>
          <w:i/>
          <w:iCs/>
          <w:color w:val="000000"/>
          <w:sz w:val="24"/>
          <w:szCs w:val="24"/>
          <w:u w:color="000000"/>
          <w:bdr w:val="nil"/>
          <w:lang w:val="en-GB" w:eastAsia="es-ES_tradnl"/>
          <w14:textOutline w14:w="12700" w14:cap="flat" w14:cmpd="sng" w14:algn="ctr">
            <w14:noFill/>
            <w14:prstDash w14:val="solid"/>
            <w14:miter w14:lim="400000"/>
          </w14:textOutline>
        </w:rPr>
        <w:t>t</w:t>
      </w:r>
      <w:r w:rsidRPr="001625BA">
        <w:rPr>
          <w:rFonts w:ascii="Times New Roman" w:eastAsia="Arial Unicode MS" w:hAnsi="Times New Roman" w:cs="Times New Roman"/>
          <w:color w:val="000000"/>
          <w:sz w:val="24"/>
          <w:szCs w:val="24"/>
          <w:u w:color="000000"/>
          <w:bdr w:val="nil"/>
          <w:lang w:val="en-GB" w:eastAsia="es-ES_tradnl"/>
          <w14:textOutline w14:w="12700" w14:cap="flat" w14:cmpd="sng" w14:algn="ctr">
            <w14:noFill/>
            <w14:prstDash w14:val="solid"/>
            <w14:miter w14:lim="400000"/>
          </w14:textOutline>
        </w:rPr>
        <w:t xml:space="preserve">-SNE) using </w:t>
      </w:r>
      <w:proofErr w:type="spellStart"/>
      <w:r w:rsidRPr="001625BA">
        <w:rPr>
          <w:rFonts w:ascii="Times New Roman" w:eastAsia="Arial Unicode MS" w:hAnsi="Times New Roman" w:cs="Times New Roman"/>
          <w:color w:val="000000"/>
          <w:sz w:val="24"/>
          <w:szCs w:val="24"/>
          <w:u w:color="000000"/>
          <w:bdr w:val="nil"/>
          <w:lang w:val="en-GB" w:eastAsia="es-ES_tradnl"/>
          <w14:textOutline w14:w="12700" w14:cap="flat" w14:cmpd="sng" w14:algn="ctr">
            <w14:noFill/>
            <w14:prstDash w14:val="solid"/>
            <w14:miter w14:lim="400000"/>
          </w14:textOutline>
        </w:rPr>
        <w:t>FlowJo</w:t>
      </w:r>
      <w:proofErr w:type="spellEnd"/>
      <w:r w:rsidRPr="001625BA">
        <w:rPr>
          <w:rFonts w:ascii="Times New Roman" w:eastAsia="Arial Unicode MS" w:hAnsi="Times New Roman" w:cs="Times New Roman"/>
          <w:color w:val="000000"/>
          <w:sz w:val="24"/>
          <w:szCs w:val="24"/>
          <w:u w:color="000000"/>
          <w:bdr w:val="nil"/>
          <w:lang w:val="en-GB" w:eastAsia="es-ES_tradnl"/>
          <w14:textOutline w14:w="12700" w14:cap="flat" w14:cmpd="sng" w14:algn="ctr">
            <w14:noFill/>
            <w14:prstDash w14:val="solid"/>
            <w14:miter w14:lim="400000"/>
          </w14:textOutline>
        </w:rPr>
        <w:t xml:space="preserve"> software. General lineage markers were examined by running </w:t>
      </w:r>
      <w:r w:rsidRPr="001625BA">
        <w:rPr>
          <w:rFonts w:ascii="Times New Roman" w:eastAsia="Arial Unicode MS" w:hAnsi="Times New Roman" w:cs="Times New Roman"/>
          <w:i/>
          <w:color w:val="000000"/>
          <w:sz w:val="24"/>
          <w:szCs w:val="24"/>
          <w:u w:color="000000"/>
          <w:bdr w:val="nil"/>
          <w:lang w:val="en-GB" w:eastAsia="es-ES_tradnl"/>
          <w14:textOutline w14:w="12700" w14:cap="flat" w14:cmpd="sng" w14:algn="ctr">
            <w14:noFill/>
            <w14:prstDash w14:val="solid"/>
            <w14:miter w14:lim="400000"/>
          </w14:textOutline>
        </w:rPr>
        <w:t>t</w:t>
      </w:r>
      <w:r w:rsidRPr="001625BA">
        <w:rPr>
          <w:rFonts w:ascii="Times New Roman" w:eastAsia="Arial Unicode MS" w:hAnsi="Times New Roman" w:cs="Times New Roman"/>
          <w:color w:val="000000"/>
          <w:sz w:val="24"/>
          <w:szCs w:val="24"/>
          <w:u w:color="000000"/>
          <w:bdr w:val="nil"/>
          <w:lang w:val="en-GB" w:eastAsia="es-ES_tradnl"/>
          <w14:textOutline w14:w="12700" w14:cap="flat" w14:cmpd="sng" w14:algn="ctr">
            <w14:noFill/>
            <w14:prstDash w14:val="solid"/>
            <w14:miter w14:lim="400000"/>
          </w14:textOutline>
        </w:rPr>
        <w:t xml:space="preserve">-SNE with only the following markers: CD3, CD4, CD8.The Barnes-Hut implementation of </w:t>
      </w:r>
      <w:r w:rsidRPr="001625BA">
        <w:rPr>
          <w:rFonts w:ascii="Times New Roman" w:eastAsia="Arial Unicode MS" w:hAnsi="Times New Roman" w:cs="Times New Roman"/>
          <w:i/>
          <w:color w:val="000000"/>
          <w:sz w:val="24"/>
          <w:szCs w:val="24"/>
          <w:u w:color="000000"/>
          <w:bdr w:val="nil"/>
          <w:lang w:val="en-GB" w:eastAsia="es-ES_tradnl"/>
          <w14:textOutline w14:w="12700" w14:cap="flat" w14:cmpd="sng" w14:algn="ctr">
            <w14:noFill/>
            <w14:prstDash w14:val="solid"/>
            <w14:miter w14:lim="400000"/>
          </w14:textOutline>
        </w:rPr>
        <w:t>t</w:t>
      </w:r>
      <w:r w:rsidRPr="001625BA">
        <w:rPr>
          <w:rFonts w:ascii="Times New Roman" w:eastAsia="Arial Unicode MS" w:hAnsi="Times New Roman" w:cs="Times New Roman"/>
          <w:color w:val="000000"/>
          <w:sz w:val="24"/>
          <w:szCs w:val="24"/>
          <w:u w:color="000000"/>
          <w:bdr w:val="nil"/>
          <w:lang w:val="en-GB" w:eastAsia="es-ES_tradnl"/>
          <w14:textOutline w14:w="12700" w14:cap="flat" w14:cmpd="sng" w14:algn="ctr">
            <w14:noFill/>
            <w14:prstDash w14:val="solid"/>
            <w14:miter w14:lim="400000"/>
          </w14:textOutline>
        </w:rPr>
        <w:t xml:space="preserve">-SNE with 1,000 iterations, a perplexity parameter of 30, and a trade-off θ of 0.5 was used for applying the dimensionality reduction algorithm. </w:t>
      </w:r>
      <w:r w:rsidRPr="001625BA">
        <w:rPr>
          <w:rFonts w:ascii="Times New Roman" w:eastAsia="Arial Unicode MS" w:hAnsi="Times New Roman" w:cs="Times New Roman"/>
          <w:i/>
          <w:color w:val="000000"/>
          <w:sz w:val="24"/>
          <w:szCs w:val="24"/>
          <w:u w:color="000000"/>
          <w:bdr w:val="nil"/>
          <w:lang w:val="en-GB" w:eastAsia="es-ES_tradnl"/>
          <w14:textOutline w14:w="12700" w14:cap="flat" w14:cmpd="sng" w14:algn="ctr">
            <w14:noFill/>
            <w14:prstDash w14:val="solid"/>
            <w14:miter w14:lim="400000"/>
          </w14:textOutline>
        </w:rPr>
        <w:t>t</w:t>
      </w:r>
      <w:r w:rsidRPr="001625BA">
        <w:rPr>
          <w:rFonts w:ascii="Times New Roman" w:eastAsia="Arial Unicode MS" w:hAnsi="Times New Roman" w:cs="Times New Roman"/>
          <w:color w:val="000000"/>
          <w:sz w:val="24"/>
          <w:szCs w:val="24"/>
          <w:u w:color="000000"/>
          <w:bdr w:val="nil"/>
          <w:lang w:val="en-GB" w:eastAsia="es-ES_tradnl"/>
          <w14:textOutline w14:w="12700" w14:cap="flat" w14:cmpd="sng" w14:algn="ctr">
            <w14:noFill/>
            <w14:prstDash w14:val="solid"/>
            <w14:miter w14:lim="400000"/>
          </w14:textOutline>
        </w:rPr>
        <w:t xml:space="preserve">-SNE maps were generated by plotting each event by its </w:t>
      </w:r>
      <w:r w:rsidRPr="001625BA">
        <w:rPr>
          <w:rFonts w:ascii="Times New Roman" w:eastAsia="Arial Unicode MS" w:hAnsi="Times New Roman" w:cs="Times New Roman"/>
          <w:i/>
          <w:color w:val="000000"/>
          <w:sz w:val="24"/>
          <w:szCs w:val="24"/>
          <w:u w:color="000000"/>
          <w:bdr w:val="nil"/>
          <w:lang w:val="en-GB" w:eastAsia="es-ES_tradnl"/>
          <w14:textOutline w14:w="12700" w14:cap="flat" w14:cmpd="sng" w14:algn="ctr">
            <w14:noFill/>
            <w14:prstDash w14:val="solid"/>
            <w14:miter w14:lim="400000"/>
          </w14:textOutline>
        </w:rPr>
        <w:t>t</w:t>
      </w:r>
      <w:r w:rsidRPr="001625BA">
        <w:rPr>
          <w:rFonts w:ascii="Times New Roman" w:eastAsia="Arial Unicode MS" w:hAnsi="Times New Roman" w:cs="Times New Roman"/>
          <w:color w:val="000000"/>
          <w:sz w:val="24"/>
          <w:szCs w:val="24"/>
          <w:u w:color="000000"/>
          <w:bdr w:val="nil"/>
          <w:lang w:val="en-GB" w:eastAsia="es-ES_tradnl"/>
          <w14:textOutline w14:w="12700" w14:cap="flat" w14:cmpd="sng" w14:algn="ctr">
            <w14:noFill/>
            <w14:prstDash w14:val="solid"/>
            <w14:miter w14:lim="400000"/>
          </w14:textOutline>
        </w:rPr>
        <w:t>-SNE dimensions in a dot-plot. Intensities for marker of TIM</w:t>
      </w:r>
      <w:r w:rsidR="00A02601" w:rsidRPr="001625BA">
        <w:rPr>
          <w:rFonts w:ascii="Times New Roman" w:eastAsia="Arial Unicode MS" w:hAnsi="Times New Roman" w:cs="Times New Roman"/>
          <w:color w:val="000000"/>
          <w:sz w:val="24"/>
          <w:szCs w:val="24"/>
          <w:u w:color="000000"/>
          <w:bdr w:val="nil"/>
          <w:lang w:val="en-GB" w:eastAsia="es-ES_tradnl"/>
          <w14:textOutline w14:w="12700" w14:cap="flat" w14:cmpd="sng" w14:algn="ctr">
            <w14:noFill/>
            <w14:prstDash w14:val="solid"/>
            <w14:miter w14:lim="400000"/>
          </w14:textOutline>
        </w:rPr>
        <w:t>-</w:t>
      </w:r>
      <w:r w:rsidRPr="001625BA">
        <w:rPr>
          <w:rFonts w:ascii="Times New Roman" w:eastAsia="Arial Unicode MS" w:hAnsi="Times New Roman" w:cs="Times New Roman"/>
          <w:color w:val="000000"/>
          <w:sz w:val="24"/>
          <w:szCs w:val="24"/>
          <w:u w:color="000000"/>
          <w:bdr w:val="nil"/>
          <w:lang w:val="en-GB" w:eastAsia="es-ES_tradnl"/>
          <w14:textOutline w14:w="12700" w14:cap="flat" w14:cmpd="sng" w14:algn="ctr">
            <w14:noFill/>
            <w14:prstDash w14:val="solid"/>
            <w14:miter w14:lim="400000"/>
          </w14:textOutline>
        </w:rPr>
        <w:t>3 were overlaid on the dot-plot to show the expression of this marker on different time-point of patients. These values were normalized using manually set upper and lower limits to account for differing levels of background staining of each marker.</w:t>
      </w:r>
      <w:r w:rsidRPr="001625BA">
        <w:rPr>
          <w:rFonts w:ascii="Times New Roman" w:eastAsia="Arial Unicode MS" w:hAnsi="Times New Roman" w:cs="Times New Roman"/>
          <w:color w:val="000000"/>
          <w:sz w:val="24"/>
          <w:szCs w:val="24"/>
          <w:u w:color="000000"/>
          <w:bdr w:val="nil"/>
          <w:lang w:val="en-GB" w:eastAsia="es-ES_tradnl"/>
          <w14:textOutline w14:w="12700" w14:cap="flat" w14:cmpd="sng" w14:algn="ctr">
            <w14:noFill/>
            <w14:prstDash w14:val="solid"/>
            <w14:miter w14:lim="400000"/>
          </w14:textOutline>
        </w:rPr>
        <w:br w:type="page"/>
      </w:r>
    </w:p>
    <w:p w14:paraId="6A2ABD92" w14:textId="707A2F52" w:rsidR="004B2516" w:rsidRPr="001625BA" w:rsidRDefault="00352DE9" w:rsidP="00716633">
      <w:pPr>
        <w:pBdr>
          <w:top w:val="nil"/>
          <w:left w:val="nil"/>
          <w:bottom w:val="nil"/>
          <w:right w:val="nil"/>
          <w:between w:val="nil"/>
          <w:bar w:val="nil"/>
        </w:pBdr>
        <w:spacing w:after="120" w:line="480" w:lineRule="auto"/>
        <w:jc w:val="both"/>
        <w:rPr>
          <w:rFonts w:ascii="Times New Roman" w:eastAsia="Arial Unicode MS" w:hAnsi="Times New Roman" w:cs="Times New Roman"/>
          <w:color w:val="000000"/>
          <w:sz w:val="24"/>
          <w:szCs w:val="24"/>
          <w:u w:color="000000"/>
          <w:bdr w:val="nil"/>
          <w:lang w:val="en-GB" w:eastAsia="es-ES_tradnl"/>
          <w14:textOutline w14:w="12700" w14:cap="flat" w14:cmpd="sng" w14:algn="ctr">
            <w14:noFill/>
            <w14:prstDash w14:val="solid"/>
            <w14:miter w14:lim="400000"/>
          </w14:textOutline>
        </w:rPr>
      </w:pPr>
      <w:r w:rsidRPr="001625BA">
        <w:rPr>
          <w:rFonts w:ascii="Times New Roman" w:eastAsia="MS Gothic" w:hAnsi="Times New Roman" w:cs="Times New Roman"/>
          <w:b/>
          <w:bCs/>
          <w:color w:val="000000" w:themeColor="text1"/>
          <w:sz w:val="24"/>
          <w:szCs w:val="24"/>
          <w:lang w:val="en-US" w:eastAsia="es-ES"/>
        </w:rPr>
        <w:lastRenderedPageBreak/>
        <w:t>FIGURE LEGENDS</w:t>
      </w:r>
    </w:p>
    <w:p w14:paraId="31DB5C8F" w14:textId="51C1A4C4" w:rsidR="003440F6" w:rsidRPr="001625BA" w:rsidRDefault="004015E1" w:rsidP="003440F6">
      <w:pPr>
        <w:pBdr>
          <w:top w:val="nil"/>
          <w:left w:val="nil"/>
          <w:bottom w:val="nil"/>
          <w:right w:val="nil"/>
          <w:between w:val="nil"/>
          <w:bar w:val="nil"/>
        </w:pBdr>
        <w:spacing w:after="120" w:line="360" w:lineRule="auto"/>
        <w:jc w:val="both"/>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pPr>
      <w:r w:rsidRPr="001625BA">
        <w:rPr>
          <w:rFonts w:ascii="Times New Roman" w:eastAsia="MS Gothic" w:hAnsi="Times New Roman" w:cs="Times New Roman"/>
          <w:b/>
          <w:bCs/>
          <w:color w:val="000000" w:themeColor="text1"/>
          <w:sz w:val="24"/>
          <w:szCs w:val="24"/>
          <w:lang w:val="en-US" w:eastAsia="es-ES"/>
        </w:rPr>
        <w:t>Supplementary</w:t>
      </w:r>
      <w:r w:rsidRPr="001625BA">
        <w:rPr>
          <w:rFonts w:ascii="Times New Roman" w:eastAsia="Arial Unicode MS" w:hAnsi="Times New Roman" w:cs="Times New Roman"/>
          <w:b/>
          <w:bCs/>
          <w:color w:val="000000"/>
          <w:u w:color="000000"/>
          <w:bdr w:val="nil"/>
          <w:lang w:val="en-GB" w:eastAsia="es-ES_tradnl"/>
          <w14:textOutline w14:w="12700" w14:cap="flat" w14:cmpd="sng" w14:algn="ctr">
            <w14:noFill/>
            <w14:prstDash w14:val="solid"/>
            <w14:miter w14:lim="400000"/>
          </w14:textOutline>
        </w:rPr>
        <w:t xml:space="preserve"> </w:t>
      </w:r>
      <w:r w:rsidR="003440F6" w:rsidRPr="001625BA">
        <w:rPr>
          <w:rFonts w:ascii="Times New Roman" w:eastAsia="Arial Unicode MS" w:hAnsi="Times New Roman" w:cs="Times New Roman"/>
          <w:b/>
          <w:bCs/>
          <w:color w:val="000000"/>
          <w:u w:color="000000"/>
          <w:bdr w:val="nil"/>
          <w:lang w:val="en-GB" w:eastAsia="es-ES_tradnl"/>
          <w14:textOutline w14:w="12700" w14:cap="flat" w14:cmpd="sng" w14:algn="ctr">
            <w14:noFill/>
            <w14:prstDash w14:val="solid"/>
            <w14:miter w14:lim="400000"/>
          </w14:textOutline>
        </w:rPr>
        <w:t xml:space="preserve">Figure 1. Images from patient 1. </w:t>
      </w:r>
      <w:r w:rsidR="003440F6"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A</w:t>
      </w:r>
      <w:r w:rsidR="000B477E"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w:t>
      </w:r>
      <w:r w:rsidR="000B477E" w:rsidRPr="001625BA">
        <w:rPr>
          <w:rFonts w:ascii="Times New Roman" w:eastAsia="Arial Unicode MS" w:hAnsi="Times New Roman" w:cs="Times New Roman"/>
          <w:b/>
          <w:bCs/>
          <w:color w:val="000000"/>
          <w:u w:color="000000"/>
          <w:bdr w:val="nil"/>
          <w:lang w:val="en-GB" w:eastAsia="es-ES_tradnl"/>
          <w14:textOutline w14:w="12700" w14:cap="flat" w14:cmpd="sng" w14:algn="ctr">
            <w14:noFill/>
            <w14:prstDash w14:val="solid"/>
            <w14:miter w14:lim="400000"/>
          </w14:textOutline>
        </w:rPr>
        <w:t xml:space="preserve"> </w:t>
      </w:r>
      <w:r w:rsidR="003440F6"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A chest contrast axial CT scan image on day 7 of the illness, showing bilateral patchy interstitial pneumonia with ground-glass opacities of peripheral and central distribution is shown. B</w:t>
      </w:r>
      <w:r w:rsidR="000B477E"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w:t>
      </w:r>
      <w:r w:rsidR="003440F6"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 xml:space="preserve"> </w:t>
      </w:r>
      <w:r w:rsidR="00830B8D"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A</w:t>
      </w:r>
      <w:r w:rsidR="003440F6"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 xml:space="preserve"> chest X-Ray revealing bilateral interstitial pneumonia of peripheral predominance on day 7 of the disease is shown.</w:t>
      </w:r>
    </w:p>
    <w:p w14:paraId="4AB8ED31" w14:textId="4544EA5D" w:rsidR="003440F6" w:rsidRPr="001625BA" w:rsidRDefault="003440F6" w:rsidP="003440F6">
      <w:pPr>
        <w:pBdr>
          <w:top w:val="nil"/>
          <w:left w:val="nil"/>
          <w:bottom w:val="nil"/>
          <w:right w:val="nil"/>
          <w:between w:val="nil"/>
          <w:bar w:val="nil"/>
        </w:pBdr>
        <w:spacing w:after="120" w:line="360" w:lineRule="auto"/>
        <w:jc w:val="both"/>
        <w:rPr>
          <w:rFonts w:ascii="Times New Roman" w:eastAsia="Arial Unicode MS" w:hAnsi="Times New Roman" w:cs="Times New Roman"/>
          <w:b/>
          <w:bCs/>
          <w:color w:val="000000"/>
          <w:u w:val="single" w:color="000000"/>
          <w:bdr w:val="nil"/>
          <w:lang w:val="en-GB" w:eastAsia="es-ES_tradnl"/>
          <w14:textOutline w14:w="12700" w14:cap="flat" w14:cmpd="sng" w14:algn="ctr">
            <w14:noFill/>
            <w14:prstDash w14:val="solid"/>
            <w14:miter w14:lim="400000"/>
          </w14:textOutline>
        </w:rPr>
      </w:pPr>
    </w:p>
    <w:p w14:paraId="477A9CDC" w14:textId="3EED99A2" w:rsidR="003440F6" w:rsidRPr="001625BA" w:rsidRDefault="004015E1" w:rsidP="003440F6">
      <w:pPr>
        <w:pBdr>
          <w:top w:val="nil"/>
          <w:left w:val="nil"/>
          <w:bottom w:val="nil"/>
          <w:right w:val="nil"/>
          <w:between w:val="nil"/>
          <w:bar w:val="nil"/>
        </w:pBdr>
        <w:spacing w:after="120" w:line="360" w:lineRule="auto"/>
        <w:jc w:val="both"/>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pPr>
      <w:r w:rsidRPr="001625BA">
        <w:rPr>
          <w:rFonts w:ascii="Times New Roman" w:eastAsia="MS Gothic" w:hAnsi="Times New Roman" w:cs="Times New Roman"/>
          <w:b/>
          <w:bCs/>
          <w:color w:val="000000" w:themeColor="text1"/>
          <w:sz w:val="24"/>
          <w:szCs w:val="24"/>
          <w:lang w:val="en-US" w:eastAsia="es-ES"/>
        </w:rPr>
        <w:t>Supplementary</w:t>
      </w:r>
      <w:r w:rsidRPr="001625BA">
        <w:rPr>
          <w:rFonts w:ascii="Times New Roman" w:eastAsia="Arial Unicode MS" w:hAnsi="Times New Roman" w:cs="Times New Roman"/>
          <w:b/>
          <w:bCs/>
          <w:color w:val="000000"/>
          <w:u w:color="000000"/>
          <w:bdr w:val="nil"/>
          <w:lang w:val="en-GB" w:eastAsia="es-ES_tradnl"/>
          <w14:textOutline w14:w="12700" w14:cap="flat" w14:cmpd="sng" w14:algn="ctr">
            <w14:noFill/>
            <w14:prstDash w14:val="solid"/>
            <w14:miter w14:lim="400000"/>
          </w14:textOutline>
        </w:rPr>
        <w:t xml:space="preserve"> </w:t>
      </w:r>
      <w:r w:rsidR="003440F6" w:rsidRPr="001625BA">
        <w:rPr>
          <w:rFonts w:ascii="Times New Roman" w:eastAsia="Arial Unicode MS" w:hAnsi="Times New Roman" w:cs="Times New Roman"/>
          <w:b/>
          <w:bCs/>
          <w:color w:val="000000"/>
          <w:u w:color="000000"/>
          <w:bdr w:val="nil"/>
          <w:lang w:val="en-GB" w:eastAsia="es-ES_tradnl"/>
          <w14:textOutline w14:w="12700" w14:cap="flat" w14:cmpd="sng" w14:algn="ctr">
            <w14:noFill/>
            <w14:prstDash w14:val="solid"/>
            <w14:miter w14:lim="400000"/>
          </w14:textOutline>
        </w:rPr>
        <w:t xml:space="preserve">Figure 2. Images from patient 2. </w:t>
      </w:r>
      <w:r w:rsidR="003440F6"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A and B</w:t>
      </w:r>
      <w:r w:rsidR="000B477E"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w:t>
      </w:r>
      <w:r w:rsidR="003440F6"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 xml:space="preserve"> show the chest non-contrast axial CT scan on day 7 of illness, showing interstitial pneumonia of peripheral patchy distribution with both alveolar occupation (arrows indicated with I) and ground-glass opacities (arrows indicated with II). </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C</w:t>
      </w:r>
      <w:r w:rsidR="003265B0"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 xml:space="preserve">, </w:t>
      </w:r>
      <w:r w:rsidR="003440F6"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A chest X-Ray revealing bilateral interstitial pneumonia on day 7 of the disease is shown.</w:t>
      </w:r>
    </w:p>
    <w:p w14:paraId="48194C57" w14:textId="14A9021F" w:rsidR="003440F6" w:rsidRPr="001625BA" w:rsidRDefault="003440F6" w:rsidP="003440F6">
      <w:pPr>
        <w:pBdr>
          <w:top w:val="nil"/>
          <w:left w:val="nil"/>
          <w:bottom w:val="nil"/>
          <w:right w:val="nil"/>
          <w:between w:val="nil"/>
          <w:bar w:val="nil"/>
        </w:pBdr>
        <w:spacing w:after="120" w:line="360" w:lineRule="auto"/>
        <w:jc w:val="both"/>
        <w:rPr>
          <w:rFonts w:ascii="Times New Roman" w:eastAsia="Arial Unicode MS" w:hAnsi="Times New Roman" w:cs="Times New Roman"/>
          <w:b/>
          <w:bCs/>
          <w:color w:val="000000"/>
          <w:u w:color="000000"/>
          <w:bdr w:val="nil"/>
          <w:lang w:val="en-GB" w:eastAsia="es-ES_tradnl"/>
          <w14:textOutline w14:w="12700" w14:cap="flat" w14:cmpd="sng" w14:algn="ctr">
            <w14:noFill/>
            <w14:prstDash w14:val="solid"/>
            <w14:miter w14:lim="400000"/>
          </w14:textOutline>
        </w:rPr>
      </w:pPr>
    </w:p>
    <w:p w14:paraId="76876B19" w14:textId="218B9443" w:rsidR="0091378F" w:rsidRPr="001625BA" w:rsidRDefault="004015E1" w:rsidP="003440F6">
      <w:pPr>
        <w:pBdr>
          <w:top w:val="nil"/>
          <w:left w:val="nil"/>
          <w:bottom w:val="nil"/>
          <w:right w:val="nil"/>
          <w:between w:val="nil"/>
          <w:bar w:val="nil"/>
        </w:pBdr>
        <w:spacing w:after="120" w:line="360" w:lineRule="auto"/>
        <w:jc w:val="both"/>
        <w:rPr>
          <w:rFonts w:ascii="Times New Roman" w:eastAsia="Arial Unicode MS" w:hAnsi="Times New Roman" w:cs="Times New Roman"/>
          <w:b/>
          <w:bCs/>
          <w:color w:val="000000"/>
          <w:u w:color="000000"/>
          <w:bdr w:val="nil"/>
          <w:lang w:val="en-US" w:eastAsia="es-ES_tradnl"/>
          <w14:textOutline w14:w="12700" w14:cap="flat" w14:cmpd="sng" w14:algn="ctr">
            <w14:noFill/>
            <w14:prstDash w14:val="solid"/>
            <w14:miter w14:lim="400000"/>
          </w14:textOutline>
        </w:rPr>
      </w:pPr>
      <w:r w:rsidRPr="001625BA">
        <w:rPr>
          <w:rFonts w:ascii="Times New Roman" w:eastAsia="MS Gothic" w:hAnsi="Times New Roman" w:cs="Times New Roman"/>
          <w:b/>
          <w:bCs/>
          <w:color w:val="000000" w:themeColor="text1"/>
          <w:sz w:val="24"/>
          <w:szCs w:val="24"/>
          <w:lang w:val="en-US" w:eastAsia="es-ES"/>
        </w:rPr>
        <w:t>Supplementary</w:t>
      </w:r>
      <w:r w:rsidRPr="001625BA">
        <w:rPr>
          <w:rFonts w:ascii="Times New Roman" w:eastAsia="Arial Unicode MS" w:hAnsi="Times New Roman" w:cs="Times New Roman"/>
          <w:b/>
          <w:bCs/>
          <w:color w:val="000000"/>
          <w:u w:color="000000"/>
          <w:bdr w:val="nil"/>
          <w:lang w:val="en-GB" w:eastAsia="es-ES_tradnl"/>
          <w14:textOutline w14:w="12700" w14:cap="flat" w14:cmpd="sng" w14:algn="ctr">
            <w14:noFill/>
            <w14:prstDash w14:val="solid"/>
            <w14:miter w14:lim="400000"/>
          </w14:textOutline>
        </w:rPr>
        <w:t xml:space="preserve"> </w:t>
      </w:r>
      <w:r w:rsidR="003440F6" w:rsidRPr="001625BA">
        <w:rPr>
          <w:rFonts w:ascii="Times New Roman" w:eastAsia="Arial Unicode MS" w:hAnsi="Times New Roman" w:cs="Times New Roman"/>
          <w:b/>
          <w:bCs/>
          <w:color w:val="000000"/>
          <w:u w:color="000000"/>
          <w:bdr w:val="nil"/>
          <w:lang w:val="en-GB" w:eastAsia="es-ES_tradnl"/>
          <w14:textOutline w14:w="12700" w14:cap="flat" w14:cmpd="sng" w14:algn="ctr">
            <w14:noFill/>
            <w14:prstDash w14:val="solid"/>
            <w14:miter w14:lim="400000"/>
          </w14:textOutline>
        </w:rPr>
        <w:t xml:space="preserve">Figure </w:t>
      </w:r>
      <w:r w:rsidR="00AB5E23" w:rsidRPr="001625BA">
        <w:rPr>
          <w:rFonts w:ascii="Times New Roman" w:eastAsia="Arial Unicode MS" w:hAnsi="Times New Roman" w:cs="Times New Roman"/>
          <w:b/>
          <w:bCs/>
          <w:color w:val="000000"/>
          <w:u w:color="000000"/>
          <w:bdr w:val="nil"/>
          <w:lang w:val="en-GB" w:eastAsia="es-ES_tradnl"/>
          <w14:textOutline w14:w="12700" w14:cap="flat" w14:cmpd="sng" w14:algn="ctr">
            <w14:noFill/>
            <w14:prstDash w14:val="solid"/>
            <w14:miter w14:lim="400000"/>
          </w14:textOutline>
        </w:rPr>
        <w:t>3</w:t>
      </w:r>
      <w:r w:rsidR="003440F6" w:rsidRPr="001625BA">
        <w:rPr>
          <w:rFonts w:ascii="Times New Roman" w:eastAsia="Arial Unicode MS" w:hAnsi="Times New Roman" w:cs="Times New Roman"/>
          <w:b/>
          <w:bCs/>
          <w:color w:val="000000"/>
          <w:u w:color="000000"/>
          <w:bdr w:val="nil"/>
          <w:lang w:val="en-GB" w:eastAsia="es-ES_tradnl"/>
          <w14:textOutline w14:w="12700" w14:cap="flat" w14:cmpd="sng" w14:algn="ctr">
            <w14:noFill/>
            <w14:prstDash w14:val="solid"/>
            <w14:miter w14:lim="400000"/>
          </w14:textOutline>
        </w:rPr>
        <w:t xml:space="preserve">. Immunophenotyping of naïve, central memory and terminally differentiated T cells from patients 1 and 2. </w:t>
      </w:r>
      <w:r w:rsidR="003440F6"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A and B</w:t>
      </w:r>
      <w:r w:rsidR="00970A63"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w:t>
      </w:r>
      <w:r w:rsidR="007F082B"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 xml:space="preserve"> </w:t>
      </w:r>
      <w:proofErr w:type="gramStart"/>
      <w:r w:rsidR="003440F6"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The</w:t>
      </w:r>
      <w:proofErr w:type="gramEnd"/>
      <w:r w:rsidR="003440F6"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 xml:space="preserve"> analysis of the CD4</w:t>
      </w:r>
      <w:r w:rsidR="003440F6" w:rsidRPr="001625BA">
        <w:rPr>
          <w:rFonts w:ascii="Times New Roman" w:eastAsia="Arial Unicode MS" w:hAnsi="Times New Roman" w:cs="Times New Roman"/>
          <w:bCs/>
          <w:color w:val="000000"/>
          <w:u w:color="000000"/>
          <w:bdr w:val="nil"/>
          <w:vertAlign w:val="superscript"/>
          <w:lang w:val="en-GB" w:eastAsia="es-ES_tradnl"/>
          <w14:textOutline w14:w="12700" w14:cap="flat" w14:cmpd="sng" w14:algn="ctr">
            <w14:noFill/>
            <w14:prstDash w14:val="solid"/>
            <w14:miter w14:lim="400000"/>
          </w14:textOutline>
        </w:rPr>
        <w:t>+</w:t>
      </w:r>
      <w:r w:rsidR="003440F6"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 xml:space="preserve"> and CD8</w:t>
      </w:r>
      <w:r w:rsidR="003440F6" w:rsidRPr="001625BA">
        <w:rPr>
          <w:rFonts w:ascii="Times New Roman" w:eastAsia="Arial Unicode MS" w:hAnsi="Times New Roman" w:cs="Times New Roman"/>
          <w:bCs/>
          <w:color w:val="000000"/>
          <w:u w:color="000000"/>
          <w:bdr w:val="nil"/>
          <w:vertAlign w:val="superscript"/>
          <w:lang w:val="en-GB" w:eastAsia="es-ES_tradnl"/>
          <w14:textOutline w14:w="12700" w14:cap="flat" w14:cmpd="sng" w14:algn="ctr">
            <w14:noFill/>
            <w14:prstDash w14:val="solid"/>
            <w14:miter w14:lim="400000"/>
          </w14:textOutline>
        </w:rPr>
        <w:t>+</w:t>
      </w:r>
      <w:r w:rsidR="003440F6"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 xml:space="preserve"> naïve cells (</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CD45RA</w:t>
      </w:r>
      <w:r w:rsidR="003440F6" w:rsidRPr="001625BA">
        <w:rPr>
          <w:rFonts w:ascii="Times New Roman" w:eastAsia="Arial Unicode MS" w:hAnsi="Times New Roman" w:cs="Times New Roman"/>
          <w:color w:val="000000"/>
          <w:u w:color="000000"/>
          <w:bdr w:val="nil"/>
          <w:vertAlign w:val="superscript"/>
          <w:lang w:val="en-GB" w:eastAsia="es-ES_tradnl"/>
          <w14:textOutline w14:w="12700" w14:cap="flat" w14:cmpd="sng" w14:algn="ctr">
            <w14:noFill/>
            <w14:prstDash w14:val="solid"/>
            <w14:miter w14:lim="400000"/>
          </w14:textOutline>
        </w:rPr>
        <w:t>+</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CD27</w:t>
      </w:r>
      <w:r w:rsidR="003440F6" w:rsidRPr="001625BA">
        <w:rPr>
          <w:rFonts w:ascii="Times New Roman" w:eastAsia="Arial Unicode MS" w:hAnsi="Times New Roman" w:cs="Times New Roman"/>
          <w:color w:val="000000"/>
          <w:u w:color="000000"/>
          <w:bdr w:val="nil"/>
          <w:vertAlign w:val="superscript"/>
          <w:lang w:val="en-GB" w:eastAsia="es-ES_tradnl"/>
          <w14:textOutline w14:w="12700" w14:cap="flat" w14:cmpd="sng" w14:algn="ctr">
            <w14:noFill/>
            <w14:prstDash w14:val="solid"/>
            <w14:miter w14:lim="400000"/>
          </w14:textOutline>
        </w:rPr>
        <w:t>+</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 xml:space="preserve">, </w:t>
      </w:r>
      <w:proofErr w:type="spellStart"/>
      <w:r w:rsidR="003440F6"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T</w:t>
      </w:r>
      <w:r w:rsidR="007F082B" w:rsidRPr="001625BA">
        <w:rPr>
          <w:rFonts w:ascii="Times New Roman" w:eastAsia="Arial Unicode MS" w:hAnsi="Times New Roman" w:cs="Times New Roman"/>
          <w:bCs/>
          <w:color w:val="000000"/>
          <w:u w:color="000000"/>
          <w:bdr w:val="nil"/>
          <w:vertAlign w:val="subscript"/>
          <w:lang w:val="en-GB" w:eastAsia="es-ES_tradnl"/>
          <w14:textOutline w14:w="12700" w14:cap="flat" w14:cmpd="sng" w14:algn="ctr">
            <w14:noFill/>
            <w14:prstDash w14:val="solid"/>
            <w14:miter w14:lim="400000"/>
          </w14:textOutline>
        </w:rPr>
        <w:t>N</w:t>
      </w:r>
      <w:r w:rsidR="003440F6" w:rsidRPr="001625BA">
        <w:rPr>
          <w:rFonts w:ascii="Times New Roman" w:eastAsia="Arial Unicode MS" w:hAnsi="Times New Roman" w:cs="Times New Roman"/>
          <w:bCs/>
          <w:color w:val="000000"/>
          <w:u w:color="000000"/>
          <w:bdr w:val="nil"/>
          <w:vertAlign w:val="subscript"/>
          <w:lang w:val="en-GB" w:eastAsia="es-ES_tradnl"/>
          <w14:textOutline w14:w="12700" w14:cap="flat" w14:cmpd="sng" w14:algn="ctr">
            <w14:noFill/>
            <w14:prstDash w14:val="solid"/>
            <w14:miter w14:lim="400000"/>
          </w14:textOutline>
        </w:rPr>
        <w:t>aïve</w:t>
      </w:r>
      <w:proofErr w:type="spellEnd"/>
      <w:r w:rsidR="003440F6"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 xml:space="preserve">) </w:t>
      </w:r>
      <w:r w:rsidR="00576B36"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 xml:space="preserve">is </w:t>
      </w:r>
      <w:r w:rsidR="003440F6"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shown</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 xml:space="preserve">. The percentage of </w:t>
      </w:r>
      <w:proofErr w:type="spellStart"/>
      <w:r w:rsidR="003440F6"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T</w:t>
      </w:r>
      <w:r w:rsidR="007F082B" w:rsidRPr="001625BA">
        <w:rPr>
          <w:rFonts w:ascii="Times New Roman" w:eastAsia="Arial Unicode MS" w:hAnsi="Times New Roman" w:cs="Times New Roman"/>
          <w:bCs/>
          <w:color w:val="000000"/>
          <w:u w:color="000000"/>
          <w:bdr w:val="nil"/>
          <w:vertAlign w:val="subscript"/>
          <w:lang w:val="en-GB" w:eastAsia="es-ES_tradnl"/>
          <w14:textOutline w14:w="12700" w14:cap="flat" w14:cmpd="sng" w14:algn="ctr">
            <w14:noFill/>
            <w14:prstDash w14:val="solid"/>
            <w14:miter w14:lim="400000"/>
          </w14:textOutline>
        </w:rPr>
        <w:t>N</w:t>
      </w:r>
      <w:r w:rsidR="003440F6" w:rsidRPr="001625BA">
        <w:rPr>
          <w:rFonts w:ascii="Times New Roman" w:eastAsia="Arial Unicode MS" w:hAnsi="Times New Roman" w:cs="Times New Roman"/>
          <w:bCs/>
          <w:color w:val="000000"/>
          <w:u w:color="000000"/>
          <w:bdr w:val="nil"/>
          <w:vertAlign w:val="subscript"/>
          <w:lang w:val="en-GB" w:eastAsia="es-ES_tradnl"/>
          <w14:textOutline w14:w="12700" w14:cap="flat" w14:cmpd="sng" w14:algn="ctr">
            <w14:noFill/>
            <w14:prstDash w14:val="solid"/>
            <w14:miter w14:lim="400000"/>
          </w14:textOutline>
        </w:rPr>
        <w:t>aïve</w:t>
      </w:r>
      <w:proofErr w:type="spellEnd"/>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 xml:space="preserve"> on gated CD4</w:t>
      </w:r>
      <w:r w:rsidR="003440F6" w:rsidRPr="001625BA">
        <w:rPr>
          <w:rFonts w:ascii="Times New Roman" w:eastAsia="Arial Unicode MS" w:hAnsi="Times New Roman" w:cs="Times New Roman"/>
          <w:color w:val="000000"/>
          <w:u w:color="000000"/>
          <w:bdr w:val="nil"/>
          <w:vertAlign w:val="superscript"/>
          <w:lang w:val="en-GB" w:eastAsia="es-ES_tradnl"/>
          <w14:textOutline w14:w="12700" w14:cap="flat" w14:cmpd="sng" w14:algn="ctr">
            <w14:noFill/>
            <w14:prstDash w14:val="solid"/>
            <w14:miter w14:lim="400000"/>
          </w14:textOutline>
        </w:rPr>
        <w:t>+</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 xml:space="preserve"> (A) and CD8</w:t>
      </w:r>
      <w:r w:rsidR="003440F6" w:rsidRPr="001625BA">
        <w:rPr>
          <w:rFonts w:ascii="Times New Roman" w:eastAsia="Arial Unicode MS" w:hAnsi="Times New Roman" w:cs="Times New Roman"/>
          <w:color w:val="000000"/>
          <w:u w:color="000000"/>
          <w:bdr w:val="nil"/>
          <w:vertAlign w:val="superscript"/>
          <w:lang w:val="en-GB" w:eastAsia="es-ES_tradnl"/>
          <w14:textOutline w14:w="12700" w14:cap="flat" w14:cmpd="sng" w14:algn="ctr">
            <w14:noFill/>
            <w14:prstDash w14:val="solid"/>
            <w14:miter w14:lim="400000"/>
          </w14:textOutline>
        </w:rPr>
        <w:t>+</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 xml:space="preserve"> (B) are shown. C and D</w:t>
      </w:r>
      <w:r w:rsidR="00B57145"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 xml:space="preserve"> </w:t>
      </w:r>
      <w:proofErr w:type="gramStart"/>
      <w:r w:rsidR="007F082B"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T</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he</w:t>
      </w:r>
      <w:proofErr w:type="gramEnd"/>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 xml:space="preserve"> analysis of the </w:t>
      </w:r>
      <w:r w:rsidR="003440F6"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CD4</w:t>
      </w:r>
      <w:r w:rsidR="003440F6" w:rsidRPr="001625BA">
        <w:rPr>
          <w:rFonts w:ascii="Times New Roman" w:eastAsia="Arial Unicode MS" w:hAnsi="Times New Roman" w:cs="Times New Roman"/>
          <w:bCs/>
          <w:color w:val="000000"/>
          <w:u w:color="000000"/>
          <w:bdr w:val="nil"/>
          <w:vertAlign w:val="superscript"/>
          <w:lang w:val="en-GB" w:eastAsia="es-ES_tradnl"/>
          <w14:textOutline w14:w="12700" w14:cap="flat" w14:cmpd="sng" w14:algn="ctr">
            <w14:noFill/>
            <w14:prstDash w14:val="solid"/>
            <w14:miter w14:lim="400000"/>
          </w14:textOutline>
        </w:rPr>
        <w:t>+</w:t>
      </w:r>
      <w:r w:rsidR="003440F6"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 xml:space="preserve"> and CD8</w:t>
      </w:r>
      <w:r w:rsidR="003440F6" w:rsidRPr="001625BA">
        <w:rPr>
          <w:rFonts w:ascii="Times New Roman" w:eastAsia="Arial Unicode MS" w:hAnsi="Times New Roman" w:cs="Times New Roman"/>
          <w:bCs/>
          <w:color w:val="000000"/>
          <w:u w:color="000000"/>
          <w:bdr w:val="nil"/>
          <w:vertAlign w:val="superscript"/>
          <w:lang w:val="en-GB" w:eastAsia="es-ES_tradnl"/>
          <w14:textOutline w14:w="12700" w14:cap="flat" w14:cmpd="sng" w14:algn="ctr">
            <w14:noFill/>
            <w14:prstDash w14:val="solid"/>
            <w14:miter w14:lim="400000"/>
          </w14:textOutline>
        </w:rPr>
        <w:t>+</w:t>
      </w:r>
      <w:r w:rsidR="003440F6"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 xml:space="preserve"> central memory cells (</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CD45RA</w:t>
      </w:r>
      <w:r w:rsidR="003440F6" w:rsidRPr="001625BA">
        <w:rPr>
          <w:rFonts w:ascii="Times New Roman" w:eastAsia="Arial Unicode MS" w:hAnsi="Times New Roman" w:cs="Times New Roman"/>
          <w:color w:val="000000"/>
          <w:u w:color="000000"/>
          <w:bdr w:val="nil"/>
          <w:vertAlign w:val="superscript"/>
          <w:lang w:val="en-GB" w:eastAsia="es-ES_tradnl"/>
          <w14:textOutline w14:w="12700" w14:cap="flat" w14:cmpd="sng" w14:algn="ctr">
            <w14:noFill/>
            <w14:prstDash w14:val="solid"/>
            <w14:miter w14:lim="400000"/>
          </w14:textOutline>
        </w:rPr>
        <w:t>-</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CD27</w:t>
      </w:r>
      <w:r w:rsidR="003440F6" w:rsidRPr="001625BA">
        <w:rPr>
          <w:rFonts w:ascii="Times New Roman" w:eastAsia="Arial Unicode MS" w:hAnsi="Times New Roman" w:cs="Times New Roman"/>
          <w:color w:val="000000"/>
          <w:u w:color="000000"/>
          <w:bdr w:val="nil"/>
          <w:vertAlign w:val="superscript"/>
          <w:lang w:val="en-GB" w:eastAsia="es-ES_tradnl"/>
          <w14:textOutline w14:w="12700" w14:cap="flat" w14:cmpd="sng" w14:algn="ctr">
            <w14:noFill/>
            <w14:prstDash w14:val="solid"/>
            <w14:miter w14:lim="400000"/>
          </w14:textOutline>
        </w:rPr>
        <w:t>+</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 xml:space="preserve">, </w:t>
      </w:r>
      <w:r w:rsidR="003440F6"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T</w:t>
      </w:r>
      <w:r w:rsidR="003440F6" w:rsidRPr="001625BA">
        <w:rPr>
          <w:rFonts w:ascii="Times New Roman" w:eastAsia="Arial Unicode MS" w:hAnsi="Times New Roman" w:cs="Times New Roman"/>
          <w:bCs/>
          <w:color w:val="000000"/>
          <w:u w:color="000000"/>
          <w:bdr w:val="nil"/>
          <w:vertAlign w:val="subscript"/>
          <w:lang w:val="en-GB" w:eastAsia="es-ES_tradnl"/>
          <w14:textOutline w14:w="12700" w14:cap="flat" w14:cmpd="sng" w14:algn="ctr">
            <w14:noFill/>
            <w14:prstDash w14:val="solid"/>
            <w14:miter w14:lim="400000"/>
          </w14:textOutline>
        </w:rPr>
        <w:t>CM</w:t>
      </w:r>
      <w:r w:rsidR="003440F6"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w:t>
      </w:r>
      <w:r w:rsidR="007F082B"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 xml:space="preserve"> is shown</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 The percentage</w:t>
      </w:r>
      <w:r w:rsidR="00576B3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s</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 xml:space="preserve"> of </w:t>
      </w:r>
      <w:r w:rsidR="003440F6"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T</w:t>
      </w:r>
      <w:r w:rsidR="003440F6" w:rsidRPr="001625BA">
        <w:rPr>
          <w:rFonts w:ascii="Times New Roman" w:eastAsia="Arial Unicode MS" w:hAnsi="Times New Roman" w:cs="Times New Roman"/>
          <w:bCs/>
          <w:color w:val="000000"/>
          <w:u w:color="000000"/>
          <w:bdr w:val="nil"/>
          <w:vertAlign w:val="subscript"/>
          <w:lang w:val="en-GB" w:eastAsia="es-ES_tradnl"/>
          <w14:textOutline w14:w="12700" w14:cap="flat" w14:cmpd="sng" w14:algn="ctr">
            <w14:noFill/>
            <w14:prstDash w14:val="solid"/>
            <w14:miter w14:lim="400000"/>
          </w14:textOutline>
        </w:rPr>
        <w:t>CM</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 xml:space="preserve"> on gated CD4</w:t>
      </w:r>
      <w:r w:rsidR="003440F6" w:rsidRPr="001625BA">
        <w:rPr>
          <w:rFonts w:ascii="Times New Roman" w:eastAsia="Arial Unicode MS" w:hAnsi="Times New Roman" w:cs="Times New Roman"/>
          <w:color w:val="000000"/>
          <w:u w:color="000000"/>
          <w:bdr w:val="nil"/>
          <w:vertAlign w:val="superscript"/>
          <w:lang w:val="en-GB" w:eastAsia="es-ES_tradnl"/>
          <w14:textOutline w14:w="12700" w14:cap="flat" w14:cmpd="sng" w14:algn="ctr">
            <w14:noFill/>
            <w14:prstDash w14:val="solid"/>
            <w14:miter w14:lim="400000"/>
          </w14:textOutline>
        </w:rPr>
        <w:t>+</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 xml:space="preserve"> (</w:t>
      </w:r>
      <w:r w:rsidR="007F082B"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C</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 and CD8</w:t>
      </w:r>
      <w:r w:rsidR="003440F6" w:rsidRPr="001625BA">
        <w:rPr>
          <w:rFonts w:ascii="Times New Roman" w:eastAsia="Arial Unicode MS" w:hAnsi="Times New Roman" w:cs="Times New Roman"/>
          <w:color w:val="000000"/>
          <w:u w:color="000000"/>
          <w:bdr w:val="nil"/>
          <w:vertAlign w:val="superscript"/>
          <w:lang w:val="en-GB" w:eastAsia="es-ES_tradnl"/>
          <w14:textOutline w14:w="12700" w14:cap="flat" w14:cmpd="sng" w14:algn="ctr">
            <w14:noFill/>
            <w14:prstDash w14:val="solid"/>
            <w14:miter w14:lim="400000"/>
          </w14:textOutline>
        </w:rPr>
        <w:t>+</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 xml:space="preserve"> (</w:t>
      </w:r>
      <w:r w:rsidR="003440F6"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D</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 are shown. E and F</w:t>
      </w:r>
      <w:r w:rsidR="00B57145"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w:t>
      </w:r>
      <w:r w:rsidR="007F082B"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 xml:space="preserve"> </w:t>
      </w:r>
      <w:proofErr w:type="gramStart"/>
      <w:r w:rsidR="007F082B"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T</w:t>
      </w:r>
      <w:r w:rsidR="003440F6"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he</w:t>
      </w:r>
      <w:proofErr w:type="gramEnd"/>
      <w:r w:rsidR="003440F6"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 xml:space="preserve"> analysis of the </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 xml:space="preserve">terminally differentiated cells </w:t>
      </w:r>
      <w:r w:rsidR="003440F6"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CD45RA</w:t>
      </w:r>
      <w:r w:rsidR="003440F6" w:rsidRPr="001625BA">
        <w:rPr>
          <w:rFonts w:ascii="Times New Roman" w:eastAsia="Arial Unicode MS" w:hAnsi="Times New Roman" w:cs="Times New Roman"/>
          <w:color w:val="000000"/>
          <w:u w:color="000000"/>
          <w:bdr w:val="nil"/>
          <w:vertAlign w:val="superscript"/>
          <w:lang w:val="en-GB" w:eastAsia="es-ES_tradnl"/>
          <w14:textOutline w14:w="12700" w14:cap="flat" w14:cmpd="sng" w14:algn="ctr">
            <w14:noFill/>
            <w14:prstDash w14:val="solid"/>
            <w14:miter w14:lim="400000"/>
          </w14:textOutline>
        </w:rPr>
        <w:t>+</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CD27</w:t>
      </w:r>
      <w:r w:rsidR="003440F6" w:rsidRPr="001625BA">
        <w:rPr>
          <w:rFonts w:ascii="Times New Roman" w:eastAsia="Arial Unicode MS" w:hAnsi="Times New Roman" w:cs="Times New Roman"/>
          <w:color w:val="000000"/>
          <w:u w:color="000000"/>
          <w:bdr w:val="nil"/>
          <w:vertAlign w:val="superscript"/>
          <w:lang w:val="en-GB" w:eastAsia="es-ES_tradnl"/>
          <w14:textOutline w14:w="12700" w14:cap="flat" w14:cmpd="sng" w14:algn="ctr">
            <w14:noFill/>
            <w14:prstDash w14:val="solid"/>
            <w14:miter w14:lim="400000"/>
          </w14:textOutline>
        </w:rPr>
        <w:t>-</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 xml:space="preserve">, </w:t>
      </w:r>
      <w:r w:rsidR="003440F6"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T</w:t>
      </w:r>
      <w:r w:rsidR="003440F6" w:rsidRPr="001625BA">
        <w:rPr>
          <w:rFonts w:ascii="Times New Roman" w:eastAsia="Arial Unicode MS" w:hAnsi="Times New Roman" w:cs="Times New Roman"/>
          <w:bCs/>
          <w:color w:val="000000"/>
          <w:u w:color="000000"/>
          <w:bdr w:val="nil"/>
          <w:vertAlign w:val="subscript"/>
          <w:lang w:val="en-GB" w:eastAsia="es-ES_tradnl"/>
          <w14:textOutline w14:w="12700" w14:cap="flat" w14:cmpd="sng" w14:algn="ctr">
            <w14:noFill/>
            <w14:prstDash w14:val="solid"/>
            <w14:miter w14:lim="400000"/>
          </w14:textOutline>
        </w:rPr>
        <w:t>EM-RA</w:t>
      </w:r>
      <w:r w:rsidR="003440F6"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 xml:space="preserve">) </w:t>
      </w:r>
      <w:r w:rsidR="00576B36"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 xml:space="preserve">is </w:t>
      </w:r>
      <w:r w:rsidR="003440F6"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shown</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 The percentage</w:t>
      </w:r>
      <w:r w:rsidR="00576B3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s</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 xml:space="preserve"> of </w:t>
      </w:r>
      <w:r w:rsidR="003440F6"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T</w:t>
      </w:r>
      <w:r w:rsidR="003440F6" w:rsidRPr="001625BA">
        <w:rPr>
          <w:rFonts w:ascii="Times New Roman" w:eastAsia="Arial Unicode MS" w:hAnsi="Times New Roman" w:cs="Times New Roman"/>
          <w:bCs/>
          <w:color w:val="000000"/>
          <w:u w:color="000000"/>
          <w:bdr w:val="nil"/>
          <w:vertAlign w:val="subscript"/>
          <w:lang w:val="en-GB" w:eastAsia="es-ES_tradnl"/>
          <w14:textOutline w14:w="12700" w14:cap="flat" w14:cmpd="sng" w14:algn="ctr">
            <w14:noFill/>
            <w14:prstDash w14:val="solid"/>
            <w14:miter w14:lim="400000"/>
          </w14:textOutline>
        </w:rPr>
        <w:t xml:space="preserve">EM-RA </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on gated CD4</w:t>
      </w:r>
      <w:r w:rsidR="003440F6" w:rsidRPr="001625BA">
        <w:rPr>
          <w:rFonts w:ascii="Times New Roman" w:eastAsia="Arial Unicode MS" w:hAnsi="Times New Roman" w:cs="Times New Roman"/>
          <w:color w:val="000000"/>
          <w:u w:color="000000"/>
          <w:bdr w:val="nil"/>
          <w:vertAlign w:val="superscript"/>
          <w:lang w:val="en-GB" w:eastAsia="es-ES_tradnl"/>
          <w14:textOutline w14:w="12700" w14:cap="flat" w14:cmpd="sng" w14:algn="ctr">
            <w14:noFill/>
            <w14:prstDash w14:val="solid"/>
            <w14:miter w14:lim="400000"/>
          </w14:textOutline>
        </w:rPr>
        <w:t>+</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 xml:space="preserve"> (E) and CD8</w:t>
      </w:r>
      <w:r w:rsidR="003440F6" w:rsidRPr="001625BA">
        <w:rPr>
          <w:rFonts w:ascii="Times New Roman" w:eastAsia="Arial Unicode MS" w:hAnsi="Times New Roman" w:cs="Times New Roman"/>
          <w:color w:val="000000"/>
          <w:u w:color="000000"/>
          <w:bdr w:val="nil"/>
          <w:vertAlign w:val="superscript"/>
          <w:lang w:val="en-GB" w:eastAsia="es-ES_tradnl"/>
          <w14:textOutline w14:w="12700" w14:cap="flat" w14:cmpd="sng" w14:algn="ctr">
            <w14:noFill/>
            <w14:prstDash w14:val="solid"/>
            <w14:miter w14:lim="400000"/>
          </w14:textOutline>
        </w:rPr>
        <w:t>+</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 xml:space="preserve"> (F) are shown.</w:t>
      </w:r>
      <w:r w:rsidR="0080277E"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 xml:space="preserve"> Data from patient 1 are shown in red, and data from patient 2 is shown in green. Dashed lines represent the calculated means from the analysis of a unique sample from 10 HVs</w:t>
      </w:r>
      <w:r w:rsidR="0091378F"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 xml:space="preserve"> </w:t>
      </w:r>
      <w:r w:rsidR="0091378F" w:rsidRPr="001625BA">
        <w:rPr>
          <w:rFonts w:ascii="Cambria" w:eastAsia="Arial Unicode MS" w:hAnsi="Cambria"/>
          <w:color w:val="000000"/>
          <w:u w:color="000000"/>
          <w:bdr w:val="nil"/>
          <w:lang w:val="en-GB"/>
          <w14:textOutline w14:w="12700" w14:cap="flat" w14:cmpd="sng" w14:algn="ctr">
            <w14:noFill/>
            <w14:prstDash w14:val="solid"/>
            <w14:miter w14:lim="400000"/>
          </w14:textOutline>
        </w:rPr>
        <w:t xml:space="preserve">(mean </w:t>
      </w:r>
      <w:r w:rsidR="0091378F" w:rsidRPr="001625BA">
        <w:rPr>
          <w:rFonts w:ascii="Cambria" w:eastAsia="Arial Unicode MS" w:hAnsi="Cambria"/>
          <w:color w:val="000000"/>
          <w:u w:color="000000"/>
          <w:bdr w:val="nil"/>
          <w:lang w:val="en-GB"/>
          <w14:textOutline w14:w="12700" w14:cap="flat" w14:cmpd="sng" w14:algn="ctr">
            <w14:noFill/>
            <w14:prstDash w14:val="solid"/>
            <w14:miter w14:lim="400000"/>
          </w14:textOutline>
        </w:rPr>
        <w:sym w:font="Symbol" w:char="F0B1"/>
      </w:r>
      <w:r w:rsidR="0091378F" w:rsidRPr="001625BA">
        <w:rPr>
          <w:rFonts w:ascii="Cambria" w:eastAsia="Arial Unicode MS" w:hAnsi="Cambria"/>
          <w:color w:val="000000"/>
          <w:u w:color="000000"/>
          <w:bdr w:val="nil"/>
          <w:lang w:val="en-GB"/>
          <w14:textOutline w14:w="12700" w14:cap="flat" w14:cmpd="sng" w14:algn="ctr">
            <w14:noFill/>
            <w14:prstDash w14:val="solid"/>
            <w14:miter w14:lim="400000"/>
          </w14:textOutline>
        </w:rPr>
        <w:t xml:space="preserve"> SD)</w:t>
      </w:r>
      <w:r w:rsidR="0080277E"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 xml:space="preserve">. Arrows indicate important clinical events (patient 1: ICU admission, sepsis and septic shock. Patient 2: discharge). </w:t>
      </w:r>
    </w:p>
    <w:p w14:paraId="3DB55225" w14:textId="77777777" w:rsidR="00E713DE" w:rsidRPr="001625BA" w:rsidRDefault="00E713DE" w:rsidP="003440F6">
      <w:pPr>
        <w:pBdr>
          <w:top w:val="nil"/>
          <w:left w:val="nil"/>
          <w:bottom w:val="nil"/>
          <w:right w:val="nil"/>
          <w:between w:val="nil"/>
          <w:bar w:val="nil"/>
        </w:pBdr>
        <w:spacing w:after="120" w:line="360" w:lineRule="auto"/>
        <w:jc w:val="both"/>
        <w:rPr>
          <w:rFonts w:ascii="Times New Roman" w:eastAsia="MS Gothic" w:hAnsi="Times New Roman" w:cs="Times New Roman"/>
          <w:b/>
          <w:bCs/>
          <w:color w:val="000000" w:themeColor="text1"/>
          <w:sz w:val="24"/>
          <w:szCs w:val="24"/>
          <w:lang w:val="en-US" w:eastAsia="es-ES"/>
        </w:rPr>
      </w:pPr>
    </w:p>
    <w:p w14:paraId="7F4D70CF" w14:textId="0CB84274" w:rsidR="00AB5E23" w:rsidRPr="001625BA" w:rsidRDefault="004015E1" w:rsidP="003440F6">
      <w:pPr>
        <w:pBdr>
          <w:top w:val="nil"/>
          <w:left w:val="nil"/>
          <w:bottom w:val="nil"/>
          <w:right w:val="nil"/>
          <w:between w:val="nil"/>
          <w:bar w:val="nil"/>
        </w:pBdr>
        <w:spacing w:after="120" w:line="360" w:lineRule="auto"/>
        <w:jc w:val="both"/>
        <w:rPr>
          <w:rFonts w:ascii="Times New Roman" w:eastAsia="Arial Unicode MS" w:hAnsi="Times New Roman" w:cs="Times New Roman"/>
          <w:b/>
          <w:bCs/>
          <w:color w:val="000000"/>
          <w:u w:color="000000"/>
          <w:bdr w:val="nil"/>
          <w:lang w:val="en-GB" w:eastAsia="es-ES_tradnl"/>
          <w14:textOutline w14:w="12700" w14:cap="flat" w14:cmpd="sng" w14:algn="ctr">
            <w14:noFill/>
            <w14:prstDash w14:val="solid"/>
            <w14:miter w14:lim="400000"/>
          </w14:textOutline>
        </w:rPr>
      </w:pPr>
      <w:r w:rsidRPr="001625BA">
        <w:rPr>
          <w:rFonts w:ascii="Times New Roman" w:eastAsia="MS Gothic" w:hAnsi="Times New Roman" w:cs="Times New Roman"/>
          <w:b/>
          <w:bCs/>
          <w:color w:val="000000" w:themeColor="text1"/>
          <w:sz w:val="24"/>
          <w:szCs w:val="24"/>
          <w:lang w:val="en-US" w:eastAsia="es-ES"/>
        </w:rPr>
        <w:t>Supplementary</w:t>
      </w:r>
      <w:r w:rsidRPr="001625BA">
        <w:rPr>
          <w:rFonts w:ascii="Times New Roman" w:eastAsia="Arial Unicode MS" w:hAnsi="Times New Roman" w:cs="Times New Roman"/>
          <w:b/>
          <w:bCs/>
          <w:color w:val="000000"/>
          <w:u w:color="000000"/>
          <w:bdr w:val="nil"/>
          <w:lang w:val="en-GB" w:eastAsia="es-ES_tradnl"/>
          <w14:textOutline w14:w="12700" w14:cap="flat" w14:cmpd="sng" w14:algn="ctr">
            <w14:noFill/>
            <w14:prstDash w14:val="solid"/>
            <w14:miter w14:lim="400000"/>
          </w14:textOutline>
        </w:rPr>
        <w:t xml:space="preserve"> </w:t>
      </w:r>
      <w:r w:rsidR="00AB5E23" w:rsidRPr="001625BA">
        <w:rPr>
          <w:rFonts w:ascii="Times New Roman" w:eastAsia="Arial Unicode MS" w:hAnsi="Times New Roman" w:cs="Times New Roman"/>
          <w:b/>
          <w:bCs/>
          <w:color w:val="000000"/>
          <w:u w:color="000000"/>
          <w:bdr w:val="nil"/>
          <w:lang w:val="en-GB" w:eastAsia="es-ES_tradnl"/>
          <w14:textOutline w14:w="12700" w14:cap="flat" w14:cmpd="sng" w14:algn="ctr">
            <w14:noFill/>
            <w14:prstDash w14:val="solid"/>
            <w14:miter w14:lim="400000"/>
          </w14:textOutline>
        </w:rPr>
        <w:t>Figure 4. Gating strategy</w:t>
      </w:r>
      <w:r w:rsidR="0084196F" w:rsidRPr="001625BA">
        <w:rPr>
          <w:rFonts w:ascii="Times New Roman" w:eastAsia="Arial Unicode MS" w:hAnsi="Times New Roman" w:cs="Times New Roman"/>
          <w:b/>
          <w:bCs/>
          <w:color w:val="000000"/>
          <w:u w:color="000000"/>
          <w:bdr w:val="nil"/>
          <w:lang w:val="en-GB" w:eastAsia="es-ES_tradnl"/>
          <w14:textOutline w14:w="12700" w14:cap="flat" w14:cmpd="sng" w14:algn="ctr">
            <w14:noFill/>
            <w14:prstDash w14:val="solid"/>
            <w14:miter w14:lim="400000"/>
          </w14:textOutline>
        </w:rPr>
        <w:t>.</w:t>
      </w:r>
    </w:p>
    <w:p w14:paraId="13DA152A" w14:textId="77777777" w:rsidR="001111C5" w:rsidRPr="001625BA" w:rsidRDefault="001111C5" w:rsidP="003440F6">
      <w:pPr>
        <w:pBdr>
          <w:top w:val="nil"/>
          <w:left w:val="nil"/>
          <w:bottom w:val="nil"/>
          <w:right w:val="nil"/>
          <w:between w:val="nil"/>
          <w:bar w:val="nil"/>
        </w:pBdr>
        <w:spacing w:after="120" w:line="360" w:lineRule="auto"/>
        <w:jc w:val="both"/>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pPr>
    </w:p>
    <w:p w14:paraId="61FACD4C" w14:textId="0AA7C95C" w:rsidR="0080277E" w:rsidRPr="001625BA" w:rsidRDefault="004015E1" w:rsidP="0080277E">
      <w:pPr>
        <w:pBdr>
          <w:top w:val="nil"/>
          <w:left w:val="nil"/>
          <w:bottom w:val="nil"/>
          <w:right w:val="nil"/>
          <w:between w:val="nil"/>
          <w:bar w:val="nil"/>
        </w:pBdr>
        <w:spacing w:after="120" w:line="360" w:lineRule="auto"/>
        <w:jc w:val="both"/>
        <w:rPr>
          <w:rFonts w:ascii="Cambria" w:eastAsia="Arial Unicode MS" w:hAnsi="Cambria"/>
          <w:color w:val="000000"/>
          <w:u w:color="000000"/>
          <w:bdr w:val="nil"/>
          <w:lang w:val="en-GB"/>
          <w14:textOutline w14:w="12700" w14:cap="flat" w14:cmpd="sng" w14:algn="ctr">
            <w14:noFill/>
            <w14:prstDash w14:val="solid"/>
            <w14:miter w14:lim="400000"/>
          </w14:textOutline>
        </w:rPr>
      </w:pPr>
      <w:r w:rsidRPr="001625BA">
        <w:rPr>
          <w:rFonts w:ascii="Times New Roman" w:eastAsia="MS Gothic" w:hAnsi="Times New Roman" w:cs="Times New Roman"/>
          <w:b/>
          <w:bCs/>
          <w:color w:val="000000" w:themeColor="text1"/>
          <w:sz w:val="24"/>
          <w:szCs w:val="24"/>
          <w:lang w:val="en-US" w:eastAsia="es-ES"/>
        </w:rPr>
        <w:t>Supplementary</w:t>
      </w:r>
      <w:r w:rsidRPr="001625BA">
        <w:rPr>
          <w:rFonts w:ascii="Times New Roman" w:eastAsia="Arial Unicode MS" w:hAnsi="Times New Roman" w:cs="Times New Roman"/>
          <w:b/>
          <w:bCs/>
          <w:color w:val="000000"/>
          <w:u w:color="000000"/>
          <w:bdr w:val="nil"/>
          <w:lang w:val="en-GB" w:eastAsia="es-ES_tradnl"/>
          <w14:textOutline w14:w="12700" w14:cap="flat" w14:cmpd="sng" w14:algn="ctr">
            <w14:noFill/>
            <w14:prstDash w14:val="solid"/>
            <w14:miter w14:lim="400000"/>
          </w14:textOutline>
        </w:rPr>
        <w:t xml:space="preserve"> </w:t>
      </w:r>
      <w:r w:rsidR="003440F6" w:rsidRPr="001625BA">
        <w:rPr>
          <w:rFonts w:ascii="Times New Roman" w:eastAsia="Arial Unicode MS" w:hAnsi="Times New Roman" w:cs="Times New Roman"/>
          <w:b/>
          <w:bCs/>
          <w:color w:val="000000"/>
          <w:u w:color="000000"/>
          <w:bdr w:val="nil"/>
          <w:lang w:val="en-GB" w:eastAsia="es-ES_tradnl"/>
          <w14:textOutline w14:w="12700" w14:cap="flat" w14:cmpd="sng" w14:algn="ctr">
            <w14:noFill/>
            <w14:prstDash w14:val="solid"/>
            <w14:miter w14:lim="400000"/>
          </w14:textOutline>
        </w:rPr>
        <w:t xml:space="preserve">Figure 5. TIM-3 expression, cell population profile and cytokine levels in patients 1 and 2. </w:t>
      </w:r>
      <w:r w:rsidR="003440F6"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A</w:t>
      </w:r>
      <w:r w:rsidR="00B57145"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w:t>
      </w:r>
      <w:r w:rsidR="003440F6"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 xml:space="preserve"> </w:t>
      </w:r>
      <w:r w:rsidR="00334E44"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T</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he</w:t>
      </w:r>
      <w:r w:rsidR="003440F6" w:rsidRPr="001625BA">
        <w:rPr>
          <w:rFonts w:ascii="Times New Roman" w:eastAsia="Arial Unicode MS" w:hAnsi="Times New Roman" w:cs="Times New Roman"/>
          <w:bCs/>
          <w:color w:val="000000"/>
          <w:u w:color="000000"/>
          <w:bdr w:val="nil"/>
          <w:lang w:val="en-GB" w:eastAsia="es-ES_tradnl"/>
          <w14:textOutline w14:w="12700" w14:cap="flat" w14:cmpd="sng" w14:algn="ctr">
            <w14:noFill/>
            <w14:prstDash w14:val="solid"/>
            <w14:miter w14:lim="400000"/>
          </w14:textOutline>
        </w:rPr>
        <w:t xml:space="preserve"> </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MFI of TIM-3 on gated CD14</w:t>
      </w:r>
      <w:r w:rsidR="003440F6" w:rsidRPr="001625BA">
        <w:rPr>
          <w:rFonts w:ascii="Times New Roman" w:eastAsia="Arial Unicode MS" w:hAnsi="Times New Roman" w:cs="Times New Roman"/>
          <w:color w:val="000000"/>
          <w:u w:color="000000"/>
          <w:bdr w:val="nil"/>
          <w:vertAlign w:val="superscript"/>
          <w:lang w:val="en-GB" w:eastAsia="es-ES_tradnl"/>
          <w14:textOutline w14:w="12700" w14:cap="flat" w14:cmpd="sng" w14:algn="ctr">
            <w14:noFill/>
            <w14:prstDash w14:val="solid"/>
            <w14:miter w14:lim="400000"/>
          </w14:textOutline>
        </w:rPr>
        <w:t>+</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 xml:space="preserve"> monocytes are shown. B</w:t>
      </w:r>
      <w:r w:rsidR="001A3D30"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w:t>
      </w:r>
      <w:r w:rsidR="005F6F89"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 xml:space="preserve"> </w:t>
      </w:r>
      <w:proofErr w:type="gramStart"/>
      <w:r w:rsidR="005F6F89"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T</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he</w:t>
      </w:r>
      <w:proofErr w:type="gramEnd"/>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 xml:space="preserve"> percentages of monocytes from total blood cells are shown. C</w:t>
      </w:r>
      <w:r w:rsidR="001A3D30"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 xml:space="preserve"> </w:t>
      </w:r>
      <w:r w:rsidR="005F6F89"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T</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he MFI of TIM-3 on gated CD3</w:t>
      </w:r>
      <w:r w:rsidR="003440F6" w:rsidRPr="001625BA">
        <w:rPr>
          <w:rFonts w:ascii="Times New Roman" w:eastAsia="Arial Unicode MS" w:hAnsi="Times New Roman" w:cs="Times New Roman"/>
          <w:color w:val="000000"/>
          <w:u w:color="000000"/>
          <w:bdr w:val="nil"/>
          <w:vertAlign w:val="superscript"/>
          <w:lang w:val="en-GB" w:eastAsia="es-ES_tradnl"/>
          <w14:textOutline w14:w="12700" w14:cap="flat" w14:cmpd="sng" w14:algn="ctr">
            <w14:noFill/>
            <w14:prstDash w14:val="solid"/>
            <w14:miter w14:lim="400000"/>
          </w14:textOutline>
        </w:rPr>
        <w:t>-</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CD56</w:t>
      </w:r>
      <w:r w:rsidR="003440F6" w:rsidRPr="001625BA">
        <w:rPr>
          <w:rFonts w:ascii="Times New Roman" w:eastAsia="Arial Unicode MS" w:hAnsi="Times New Roman" w:cs="Times New Roman"/>
          <w:color w:val="000000"/>
          <w:u w:color="000000"/>
          <w:bdr w:val="nil"/>
          <w:vertAlign w:val="superscript"/>
          <w:lang w:val="en-GB" w:eastAsia="es-ES_tradnl"/>
          <w14:textOutline w14:w="12700" w14:cap="flat" w14:cmpd="sng" w14:algn="ctr">
            <w14:noFill/>
            <w14:prstDash w14:val="solid"/>
            <w14:miter w14:lim="400000"/>
          </w14:textOutline>
        </w:rPr>
        <w:t>+</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 xml:space="preserve"> (NK cells) are shown. D</w:t>
      </w:r>
      <w:r w:rsidR="001A3D30"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 xml:space="preserve"> </w:t>
      </w:r>
      <w:proofErr w:type="gramStart"/>
      <w:r w:rsidR="005F6F89"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T</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he</w:t>
      </w:r>
      <w:proofErr w:type="gramEnd"/>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 xml:space="preserve"> percentages of CD3</w:t>
      </w:r>
      <w:r w:rsidR="003440F6" w:rsidRPr="001625BA">
        <w:rPr>
          <w:rFonts w:ascii="Times New Roman" w:eastAsia="Arial Unicode MS" w:hAnsi="Times New Roman" w:cs="Times New Roman"/>
          <w:color w:val="000000"/>
          <w:u w:color="000000"/>
          <w:bdr w:val="nil"/>
          <w:vertAlign w:val="superscript"/>
          <w:lang w:val="en-GB" w:eastAsia="es-ES_tradnl"/>
          <w14:textOutline w14:w="12700" w14:cap="flat" w14:cmpd="sng" w14:algn="ctr">
            <w14:noFill/>
            <w14:prstDash w14:val="solid"/>
            <w14:miter w14:lim="400000"/>
          </w14:textOutline>
        </w:rPr>
        <w:t>-</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CD56</w:t>
      </w:r>
      <w:r w:rsidR="003440F6" w:rsidRPr="001625BA">
        <w:rPr>
          <w:rFonts w:ascii="Times New Roman" w:eastAsia="Arial Unicode MS" w:hAnsi="Times New Roman" w:cs="Times New Roman"/>
          <w:color w:val="000000"/>
          <w:u w:color="000000"/>
          <w:bdr w:val="nil"/>
          <w:vertAlign w:val="superscript"/>
          <w:lang w:val="en-GB" w:eastAsia="es-ES_tradnl"/>
          <w14:textOutline w14:w="12700" w14:cap="flat" w14:cmpd="sng" w14:algn="ctr">
            <w14:noFill/>
            <w14:prstDash w14:val="solid"/>
            <w14:miter w14:lim="400000"/>
          </w14:textOutline>
        </w:rPr>
        <w:t>+</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 xml:space="preserve"> (NK cells) from total blood cells are shown. E</w:t>
      </w:r>
      <w:r w:rsidR="001A3D30"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w:t>
      </w:r>
      <w:r w:rsidR="005F6F89"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 xml:space="preserve"> T</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he MFI of TIM-3 on gated CD16</w:t>
      </w:r>
      <w:r w:rsidR="003440F6" w:rsidRPr="001625BA">
        <w:rPr>
          <w:rFonts w:ascii="Times New Roman" w:eastAsia="Arial Unicode MS" w:hAnsi="Times New Roman" w:cs="Times New Roman"/>
          <w:color w:val="000000"/>
          <w:u w:color="000000"/>
          <w:bdr w:val="nil"/>
          <w:vertAlign w:val="superscript"/>
          <w:lang w:val="en-GB" w:eastAsia="es-ES_tradnl"/>
          <w14:textOutline w14:w="12700" w14:cap="flat" w14:cmpd="sng" w14:algn="ctr">
            <w14:noFill/>
            <w14:prstDash w14:val="solid"/>
            <w14:miter w14:lim="400000"/>
          </w14:textOutline>
        </w:rPr>
        <w:t>+</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 xml:space="preserve"> neutrophils are shown. F</w:t>
      </w:r>
      <w:r w:rsidR="001A3D30"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w:t>
      </w:r>
      <w:r w:rsidR="005F6F89"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 xml:space="preserve"> </w:t>
      </w:r>
      <w:proofErr w:type="gramStart"/>
      <w:r w:rsidR="005F6F89"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T</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he</w:t>
      </w:r>
      <w:proofErr w:type="gramEnd"/>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 xml:space="preserve"> percentages of CD16</w:t>
      </w:r>
      <w:r w:rsidR="003440F6" w:rsidRPr="001625BA">
        <w:rPr>
          <w:rFonts w:ascii="Times New Roman" w:eastAsia="Arial Unicode MS" w:hAnsi="Times New Roman" w:cs="Times New Roman"/>
          <w:color w:val="000000"/>
          <w:u w:color="000000"/>
          <w:bdr w:val="nil"/>
          <w:vertAlign w:val="superscript"/>
          <w:lang w:val="en-GB" w:eastAsia="es-ES_tradnl"/>
          <w14:textOutline w14:w="12700" w14:cap="flat" w14:cmpd="sng" w14:algn="ctr">
            <w14:noFill/>
            <w14:prstDash w14:val="solid"/>
            <w14:miter w14:lim="400000"/>
          </w14:textOutline>
        </w:rPr>
        <w:t>+</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 xml:space="preserve"> neutrophils from total blood cells are shown. G and H</w:t>
      </w:r>
      <w:r w:rsidR="001A3D30"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w:t>
      </w:r>
      <w:r w:rsidR="005F6F89"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 xml:space="preserve"> </w:t>
      </w:r>
      <w:proofErr w:type="gramStart"/>
      <w:r w:rsidR="005F6F89"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T</w:t>
      </w:r>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he</w:t>
      </w:r>
      <w:proofErr w:type="gramEnd"/>
      <w:r w:rsidR="003440F6" w:rsidRPr="001625BA">
        <w:rPr>
          <w:rFonts w:ascii="Times New Roman" w:eastAsia="Arial Unicode MS" w:hAnsi="Times New Roman" w:cs="Times New Roman"/>
          <w:color w:val="000000"/>
          <w:u w:color="000000"/>
          <w:bdr w:val="nil"/>
          <w:lang w:val="en-GB" w:eastAsia="es-ES_tradnl"/>
          <w14:textOutline w14:w="12700" w14:cap="flat" w14:cmpd="sng" w14:algn="ctr">
            <w14:noFill/>
            <w14:prstDash w14:val="solid"/>
            <w14:miter w14:lim="400000"/>
          </w14:textOutline>
        </w:rPr>
        <w:t xml:space="preserve"> cytokine levels quantified on plasma from the patients and HVs are shown. IL6 (G) and IL17 (H). </w:t>
      </w:r>
      <w:r w:rsidR="0080277E" w:rsidRPr="001625BA">
        <w:rPr>
          <w:rFonts w:ascii="Times New Roman" w:eastAsia="Arial Unicode MS" w:hAnsi="Times New Roman" w:cs="Times New Roman"/>
          <w:color w:val="000000"/>
          <w:u w:color="000000"/>
          <w:bdr w:val="nil"/>
          <w:lang w:val="en-GB"/>
          <w14:textOutline w14:w="12700" w14:cap="flat" w14:cmpd="sng" w14:algn="ctr">
            <w14:noFill/>
            <w14:prstDash w14:val="solid"/>
            <w14:miter w14:lim="400000"/>
          </w14:textOutline>
        </w:rPr>
        <w:t xml:space="preserve">Data from patient 1 are shown in red, and data from patient 2 is shown in green. Dashed lines represent the calculated </w:t>
      </w:r>
      <w:r w:rsidR="0080277E" w:rsidRPr="001625BA">
        <w:rPr>
          <w:rFonts w:ascii="Times New Roman" w:eastAsia="Arial Unicode MS" w:hAnsi="Times New Roman" w:cs="Times New Roman"/>
          <w:color w:val="000000"/>
          <w:u w:color="000000"/>
          <w:bdr w:val="nil"/>
          <w:lang w:val="en-GB"/>
          <w14:textOutline w14:w="12700" w14:cap="flat" w14:cmpd="sng" w14:algn="ctr">
            <w14:noFill/>
            <w14:prstDash w14:val="solid"/>
            <w14:miter w14:lim="400000"/>
          </w14:textOutline>
        </w:rPr>
        <w:lastRenderedPageBreak/>
        <w:t>means from the analysis of a unique sample from 10 HVs</w:t>
      </w:r>
      <w:r w:rsidR="0091378F" w:rsidRPr="001625BA">
        <w:rPr>
          <w:rFonts w:ascii="Times New Roman" w:eastAsia="Arial Unicode MS" w:hAnsi="Times New Roman" w:cs="Times New Roman"/>
          <w:color w:val="000000"/>
          <w:u w:color="000000"/>
          <w:bdr w:val="nil"/>
          <w:lang w:val="en-GB"/>
          <w14:textOutline w14:w="12700" w14:cap="flat" w14:cmpd="sng" w14:algn="ctr">
            <w14:noFill/>
            <w14:prstDash w14:val="solid"/>
            <w14:miter w14:lim="400000"/>
          </w14:textOutline>
        </w:rPr>
        <w:t xml:space="preserve"> (mean </w:t>
      </w:r>
      <w:r w:rsidR="0091378F" w:rsidRPr="001625BA">
        <w:rPr>
          <w:rFonts w:ascii="Times New Roman" w:eastAsia="Arial Unicode MS" w:hAnsi="Times New Roman" w:cs="Times New Roman"/>
          <w:color w:val="000000"/>
          <w:u w:color="000000"/>
          <w:bdr w:val="nil"/>
          <w:lang w:val="en-GB"/>
          <w14:textOutline w14:w="12700" w14:cap="flat" w14:cmpd="sng" w14:algn="ctr">
            <w14:noFill/>
            <w14:prstDash w14:val="solid"/>
            <w14:miter w14:lim="400000"/>
          </w14:textOutline>
        </w:rPr>
        <w:sym w:font="Symbol" w:char="F0B1"/>
      </w:r>
      <w:r w:rsidR="0091378F" w:rsidRPr="001625BA">
        <w:rPr>
          <w:rFonts w:ascii="Times New Roman" w:eastAsia="Arial Unicode MS" w:hAnsi="Times New Roman" w:cs="Times New Roman"/>
          <w:color w:val="000000"/>
          <w:u w:color="000000"/>
          <w:bdr w:val="nil"/>
          <w:lang w:val="en-GB"/>
          <w14:textOutline w14:w="12700" w14:cap="flat" w14:cmpd="sng" w14:algn="ctr">
            <w14:noFill/>
            <w14:prstDash w14:val="solid"/>
            <w14:miter w14:lim="400000"/>
          </w14:textOutline>
        </w:rPr>
        <w:t xml:space="preserve"> SD)</w:t>
      </w:r>
      <w:r w:rsidR="0080277E" w:rsidRPr="001625BA">
        <w:rPr>
          <w:rFonts w:ascii="Times New Roman" w:eastAsia="Arial Unicode MS" w:hAnsi="Times New Roman" w:cs="Times New Roman"/>
          <w:color w:val="000000"/>
          <w:u w:color="000000"/>
          <w:bdr w:val="nil"/>
          <w:lang w:val="en-GB"/>
          <w14:textOutline w14:w="12700" w14:cap="flat" w14:cmpd="sng" w14:algn="ctr">
            <w14:noFill/>
            <w14:prstDash w14:val="solid"/>
            <w14:miter w14:lim="400000"/>
          </w14:textOutline>
        </w:rPr>
        <w:t>. Arrows indicate important clinical events (patient 1: ICU admission, sepsis and septic shock. Patient 2: discharge).</w:t>
      </w:r>
      <w:r w:rsidR="0080277E" w:rsidRPr="001625BA">
        <w:rPr>
          <w:rFonts w:ascii="Cambria" w:eastAsia="Arial Unicode MS" w:hAnsi="Cambria"/>
          <w:color w:val="000000"/>
          <w:u w:color="000000"/>
          <w:bdr w:val="nil"/>
          <w:lang w:val="en-GB"/>
          <w14:textOutline w14:w="12700" w14:cap="flat" w14:cmpd="sng" w14:algn="ctr">
            <w14:noFill/>
            <w14:prstDash w14:val="solid"/>
            <w14:miter w14:lim="400000"/>
          </w14:textOutline>
        </w:rPr>
        <w:t xml:space="preserve"> </w:t>
      </w:r>
    </w:p>
    <w:p w14:paraId="61E47A1A" w14:textId="77777777" w:rsidR="00EB0EE1" w:rsidRPr="001625BA" w:rsidRDefault="00EB0EE1" w:rsidP="0080277E">
      <w:pPr>
        <w:pBdr>
          <w:top w:val="nil"/>
          <w:left w:val="nil"/>
          <w:bottom w:val="nil"/>
          <w:right w:val="nil"/>
          <w:between w:val="nil"/>
          <w:bar w:val="nil"/>
        </w:pBdr>
        <w:spacing w:after="120" w:line="360" w:lineRule="auto"/>
        <w:jc w:val="both"/>
        <w:rPr>
          <w:rFonts w:ascii="Cambria" w:eastAsia="Arial Unicode MS" w:hAnsi="Cambria"/>
          <w:color w:val="000000"/>
          <w:u w:color="000000"/>
          <w:bdr w:val="nil"/>
          <w:lang w:val="en-GB"/>
          <w14:textOutline w14:w="12700" w14:cap="flat" w14:cmpd="sng" w14:algn="ctr">
            <w14:noFill/>
            <w14:prstDash w14:val="solid"/>
            <w14:miter w14:lim="400000"/>
          </w14:textOutline>
        </w:rPr>
      </w:pPr>
    </w:p>
    <w:p w14:paraId="649AAA12" w14:textId="43EA9A1A" w:rsidR="00716633" w:rsidRPr="001625BA" w:rsidRDefault="00716633" w:rsidP="0080277E">
      <w:pPr>
        <w:pBdr>
          <w:top w:val="nil"/>
          <w:left w:val="nil"/>
          <w:bottom w:val="nil"/>
          <w:right w:val="nil"/>
          <w:between w:val="nil"/>
          <w:bar w:val="nil"/>
        </w:pBdr>
        <w:spacing w:after="120" w:line="360" w:lineRule="auto"/>
        <w:jc w:val="both"/>
        <w:rPr>
          <w:rFonts w:ascii="Times New Roman" w:eastAsia="Times New Roman" w:hAnsi="Times New Roman" w:cs="Times New Roman"/>
          <w:b/>
          <w:bCs/>
          <w:sz w:val="24"/>
          <w:szCs w:val="24"/>
          <w:lang w:val="en-US"/>
        </w:rPr>
      </w:pPr>
      <w:r w:rsidRPr="001625BA">
        <w:rPr>
          <w:rFonts w:ascii="Times New Roman" w:eastAsia="Times New Roman" w:hAnsi="Times New Roman" w:cs="Times New Roman"/>
          <w:b/>
          <w:bCs/>
          <w:sz w:val="24"/>
          <w:szCs w:val="24"/>
          <w:lang w:val="en-US"/>
        </w:rPr>
        <w:t>Supplementary Table 1</w:t>
      </w:r>
    </w:p>
    <w:p w14:paraId="1A26BBED" w14:textId="5E5825DD" w:rsidR="00716633" w:rsidRPr="001625BA" w:rsidRDefault="00716633" w:rsidP="0080277E">
      <w:pPr>
        <w:pBdr>
          <w:top w:val="nil"/>
          <w:left w:val="nil"/>
          <w:bottom w:val="nil"/>
          <w:right w:val="nil"/>
          <w:between w:val="nil"/>
          <w:bar w:val="nil"/>
        </w:pBdr>
        <w:spacing w:after="120" w:line="360" w:lineRule="auto"/>
        <w:jc w:val="both"/>
        <w:rPr>
          <w:rFonts w:ascii="Cambria" w:eastAsia="Times New Roman" w:hAnsi="Cambria"/>
          <w:b/>
          <w:bCs/>
          <w:lang w:val="en-US"/>
        </w:rPr>
      </w:pPr>
    </w:p>
    <w:tbl>
      <w:tblPr>
        <w:tblStyle w:val="Sombreadoclaro1"/>
        <w:tblW w:w="5406" w:type="dxa"/>
        <w:tblInd w:w="1007" w:type="dxa"/>
        <w:tblLook w:val="04A0" w:firstRow="1" w:lastRow="0" w:firstColumn="1" w:lastColumn="0" w:noHBand="0" w:noVBand="1"/>
      </w:tblPr>
      <w:tblGrid>
        <w:gridCol w:w="2239"/>
        <w:gridCol w:w="1055"/>
        <w:gridCol w:w="1056"/>
        <w:gridCol w:w="1056"/>
      </w:tblGrid>
      <w:tr w:rsidR="00A76E01" w:rsidRPr="001625BA" w14:paraId="2C27092A" w14:textId="65E2D7B9" w:rsidTr="001C6A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hideMark/>
          </w:tcPr>
          <w:p w14:paraId="5D332DA8" w14:textId="77777777" w:rsidR="00A76E01" w:rsidRPr="001625BA" w:rsidRDefault="00A76E01" w:rsidP="00F630D9">
            <w:pPr>
              <w:spacing w:line="480" w:lineRule="auto"/>
              <w:rPr>
                <w:rFonts w:ascii="Times New Roman" w:hAnsi="Times New Roman" w:cs="Times New Roman"/>
                <w:sz w:val="16"/>
                <w:szCs w:val="16"/>
              </w:rPr>
            </w:pPr>
          </w:p>
        </w:tc>
        <w:tc>
          <w:tcPr>
            <w:tcW w:w="1055" w:type="dxa"/>
            <w:hideMark/>
          </w:tcPr>
          <w:p w14:paraId="08DD3263" w14:textId="6C055F3A" w:rsidR="00A76E01" w:rsidRPr="001625BA" w:rsidRDefault="00A76E01" w:rsidP="00F630D9">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1625BA">
              <w:rPr>
                <w:rFonts w:ascii="Times New Roman" w:hAnsi="Times New Roman" w:cs="Times New Roman"/>
                <w:sz w:val="16"/>
                <w:szCs w:val="16"/>
              </w:rPr>
              <w:t>Survivors</w:t>
            </w:r>
            <w:proofErr w:type="spellEnd"/>
          </w:p>
          <w:p w14:paraId="28E2BC5C" w14:textId="45967D6C" w:rsidR="00A76E01" w:rsidRPr="001625BA" w:rsidRDefault="00A76E01" w:rsidP="00F630D9">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(n=47)</w:t>
            </w:r>
          </w:p>
        </w:tc>
        <w:tc>
          <w:tcPr>
            <w:tcW w:w="1056" w:type="dxa"/>
            <w:hideMark/>
          </w:tcPr>
          <w:p w14:paraId="3C3EFA4F" w14:textId="79568A40" w:rsidR="00A76E01" w:rsidRPr="001625BA" w:rsidRDefault="00A76E01" w:rsidP="00F630D9">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6"/>
                <w:szCs w:val="16"/>
              </w:rPr>
            </w:pPr>
            <w:r w:rsidRPr="001625BA">
              <w:rPr>
                <w:rFonts w:ascii="Times New Roman" w:hAnsi="Times New Roman" w:cs="Times New Roman"/>
                <w:i/>
                <w:sz w:val="16"/>
                <w:szCs w:val="16"/>
              </w:rPr>
              <w:t>Exitus</w:t>
            </w:r>
          </w:p>
          <w:p w14:paraId="57157FD7" w14:textId="67A1CF2C" w:rsidR="00A76E01" w:rsidRPr="001625BA" w:rsidRDefault="00A76E01" w:rsidP="00F630D9">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(n=10)</w:t>
            </w:r>
          </w:p>
        </w:tc>
        <w:tc>
          <w:tcPr>
            <w:tcW w:w="1056" w:type="dxa"/>
          </w:tcPr>
          <w:p w14:paraId="2B976FEA" w14:textId="73FD5ADA" w:rsidR="00A76E01" w:rsidRPr="001625BA" w:rsidRDefault="00A76E01" w:rsidP="00F630D9">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vertAlign w:val="superscript"/>
              </w:rPr>
            </w:pPr>
            <w:r w:rsidRPr="001625BA">
              <w:rPr>
                <w:rFonts w:ascii="Times New Roman" w:hAnsi="Times New Roman" w:cs="Times New Roman"/>
                <w:sz w:val="16"/>
                <w:szCs w:val="16"/>
              </w:rPr>
              <w:t>HV</w:t>
            </w:r>
          </w:p>
          <w:p w14:paraId="4A7AB2D7" w14:textId="7CCD7028" w:rsidR="00A76E01" w:rsidRPr="001625BA" w:rsidRDefault="00A76E01" w:rsidP="00F630D9">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(n=15)</w:t>
            </w:r>
          </w:p>
        </w:tc>
      </w:tr>
      <w:tr w:rsidR="00A76E01" w:rsidRPr="001625BA" w14:paraId="55F37278" w14:textId="602BCBC1" w:rsidTr="001C6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Borders>
              <w:top w:val="single" w:sz="8" w:space="0" w:color="000000" w:themeColor="text1"/>
              <w:bottom w:val="single" w:sz="4" w:space="0" w:color="auto"/>
            </w:tcBorders>
            <w:shd w:val="clear" w:color="auto" w:fill="FFFFFF" w:themeFill="background1"/>
            <w:hideMark/>
          </w:tcPr>
          <w:p w14:paraId="70975111" w14:textId="678FD38A" w:rsidR="00A76E01" w:rsidRPr="001625BA" w:rsidRDefault="00A76E01" w:rsidP="00F630D9">
            <w:pPr>
              <w:spacing w:line="480" w:lineRule="auto"/>
              <w:rPr>
                <w:rFonts w:ascii="Times New Roman" w:hAnsi="Times New Roman" w:cs="Times New Roman"/>
                <w:sz w:val="16"/>
                <w:szCs w:val="16"/>
              </w:rPr>
            </w:pPr>
            <w:r w:rsidRPr="001625BA">
              <w:rPr>
                <w:rFonts w:ascii="Times New Roman" w:hAnsi="Times New Roman" w:cs="Times New Roman"/>
                <w:sz w:val="16"/>
                <w:szCs w:val="16"/>
              </w:rPr>
              <w:t xml:space="preserve">Age – </w:t>
            </w:r>
            <w:proofErr w:type="spellStart"/>
            <w:r w:rsidRPr="001625BA">
              <w:rPr>
                <w:rFonts w:ascii="Times New Roman" w:hAnsi="Times New Roman" w:cs="Times New Roman"/>
                <w:sz w:val="16"/>
                <w:szCs w:val="16"/>
              </w:rPr>
              <w:t>years</w:t>
            </w:r>
            <w:proofErr w:type="spellEnd"/>
          </w:p>
        </w:tc>
        <w:tc>
          <w:tcPr>
            <w:tcW w:w="1055" w:type="dxa"/>
            <w:tcBorders>
              <w:top w:val="single" w:sz="8" w:space="0" w:color="000000" w:themeColor="text1"/>
              <w:bottom w:val="single" w:sz="4" w:space="0" w:color="auto"/>
            </w:tcBorders>
            <w:shd w:val="clear" w:color="auto" w:fill="FFFFFF" w:themeFill="background1"/>
            <w:hideMark/>
          </w:tcPr>
          <w:p w14:paraId="4BD42805" w14:textId="121E2DE1" w:rsidR="00A76E01" w:rsidRPr="001625BA" w:rsidRDefault="00A76E01" w:rsidP="00F630D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51.54±12.59</w:t>
            </w:r>
          </w:p>
        </w:tc>
        <w:tc>
          <w:tcPr>
            <w:tcW w:w="1056" w:type="dxa"/>
            <w:tcBorders>
              <w:top w:val="single" w:sz="8" w:space="0" w:color="000000" w:themeColor="text1"/>
              <w:bottom w:val="single" w:sz="4" w:space="0" w:color="auto"/>
            </w:tcBorders>
            <w:shd w:val="clear" w:color="auto" w:fill="FFFFFF" w:themeFill="background1"/>
            <w:hideMark/>
          </w:tcPr>
          <w:p w14:paraId="2A075161" w14:textId="5EBFB550" w:rsidR="00A76E01" w:rsidRPr="001625BA" w:rsidRDefault="00A76E01" w:rsidP="00F630D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69.71±12.61</w:t>
            </w:r>
          </w:p>
        </w:tc>
        <w:tc>
          <w:tcPr>
            <w:tcW w:w="1056" w:type="dxa"/>
            <w:tcBorders>
              <w:top w:val="single" w:sz="8" w:space="0" w:color="000000" w:themeColor="text1"/>
              <w:bottom w:val="single" w:sz="4" w:space="0" w:color="auto"/>
            </w:tcBorders>
            <w:shd w:val="clear" w:color="auto" w:fill="FFFFFF" w:themeFill="background1"/>
          </w:tcPr>
          <w:p w14:paraId="0B34894D" w14:textId="251D82D8" w:rsidR="00A76E01" w:rsidRPr="001625BA" w:rsidRDefault="00A76E01" w:rsidP="00F630D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58.5±10.31</w:t>
            </w:r>
          </w:p>
        </w:tc>
      </w:tr>
      <w:tr w:rsidR="00A76E01" w:rsidRPr="001625BA" w14:paraId="674F5E76" w14:textId="79840ECF" w:rsidTr="001C6A34">
        <w:tc>
          <w:tcPr>
            <w:cnfStyle w:val="001000000000" w:firstRow="0" w:lastRow="0" w:firstColumn="1" w:lastColumn="0" w:oddVBand="0" w:evenVBand="0" w:oddHBand="0" w:evenHBand="0" w:firstRowFirstColumn="0" w:firstRowLastColumn="0" w:lastRowFirstColumn="0" w:lastRowLastColumn="0"/>
            <w:tcW w:w="2239" w:type="dxa"/>
            <w:tcBorders>
              <w:top w:val="single" w:sz="4" w:space="0" w:color="auto"/>
              <w:bottom w:val="single" w:sz="4" w:space="0" w:color="auto"/>
            </w:tcBorders>
            <w:shd w:val="clear" w:color="auto" w:fill="FFFFFF" w:themeFill="background1"/>
            <w:hideMark/>
          </w:tcPr>
          <w:p w14:paraId="777B4486" w14:textId="77777777" w:rsidR="00A76E01" w:rsidRPr="001625BA" w:rsidRDefault="00A76E01" w:rsidP="00F630D9">
            <w:pPr>
              <w:spacing w:line="480" w:lineRule="auto"/>
              <w:rPr>
                <w:rFonts w:ascii="Times New Roman" w:hAnsi="Times New Roman" w:cs="Times New Roman"/>
                <w:sz w:val="16"/>
                <w:szCs w:val="16"/>
              </w:rPr>
            </w:pPr>
            <w:r w:rsidRPr="001625BA">
              <w:rPr>
                <w:rFonts w:ascii="Times New Roman" w:hAnsi="Times New Roman" w:cs="Times New Roman"/>
                <w:sz w:val="16"/>
                <w:szCs w:val="16"/>
              </w:rPr>
              <w:t xml:space="preserve">Sex, </w:t>
            </w:r>
            <w:proofErr w:type="spellStart"/>
            <w:r w:rsidRPr="001625BA">
              <w:rPr>
                <w:rFonts w:ascii="Times New Roman" w:hAnsi="Times New Roman" w:cs="Times New Roman"/>
                <w:sz w:val="16"/>
                <w:szCs w:val="16"/>
              </w:rPr>
              <w:t>male</w:t>
            </w:r>
            <w:proofErr w:type="spellEnd"/>
            <w:r w:rsidRPr="001625BA">
              <w:rPr>
                <w:rFonts w:ascii="Times New Roman" w:hAnsi="Times New Roman" w:cs="Times New Roman"/>
                <w:sz w:val="16"/>
                <w:szCs w:val="16"/>
              </w:rPr>
              <w:t xml:space="preserve"> – n (%)</w:t>
            </w:r>
          </w:p>
        </w:tc>
        <w:tc>
          <w:tcPr>
            <w:tcW w:w="1055" w:type="dxa"/>
            <w:tcBorders>
              <w:top w:val="single" w:sz="4" w:space="0" w:color="auto"/>
              <w:bottom w:val="single" w:sz="4" w:space="0" w:color="auto"/>
            </w:tcBorders>
            <w:shd w:val="clear" w:color="auto" w:fill="FFFFFF" w:themeFill="background1"/>
          </w:tcPr>
          <w:p w14:paraId="6CF36EBD" w14:textId="0EA3893D" w:rsidR="00A76E01" w:rsidRPr="001625BA" w:rsidRDefault="00A76E01" w:rsidP="00F630D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24 (51.06)</w:t>
            </w:r>
          </w:p>
        </w:tc>
        <w:tc>
          <w:tcPr>
            <w:tcW w:w="1056" w:type="dxa"/>
            <w:tcBorders>
              <w:top w:val="single" w:sz="4" w:space="0" w:color="auto"/>
              <w:bottom w:val="single" w:sz="4" w:space="0" w:color="auto"/>
            </w:tcBorders>
            <w:shd w:val="clear" w:color="auto" w:fill="FFFFFF" w:themeFill="background1"/>
          </w:tcPr>
          <w:p w14:paraId="7E62F741" w14:textId="73BF43BA" w:rsidR="00A76E01" w:rsidRPr="001625BA" w:rsidRDefault="00A76E01" w:rsidP="00F630D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8 (80.00)</w:t>
            </w:r>
          </w:p>
        </w:tc>
        <w:tc>
          <w:tcPr>
            <w:tcW w:w="1056" w:type="dxa"/>
            <w:tcBorders>
              <w:top w:val="single" w:sz="4" w:space="0" w:color="auto"/>
              <w:bottom w:val="single" w:sz="4" w:space="0" w:color="auto"/>
            </w:tcBorders>
            <w:shd w:val="clear" w:color="auto" w:fill="FFFFFF" w:themeFill="background1"/>
          </w:tcPr>
          <w:p w14:paraId="5A39121C" w14:textId="0B9638E0" w:rsidR="00A76E01" w:rsidRPr="001625BA" w:rsidRDefault="00A76E01" w:rsidP="00F630D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10 (66.66)</w:t>
            </w:r>
          </w:p>
        </w:tc>
      </w:tr>
      <w:tr w:rsidR="00A76E01" w:rsidRPr="001625BA" w14:paraId="61054789" w14:textId="5A78A033" w:rsidTr="001C6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Borders>
              <w:top w:val="single" w:sz="4" w:space="0" w:color="auto"/>
              <w:bottom w:val="nil"/>
            </w:tcBorders>
            <w:shd w:val="clear" w:color="auto" w:fill="FFFFFF" w:themeFill="background1"/>
            <w:hideMark/>
          </w:tcPr>
          <w:p w14:paraId="6AE7C602" w14:textId="77777777" w:rsidR="00A76E01" w:rsidRPr="001625BA" w:rsidRDefault="00A76E01" w:rsidP="00F630D9">
            <w:pPr>
              <w:spacing w:line="480" w:lineRule="auto"/>
              <w:rPr>
                <w:rFonts w:ascii="Times New Roman" w:hAnsi="Times New Roman" w:cs="Times New Roman"/>
                <w:sz w:val="16"/>
                <w:szCs w:val="16"/>
              </w:rPr>
            </w:pPr>
            <w:r w:rsidRPr="001625BA">
              <w:rPr>
                <w:rFonts w:ascii="Times New Roman" w:hAnsi="Times New Roman" w:cs="Times New Roman"/>
                <w:sz w:val="16"/>
                <w:szCs w:val="16"/>
              </w:rPr>
              <w:t xml:space="preserve">Smoking </w:t>
            </w:r>
            <w:proofErr w:type="spellStart"/>
            <w:r w:rsidRPr="001625BA">
              <w:rPr>
                <w:rFonts w:ascii="Times New Roman" w:hAnsi="Times New Roman" w:cs="Times New Roman"/>
                <w:sz w:val="16"/>
                <w:szCs w:val="16"/>
              </w:rPr>
              <w:t>history</w:t>
            </w:r>
            <w:proofErr w:type="spellEnd"/>
            <w:r w:rsidRPr="001625BA">
              <w:rPr>
                <w:rFonts w:ascii="Times New Roman" w:hAnsi="Times New Roman" w:cs="Times New Roman"/>
                <w:sz w:val="16"/>
                <w:szCs w:val="16"/>
              </w:rPr>
              <w:t xml:space="preserve"> – n, (%)</w:t>
            </w:r>
          </w:p>
        </w:tc>
        <w:tc>
          <w:tcPr>
            <w:tcW w:w="1055" w:type="dxa"/>
            <w:tcBorders>
              <w:top w:val="single" w:sz="4" w:space="0" w:color="auto"/>
              <w:bottom w:val="nil"/>
            </w:tcBorders>
            <w:shd w:val="clear" w:color="auto" w:fill="FFFFFF" w:themeFill="background1"/>
          </w:tcPr>
          <w:p w14:paraId="2B4DFE0F" w14:textId="77777777" w:rsidR="00A76E01" w:rsidRPr="001625BA" w:rsidRDefault="00A76E01" w:rsidP="00F630D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056" w:type="dxa"/>
            <w:tcBorders>
              <w:top w:val="single" w:sz="4" w:space="0" w:color="auto"/>
              <w:bottom w:val="nil"/>
            </w:tcBorders>
            <w:shd w:val="clear" w:color="auto" w:fill="FFFFFF" w:themeFill="background1"/>
          </w:tcPr>
          <w:p w14:paraId="67456F53" w14:textId="77777777" w:rsidR="00A76E01" w:rsidRPr="001625BA" w:rsidRDefault="00A76E01" w:rsidP="00F630D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056" w:type="dxa"/>
            <w:tcBorders>
              <w:top w:val="single" w:sz="4" w:space="0" w:color="auto"/>
              <w:bottom w:val="nil"/>
            </w:tcBorders>
            <w:shd w:val="clear" w:color="auto" w:fill="FFFFFF" w:themeFill="background1"/>
          </w:tcPr>
          <w:p w14:paraId="60A6B12C" w14:textId="77777777" w:rsidR="00A76E01" w:rsidRPr="001625BA" w:rsidRDefault="00A76E01" w:rsidP="00F630D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A76E01" w:rsidRPr="001625BA" w14:paraId="31037E4F" w14:textId="75E7CD5B" w:rsidTr="001C6A34">
        <w:tc>
          <w:tcPr>
            <w:cnfStyle w:val="001000000000" w:firstRow="0" w:lastRow="0" w:firstColumn="1" w:lastColumn="0" w:oddVBand="0" w:evenVBand="0" w:oddHBand="0" w:evenHBand="0" w:firstRowFirstColumn="0" w:firstRowLastColumn="0" w:lastRowFirstColumn="0" w:lastRowLastColumn="0"/>
            <w:tcW w:w="2239" w:type="dxa"/>
            <w:tcBorders>
              <w:top w:val="nil"/>
              <w:bottom w:val="nil"/>
            </w:tcBorders>
            <w:shd w:val="clear" w:color="auto" w:fill="FFFFFF" w:themeFill="background1"/>
            <w:hideMark/>
          </w:tcPr>
          <w:p w14:paraId="22962FE8" w14:textId="77777777" w:rsidR="00A76E01" w:rsidRPr="001625BA" w:rsidRDefault="00A76E01" w:rsidP="00F630D9">
            <w:pPr>
              <w:spacing w:line="480" w:lineRule="auto"/>
              <w:rPr>
                <w:rFonts w:ascii="Times New Roman" w:hAnsi="Times New Roman" w:cs="Times New Roman"/>
                <w:sz w:val="16"/>
                <w:szCs w:val="16"/>
              </w:rPr>
            </w:pPr>
            <w:proofErr w:type="spellStart"/>
            <w:r w:rsidRPr="001625BA">
              <w:rPr>
                <w:rFonts w:ascii="Times New Roman" w:hAnsi="Times New Roman" w:cs="Times New Roman"/>
                <w:sz w:val="16"/>
                <w:szCs w:val="16"/>
              </w:rPr>
              <w:t>Never</w:t>
            </w:r>
            <w:proofErr w:type="spellEnd"/>
            <w:r w:rsidRPr="001625BA">
              <w:rPr>
                <w:rFonts w:ascii="Times New Roman" w:hAnsi="Times New Roman" w:cs="Times New Roman"/>
                <w:sz w:val="16"/>
                <w:szCs w:val="16"/>
              </w:rPr>
              <w:t xml:space="preserve"> </w:t>
            </w:r>
            <w:proofErr w:type="spellStart"/>
            <w:r w:rsidRPr="001625BA">
              <w:rPr>
                <w:rFonts w:ascii="Times New Roman" w:hAnsi="Times New Roman" w:cs="Times New Roman"/>
                <w:sz w:val="16"/>
                <w:szCs w:val="16"/>
              </w:rPr>
              <w:t>smoked</w:t>
            </w:r>
            <w:proofErr w:type="spellEnd"/>
          </w:p>
        </w:tc>
        <w:tc>
          <w:tcPr>
            <w:tcW w:w="1055" w:type="dxa"/>
            <w:tcBorders>
              <w:top w:val="nil"/>
              <w:bottom w:val="nil"/>
            </w:tcBorders>
            <w:shd w:val="clear" w:color="auto" w:fill="FFFFFF" w:themeFill="background1"/>
          </w:tcPr>
          <w:p w14:paraId="252AF28D" w14:textId="3EC01B8F" w:rsidR="00A76E01" w:rsidRPr="001625BA" w:rsidRDefault="00A76E01" w:rsidP="00F630D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25 (53.19)</w:t>
            </w:r>
          </w:p>
        </w:tc>
        <w:tc>
          <w:tcPr>
            <w:tcW w:w="1056" w:type="dxa"/>
            <w:tcBorders>
              <w:top w:val="nil"/>
              <w:bottom w:val="nil"/>
            </w:tcBorders>
            <w:shd w:val="clear" w:color="auto" w:fill="FFFFFF" w:themeFill="background1"/>
          </w:tcPr>
          <w:p w14:paraId="38A57A8E" w14:textId="3F7DB838" w:rsidR="00A76E01" w:rsidRPr="001625BA" w:rsidRDefault="00A76E01" w:rsidP="00F630D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8 (80.00)</w:t>
            </w:r>
          </w:p>
        </w:tc>
        <w:tc>
          <w:tcPr>
            <w:tcW w:w="1056" w:type="dxa"/>
            <w:tcBorders>
              <w:top w:val="nil"/>
              <w:bottom w:val="nil"/>
            </w:tcBorders>
            <w:shd w:val="clear" w:color="auto" w:fill="FFFFFF" w:themeFill="background1"/>
          </w:tcPr>
          <w:p w14:paraId="58BE1D3C" w14:textId="072E2273" w:rsidR="00A76E01" w:rsidRPr="001625BA" w:rsidRDefault="00A76E01" w:rsidP="00F630D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10 (66.66)</w:t>
            </w:r>
          </w:p>
        </w:tc>
      </w:tr>
      <w:tr w:rsidR="00A76E01" w:rsidRPr="001625BA" w14:paraId="582BC5CA" w14:textId="10746655" w:rsidTr="001C6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Borders>
              <w:top w:val="nil"/>
              <w:bottom w:val="nil"/>
            </w:tcBorders>
            <w:shd w:val="clear" w:color="auto" w:fill="FFFFFF" w:themeFill="background1"/>
            <w:hideMark/>
          </w:tcPr>
          <w:p w14:paraId="6E8A2581" w14:textId="77777777" w:rsidR="00A76E01" w:rsidRPr="001625BA" w:rsidRDefault="00A76E01" w:rsidP="00F630D9">
            <w:pPr>
              <w:spacing w:line="480" w:lineRule="auto"/>
              <w:rPr>
                <w:rFonts w:ascii="Times New Roman" w:hAnsi="Times New Roman" w:cs="Times New Roman"/>
                <w:sz w:val="16"/>
                <w:szCs w:val="16"/>
              </w:rPr>
            </w:pPr>
            <w:proofErr w:type="spellStart"/>
            <w:r w:rsidRPr="001625BA">
              <w:rPr>
                <w:rFonts w:ascii="Times New Roman" w:hAnsi="Times New Roman" w:cs="Times New Roman"/>
                <w:sz w:val="16"/>
                <w:szCs w:val="16"/>
              </w:rPr>
              <w:t>Current</w:t>
            </w:r>
            <w:proofErr w:type="spellEnd"/>
            <w:r w:rsidRPr="001625BA">
              <w:rPr>
                <w:rFonts w:ascii="Times New Roman" w:hAnsi="Times New Roman" w:cs="Times New Roman"/>
                <w:sz w:val="16"/>
                <w:szCs w:val="16"/>
              </w:rPr>
              <w:t xml:space="preserve"> </w:t>
            </w:r>
            <w:proofErr w:type="spellStart"/>
            <w:r w:rsidRPr="001625BA">
              <w:rPr>
                <w:rFonts w:ascii="Times New Roman" w:hAnsi="Times New Roman" w:cs="Times New Roman"/>
                <w:sz w:val="16"/>
                <w:szCs w:val="16"/>
              </w:rPr>
              <w:t>smoker</w:t>
            </w:r>
            <w:proofErr w:type="spellEnd"/>
          </w:p>
        </w:tc>
        <w:tc>
          <w:tcPr>
            <w:tcW w:w="1055" w:type="dxa"/>
            <w:tcBorders>
              <w:top w:val="nil"/>
              <w:bottom w:val="nil"/>
            </w:tcBorders>
            <w:shd w:val="clear" w:color="auto" w:fill="FFFFFF" w:themeFill="background1"/>
          </w:tcPr>
          <w:p w14:paraId="208E4177" w14:textId="673F7D70" w:rsidR="00A76E01" w:rsidRPr="001625BA" w:rsidRDefault="00A76E01" w:rsidP="00F630D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1 (2.12)</w:t>
            </w:r>
          </w:p>
        </w:tc>
        <w:tc>
          <w:tcPr>
            <w:tcW w:w="1056" w:type="dxa"/>
            <w:tcBorders>
              <w:top w:val="nil"/>
              <w:bottom w:val="nil"/>
            </w:tcBorders>
            <w:shd w:val="clear" w:color="auto" w:fill="FFFFFF" w:themeFill="background1"/>
          </w:tcPr>
          <w:p w14:paraId="0F1F72D9" w14:textId="118FD2FE" w:rsidR="00A76E01" w:rsidRPr="001625BA" w:rsidRDefault="00A76E01" w:rsidP="00F630D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1 (10.00)</w:t>
            </w:r>
          </w:p>
        </w:tc>
        <w:tc>
          <w:tcPr>
            <w:tcW w:w="1056" w:type="dxa"/>
            <w:tcBorders>
              <w:top w:val="nil"/>
              <w:bottom w:val="nil"/>
            </w:tcBorders>
            <w:shd w:val="clear" w:color="auto" w:fill="FFFFFF" w:themeFill="background1"/>
          </w:tcPr>
          <w:p w14:paraId="5C86950E" w14:textId="0F581D93" w:rsidR="00A76E01" w:rsidRPr="001625BA" w:rsidRDefault="00A76E01" w:rsidP="00F630D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5 (33.33)</w:t>
            </w:r>
          </w:p>
        </w:tc>
      </w:tr>
      <w:tr w:rsidR="00A76E01" w:rsidRPr="001625BA" w14:paraId="6E061A7C" w14:textId="3211338C" w:rsidTr="001C6A34">
        <w:tc>
          <w:tcPr>
            <w:cnfStyle w:val="001000000000" w:firstRow="0" w:lastRow="0" w:firstColumn="1" w:lastColumn="0" w:oddVBand="0" w:evenVBand="0" w:oddHBand="0" w:evenHBand="0" w:firstRowFirstColumn="0" w:firstRowLastColumn="0" w:lastRowFirstColumn="0" w:lastRowLastColumn="0"/>
            <w:tcW w:w="2239" w:type="dxa"/>
            <w:tcBorders>
              <w:top w:val="nil"/>
              <w:bottom w:val="single" w:sz="4" w:space="0" w:color="auto"/>
            </w:tcBorders>
            <w:shd w:val="clear" w:color="auto" w:fill="FFFFFF" w:themeFill="background1"/>
            <w:hideMark/>
          </w:tcPr>
          <w:p w14:paraId="224FB9BD" w14:textId="77777777" w:rsidR="00A76E01" w:rsidRPr="001625BA" w:rsidRDefault="00A76E01" w:rsidP="00F630D9">
            <w:pPr>
              <w:spacing w:line="480" w:lineRule="auto"/>
              <w:rPr>
                <w:rFonts w:ascii="Times New Roman" w:hAnsi="Times New Roman" w:cs="Times New Roman"/>
                <w:sz w:val="16"/>
                <w:szCs w:val="16"/>
              </w:rPr>
            </w:pPr>
            <w:proofErr w:type="spellStart"/>
            <w:r w:rsidRPr="001625BA">
              <w:rPr>
                <w:rFonts w:ascii="Times New Roman" w:hAnsi="Times New Roman" w:cs="Times New Roman"/>
                <w:sz w:val="16"/>
                <w:szCs w:val="16"/>
              </w:rPr>
              <w:t>Addicted</w:t>
            </w:r>
            <w:proofErr w:type="spellEnd"/>
            <w:r w:rsidRPr="001625BA">
              <w:rPr>
                <w:rFonts w:ascii="Times New Roman" w:hAnsi="Times New Roman" w:cs="Times New Roman"/>
                <w:sz w:val="16"/>
                <w:szCs w:val="16"/>
              </w:rPr>
              <w:t xml:space="preserve"> </w:t>
            </w:r>
            <w:proofErr w:type="spellStart"/>
            <w:r w:rsidRPr="001625BA">
              <w:rPr>
                <w:rFonts w:ascii="Times New Roman" w:hAnsi="Times New Roman" w:cs="Times New Roman"/>
                <w:sz w:val="16"/>
                <w:szCs w:val="16"/>
              </w:rPr>
              <w:t>to</w:t>
            </w:r>
            <w:proofErr w:type="spellEnd"/>
            <w:r w:rsidRPr="001625BA">
              <w:rPr>
                <w:rFonts w:ascii="Times New Roman" w:hAnsi="Times New Roman" w:cs="Times New Roman"/>
                <w:sz w:val="16"/>
                <w:szCs w:val="16"/>
              </w:rPr>
              <w:t xml:space="preserve"> alcohol – n, (%)</w:t>
            </w:r>
          </w:p>
        </w:tc>
        <w:tc>
          <w:tcPr>
            <w:tcW w:w="1055" w:type="dxa"/>
            <w:tcBorders>
              <w:top w:val="nil"/>
              <w:bottom w:val="single" w:sz="4" w:space="0" w:color="auto"/>
            </w:tcBorders>
            <w:shd w:val="clear" w:color="auto" w:fill="FFFFFF" w:themeFill="background1"/>
          </w:tcPr>
          <w:p w14:paraId="67F586BD" w14:textId="4B6A18D5" w:rsidR="00A76E01" w:rsidRPr="001625BA" w:rsidRDefault="00A76E01" w:rsidP="00F630D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0 (0.00)</w:t>
            </w:r>
          </w:p>
        </w:tc>
        <w:tc>
          <w:tcPr>
            <w:tcW w:w="1056" w:type="dxa"/>
            <w:tcBorders>
              <w:top w:val="nil"/>
              <w:bottom w:val="single" w:sz="4" w:space="0" w:color="auto"/>
            </w:tcBorders>
            <w:shd w:val="clear" w:color="auto" w:fill="FFFFFF" w:themeFill="background1"/>
          </w:tcPr>
          <w:p w14:paraId="4DB1E181" w14:textId="1284748B" w:rsidR="00A76E01" w:rsidRPr="001625BA" w:rsidRDefault="00A76E01" w:rsidP="00F630D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0 (0.00)</w:t>
            </w:r>
          </w:p>
        </w:tc>
        <w:tc>
          <w:tcPr>
            <w:tcW w:w="1056" w:type="dxa"/>
            <w:tcBorders>
              <w:top w:val="nil"/>
              <w:bottom w:val="single" w:sz="4" w:space="0" w:color="auto"/>
            </w:tcBorders>
            <w:shd w:val="clear" w:color="auto" w:fill="FFFFFF" w:themeFill="background1"/>
          </w:tcPr>
          <w:p w14:paraId="58F34631" w14:textId="342DC6A8" w:rsidR="00A76E01" w:rsidRPr="001625BA" w:rsidRDefault="00A76E01" w:rsidP="00F630D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0(0.00)</w:t>
            </w:r>
          </w:p>
        </w:tc>
      </w:tr>
      <w:tr w:rsidR="00A76E01" w:rsidRPr="001625BA" w14:paraId="5E96DC98" w14:textId="07D8B8D2" w:rsidTr="001C6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Borders>
              <w:top w:val="single" w:sz="4" w:space="0" w:color="auto"/>
            </w:tcBorders>
            <w:shd w:val="clear" w:color="auto" w:fill="FFFFFF" w:themeFill="background1"/>
            <w:hideMark/>
          </w:tcPr>
          <w:p w14:paraId="7B32F916" w14:textId="77777777" w:rsidR="00A76E01" w:rsidRPr="001625BA" w:rsidRDefault="00A76E01" w:rsidP="00F630D9">
            <w:pPr>
              <w:spacing w:line="480" w:lineRule="auto"/>
              <w:rPr>
                <w:rFonts w:ascii="Times New Roman" w:hAnsi="Times New Roman" w:cs="Times New Roman"/>
                <w:sz w:val="16"/>
                <w:szCs w:val="16"/>
              </w:rPr>
            </w:pPr>
            <w:proofErr w:type="spellStart"/>
            <w:r w:rsidRPr="001625BA">
              <w:rPr>
                <w:rFonts w:ascii="Times New Roman" w:hAnsi="Times New Roman" w:cs="Times New Roman"/>
                <w:sz w:val="16"/>
                <w:szCs w:val="16"/>
              </w:rPr>
              <w:t>Coexisting</w:t>
            </w:r>
            <w:proofErr w:type="spellEnd"/>
            <w:r w:rsidRPr="001625BA">
              <w:rPr>
                <w:rFonts w:ascii="Times New Roman" w:hAnsi="Times New Roman" w:cs="Times New Roman"/>
                <w:sz w:val="16"/>
                <w:szCs w:val="16"/>
              </w:rPr>
              <w:t xml:space="preserve"> </w:t>
            </w:r>
            <w:proofErr w:type="spellStart"/>
            <w:r w:rsidRPr="001625BA">
              <w:rPr>
                <w:rFonts w:ascii="Times New Roman" w:hAnsi="Times New Roman" w:cs="Times New Roman"/>
                <w:sz w:val="16"/>
                <w:szCs w:val="16"/>
              </w:rPr>
              <w:t>disorder</w:t>
            </w:r>
            <w:proofErr w:type="spellEnd"/>
            <w:r w:rsidRPr="001625BA">
              <w:rPr>
                <w:rFonts w:ascii="Times New Roman" w:hAnsi="Times New Roman" w:cs="Times New Roman"/>
                <w:sz w:val="16"/>
                <w:szCs w:val="16"/>
              </w:rPr>
              <w:t xml:space="preserve"> – n, (%)</w:t>
            </w:r>
          </w:p>
        </w:tc>
        <w:tc>
          <w:tcPr>
            <w:tcW w:w="1055" w:type="dxa"/>
            <w:tcBorders>
              <w:top w:val="single" w:sz="4" w:space="0" w:color="auto"/>
            </w:tcBorders>
            <w:shd w:val="clear" w:color="auto" w:fill="FFFFFF" w:themeFill="background1"/>
          </w:tcPr>
          <w:p w14:paraId="7C09109A" w14:textId="77777777" w:rsidR="00A76E01" w:rsidRPr="001625BA" w:rsidRDefault="00A76E01" w:rsidP="00F630D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056" w:type="dxa"/>
            <w:tcBorders>
              <w:top w:val="single" w:sz="4" w:space="0" w:color="auto"/>
            </w:tcBorders>
            <w:shd w:val="clear" w:color="auto" w:fill="FFFFFF" w:themeFill="background1"/>
          </w:tcPr>
          <w:p w14:paraId="18A10E96" w14:textId="77777777" w:rsidR="00A76E01" w:rsidRPr="001625BA" w:rsidRDefault="00A76E01" w:rsidP="00F630D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056" w:type="dxa"/>
            <w:tcBorders>
              <w:top w:val="single" w:sz="4" w:space="0" w:color="auto"/>
            </w:tcBorders>
            <w:shd w:val="clear" w:color="auto" w:fill="FFFFFF" w:themeFill="background1"/>
          </w:tcPr>
          <w:p w14:paraId="2036FCCC" w14:textId="77777777" w:rsidR="00A76E01" w:rsidRPr="001625BA" w:rsidRDefault="00A76E01" w:rsidP="00F630D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A76E01" w:rsidRPr="001625BA" w14:paraId="31DFF2AF" w14:textId="788CF3E6" w:rsidTr="001107ED">
        <w:tc>
          <w:tcPr>
            <w:cnfStyle w:val="001000000000" w:firstRow="0" w:lastRow="0" w:firstColumn="1" w:lastColumn="0" w:oddVBand="0" w:evenVBand="0" w:oddHBand="0" w:evenHBand="0" w:firstRowFirstColumn="0" w:firstRowLastColumn="0" w:lastRowFirstColumn="0" w:lastRowLastColumn="0"/>
            <w:tcW w:w="2239" w:type="dxa"/>
            <w:shd w:val="clear" w:color="auto" w:fill="FFFFFF" w:themeFill="background1"/>
            <w:hideMark/>
          </w:tcPr>
          <w:p w14:paraId="5C99930D" w14:textId="77777777" w:rsidR="00A76E01" w:rsidRPr="001625BA" w:rsidRDefault="00A76E01" w:rsidP="00F630D9">
            <w:pPr>
              <w:spacing w:line="480" w:lineRule="auto"/>
              <w:rPr>
                <w:rFonts w:ascii="Times New Roman" w:hAnsi="Times New Roman" w:cs="Times New Roman"/>
                <w:sz w:val="16"/>
                <w:szCs w:val="16"/>
              </w:rPr>
            </w:pPr>
            <w:proofErr w:type="spellStart"/>
            <w:r w:rsidRPr="001625BA">
              <w:rPr>
                <w:rFonts w:ascii="Times New Roman" w:hAnsi="Times New Roman" w:cs="Times New Roman"/>
                <w:sz w:val="16"/>
                <w:szCs w:val="16"/>
              </w:rPr>
              <w:t>Hypertension</w:t>
            </w:r>
            <w:proofErr w:type="spellEnd"/>
          </w:p>
        </w:tc>
        <w:tc>
          <w:tcPr>
            <w:tcW w:w="1055" w:type="dxa"/>
            <w:shd w:val="clear" w:color="auto" w:fill="FFFFFF" w:themeFill="background1"/>
          </w:tcPr>
          <w:p w14:paraId="66BA77E7" w14:textId="3F94E48C" w:rsidR="00A76E01" w:rsidRPr="001625BA" w:rsidRDefault="00A76E01" w:rsidP="00F630D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7 (14.89)</w:t>
            </w:r>
          </w:p>
        </w:tc>
        <w:tc>
          <w:tcPr>
            <w:tcW w:w="1056" w:type="dxa"/>
            <w:shd w:val="clear" w:color="auto" w:fill="FFFFFF" w:themeFill="background1"/>
          </w:tcPr>
          <w:p w14:paraId="2CB50B12" w14:textId="4B98C732" w:rsidR="00A76E01" w:rsidRPr="001625BA" w:rsidRDefault="00A76E01" w:rsidP="00F630D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7 (70.00)</w:t>
            </w:r>
          </w:p>
        </w:tc>
        <w:tc>
          <w:tcPr>
            <w:tcW w:w="1056" w:type="dxa"/>
            <w:shd w:val="clear" w:color="auto" w:fill="FFFFFF" w:themeFill="background1"/>
          </w:tcPr>
          <w:p w14:paraId="5275BDEF" w14:textId="1A4725FD" w:rsidR="00A76E01" w:rsidRPr="001625BA" w:rsidRDefault="00A76E01" w:rsidP="00F630D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0(0.00)</w:t>
            </w:r>
          </w:p>
        </w:tc>
      </w:tr>
      <w:tr w:rsidR="00A76E01" w:rsidRPr="001625BA" w14:paraId="662EA714" w14:textId="0A044B93" w:rsidTr="00110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shd w:val="clear" w:color="auto" w:fill="FFFFFF" w:themeFill="background1"/>
            <w:hideMark/>
          </w:tcPr>
          <w:p w14:paraId="776E0308" w14:textId="77777777" w:rsidR="00A76E01" w:rsidRPr="001625BA" w:rsidRDefault="00A76E01" w:rsidP="00F630D9">
            <w:pPr>
              <w:spacing w:line="480" w:lineRule="auto"/>
              <w:rPr>
                <w:rFonts w:ascii="Times New Roman" w:hAnsi="Times New Roman" w:cs="Times New Roman"/>
                <w:sz w:val="16"/>
                <w:szCs w:val="16"/>
              </w:rPr>
            </w:pPr>
            <w:r w:rsidRPr="001625BA">
              <w:rPr>
                <w:rFonts w:ascii="Times New Roman" w:hAnsi="Times New Roman" w:cs="Times New Roman"/>
                <w:sz w:val="16"/>
                <w:szCs w:val="16"/>
              </w:rPr>
              <w:t>Diabetes</w:t>
            </w:r>
          </w:p>
        </w:tc>
        <w:tc>
          <w:tcPr>
            <w:tcW w:w="1055" w:type="dxa"/>
            <w:shd w:val="clear" w:color="auto" w:fill="FFFFFF" w:themeFill="background1"/>
          </w:tcPr>
          <w:p w14:paraId="41FECCFA" w14:textId="7A683680" w:rsidR="00A76E01" w:rsidRPr="001625BA" w:rsidRDefault="00A76E01" w:rsidP="00F630D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6 (12.76)</w:t>
            </w:r>
          </w:p>
        </w:tc>
        <w:tc>
          <w:tcPr>
            <w:tcW w:w="1056" w:type="dxa"/>
            <w:shd w:val="clear" w:color="auto" w:fill="FFFFFF" w:themeFill="background1"/>
          </w:tcPr>
          <w:p w14:paraId="693E0A8C" w14:textId="56503CB7" w:rsidR="00A76E01" w:rsidRPr="001625BA" w:rsidRDefault="00A76E01" w:rsidP="00F630D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5 (50.00)</w:t>
            </w:r>
          </w:p>
        </w:tc>
        <w:tc>
          <w:tcPr>
            <w:tcW w:w="1056" w:type="dxa"/>
            <w:shd w:val="clear" w:color="auto" w:fill="FFFFFF" w:themeFill="background1"/>
          </w:tcPr>
          <w:p w14:paraId="61D40065" w14:textId="5589FA71" w:rsidR="00A76E01" w:rsidRPr="001625BA" w:rsidRDefault="00A76E01" w:rsidP="00F630D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0(0.00)</w:t>
            </w:r>
          </w:p>
        </w:tc>
      </w:tr>
      <w:tr w:rsidR="00A76E01" w:rsidRPr="001625BA" w14:paraId="553E2B16" w14:textId="1D201329" w:rsidTr="001107ED">
        <w:tc>
          <w:tcPr>
            <w:cnfStyle w:val="001000000000" w:firstRow="0" w:lastRow="0" w:firstColumn="1" w:lastColumn="0" w:oddVBand="0" w:evenVBand="0" w:oddHBand="0" w:evenHBand="0" w:firstRowFirstColumn="0" w:firstRowLastColumn="0" w:lastRowFirstColumn="0" w:lastRowLastColumn="0"/>
            <w:tcW w:w="2239" w:type="dxa"/>
            <w:shd w:val="clear" w:color="auto" w:fill="FFFFFF" w:themeFill="background1"/>
            <w:hideMark/>
          </w:tcPr>
          <w:p w14:paraId="26CC9604" w14:textId="77777777" w:rsidR="00A76E01" w:rsidRPr="001625BA" w:rsidRDefault="00A76E01" w:rsidP="00F630D9">
            <w:pPr>
              <w:spacing w:line="480" w:lineRule="auto"/>
              <w:rPr>
                <w:rFonts w:ascii="Times New Roman" w:hAnsi="Times New Roman" w:cs="Times New Roman"/>
                <w:sz w:val="16"/>
                <w:szCs w:val="16"/>
              </w:rPr>
            </w:pPr>
            <w:r w:rsidRPr="001625BA">
              <w:rPr>
                <w:rFonts w:ascii="Times New Roman" w:hAnsi="Times New Roman" w:cs="Times New Roman"/>
                <w:sz w:val="16"/>
                <w:szCs w:val="16"/>
              </w:rPr>
              <w:t xml:space="preserve">Cardiovascular </w:t>
            </w:r>
            <w:proofErr w:type="spellStart"/>
            <w:r w:rsidRPr="001625BA">
              <w:rPr>
                <w:rFonts w:ascii="Times New Roman" w:hAnsi="Times New Roman" w:cs="Times New Roman"/>
                <w:sz w:val="16"/>
                <w:szCs w:val="16"/>
              </w:rPr>
              <w:t>disease</w:t>
            </w:r>
            <w:proofErr w:type="spellEnd"/>
          </w:p>
        </w:tc>
        <w:tc>
          <w:tcPr>
            <w:tcW w:w="1055" w:type="dxa"/>
            <w:shd w:val="clear" w:color="auto" w:fill="FFFFFF" w:themeFill="background1"/>
          </w:tcPr>
          <w:p w14:paraId="54D210F1" w14:textId="74AB5E19" w:rsidR="00A76E01" w:rsidRPr="001625BA" w:rsidRDefault="00A76E01" w:rsidP="00F630D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4 (8.51)</w:t>
            </w:r>
          </w:p>
        </w:tc>
        <w:tc>
          <w:tcPr>
            <w:tcW w:w="1056" w:type="dxa"/>
            <w:shd w:val="clear" w:color="auto" w:fill="FFFFFF" w:themeFill="background1"/>
          </w:tcPr>
          <w:p w14:paraId="2F8843CD" w14:textId="31310289" w:rsidR="00A76E01" w:rsidRPr="001625BA" w:rsidRDefault="00A76E01" w:rsidP="00F630D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1 (10.00)</w:t>
            </w:r>
          </w:p>
        </w:tc>
        <w:tc>
          <w:tcPr>
            <w:tcW w:w="1056" w:type="dxa"/>
            <w:shd w:val="clear" w:color="auto" w:fill="FFFFFF" w:themeFill="background1"/>
          </w:tcPr>
          <w:p w14:paraId="728BD805" w14:textId="2959B604" w:rsidR="00A76E01" w:rsidRPr="001625BA" w:rsidRDefault="00A76E01" w:rsidP="00F630D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0(0.00)</w:t>
            </w:r>
          </w:p>
        </w:tc>
      </w:tr>
      <w:tr w:rsidR="00A76E01" w:rsidRPr="001625BA" w14:paraId="70861E05" w14:textId="79EB26A2" w:rsidTr="00110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shd w:val="clear" w:color="auto" w:fill="FFFFFF" w:themeFill="background1"/>
            <w:hideMark/>
          </w:tcPr>
          <w:p w14:paraId="4D07C37B" w14:textId="77777777" w:rsidR="00A76E01" w:rsidRPr="001625BA" w:rsidRDefault="00A76E01" w:rsidP="00F630D9">
            <w:pPr>
              <w:spacing w:line="480" w:lineRule="auto"/>
              <w:rPr>
                <w:rFonts w:ascii="Times New Roman" w:hAnsi="Times New Roman" w:cs="Times New Roman"/>
                <w:sz w:val="16"/>
                <w:szCs w:val="16"/>
              </w:rPr>
            </w:pPr>
            <w:proofErr w:type="spellStart"/>
            <w:r w:rsidRPr="001625BA">
              <w:rPr>
                <w:rFonts w:ascii="Times New Roman" w:hAnsi="Times New Roman" w:cs="Times New Roman"/>
                <w:sz w:val="16"/>
                <w:szCs w:val="16"/>
              </w:rPr>
              <w:t>Chronic</w:t>
            </w:r>
            <w:proofErr w:type="spellEnd"/>
            <w:r w:rsidRPr="001625BA">
              <w:rPr>
                <w:rFonts w:ascii="Times New Roman" w:hAnsi="Times New Roman" w:cs="Times New Roman"/>
                <w:sz w:val="16"/>
                <w:szCs w:val="16"/>
              </w:rPr>
              <w:t xml:space="preserve"> renal </w:t>
            </w:r>
            <w:proofErr w:type="spellStart"/>
            <w:r w:rsidRPr="001625BA">
              <w:rPr>
                <w:rFonts w:ascii="Times New Roman" w:hAnsi="Times New Roman" w:cs="Times New Roman"/>
                <w:sz w:val="16"/>
                <w:szCs w:val="16"/>
              </w:rPr>
              <w:t>disease</w:t>
            </w:r>
            <w:proofErr w:type="spellEnd"/>
          </w:p>
        </w:tc>
        <w:tc>
          <w:tcPr>
            <w:tcW w:w="1055" w:type="dxa"/>
            <w:shd w:val="clear" w:color="auto" w:fill="FFFFFF" w:themeFill="background1"/>
          </w:tcPr>
          <w:p w14:paraId="5036E714" w14:textId="77777777" w:rsidR="00A76E01" w:rsidRPr="001625BA" w:rsidRDefault="00A76E01" w:rsidP="00F630D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0 (0·00)</w:t>
            </w:r>
          </w:p>
        </w:tc>
        <w:tc>
          <w:tcPr>
            <w:tcW w:w="1056" w:type="dxa"/>
            <w:shd w:val="clear" w:color="auto" w:fill="FFFFFF" w:themeFill="background1"/>
          </w:tcPr>
          <w:p w14:paraId="58B5CE44" w14:textId="4F7608B8" w:rsidR="00A76E01" w:rsidRPr="001625BA" w:rsidRDefault="00A76E01" w:rsidP="00F630D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1 (10.00)</w:t>
            </w:r>
          </w:p>
        </w:tc>
        <w:tc>
          <w:tcPr>
            <w:tcW w:w="1056" w:type="dxa"/>
            <w:shd w:val="clear" w:color="auto" w:fill="FFFFFF" w:themeFill="background1"/>
          </w:tcPr>
          <w:p w14:paraId="4D360791" w14:textId="71A87FAE" w:rsidR="00A76E01" w:rsidRPr="001625BA" w:rsidRDefault="00A76E01" w:rsidP="00F630D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0(0.00)</w:t>
            </w:r>
          </w:p>
        </w:tc>
      </w:tr>
      <w:tr w:rsidR="00A76E01" w:rsidRPr="001625BA" w14:paraId="5397F38D" w14:textId="2CCD231D" w:rsidTr="001107ED">
        <w:tc>
          <w:tcPr>
            <w:cnfStyle w:val="001000000000" w:firstRow="0" w:lastRow="0" w:firstColumn="1" w:lastColumn="0" w:oddVBand="0" w:evenVBand="0" w:oddHBand="0" w:evenHBand="0" w:firstRowFirstColumn="0" w:firstRowLastColumn="0" w:lastRowFirstColumn="0" w:lastRowLastColumn="0"/>
            <w:tcW w:w="2239" w:type="dxa"/>
            <w:shd w:val="clear" w:color="auto" w:fill="FFFFFF" w:themeFill="background1"/>
            <w:hideMark/>
          </w:tcPr>
          <w:p w14:paraId="643A881F" w14:textId="77777777" w:rsidR="00A76E01" w:rsidRPr="001625BA" w:rsidRDefault="00A76E01" w:rsidP="00F630D9">
            <w:pPr>
              <w:spacing w:line="480" w:lineRule="auto"/>
              <w:rPr>
                <w:rFonts w:ascii="Times New Roman" w:hAnsi="Times New Roman" w:cs="Times New Roman"/>
                <w:sz w:val="16"/>
                <w:szCs w:val="16"/>
              </w:rPr>
            </w:pPr>
            <w:proofErr w:type="spellStart"/>
            <w:r w:rsidRPr="001625BA">
              <w:rPr>
                <w:rFonts w:ascii="Times New Roman" w:hAnsi="Times New Roman" w:cs="Times New Roman"/>
                <w:sz w:val="16"/>
                <w:szCs w:val="16"/>
              </w:rPr>
              <w:t>Obesity</w:t>
            </w:r>
            <w:proofErr w:type="spellEnd"/>
          </w:p>
        </w:tc>
        <w:tc>
          <w:tcPr>
            <w:tcW w:w="1055" w:type="dxa"/>
            <w:shd w:val="clear" w:color="auto" w:fill="FFFFFF" w:themeFill="background1"/>
          </w:tcPr>
          <w:p w14:paraId="6B6E8D6C" w14:textId="1CE6ECE7" w:rsidR="00A76E01" w:rsidRPr="001625BA" w:rsidRDefault="00A76E01" w:rsidP="00F630D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3 (6.38)</w:t>
            </w:r>
          </w:p>
        </w:tc>
        <w:tc>
          <w:tcPr>
            <w:tcW w:w="1056" w:type="dxa"/>
            <w:shd w:val="clear" w:color="auto" w:fill="FFFFFF" w:themeFill="background1"/>
          </w:tcPr>
          <w:p w14:paraId="71F93AFE" w14:textId="77777777" w:rsidR="00A76E01" w:rsidRPr="001625BA" w:rsidRDefault="00A76E01" w:rsidP="00F630D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0 (0·00)</w:t>
            </w:r>
          </w:p>
        </w:tc>
        <w:tc>
          <w:tcPr>
            <w:tcW w:w="1056" w:type="dxa"/>
            <w:shd w:val="clear" w:color="auto" w:fill="FFFFFF" w:themeFill="background1"/>
          </w:tcPr>
          <w:p w14:paraId="54C8D66B" w14:textId="68373A4F" w:rsidR="00A76E01" w:rsidRPr="001625BA" w:rsidRDefault="00A76E01" w:rsidP="00F630D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0(0.00)</w:t>
            </w:r>
          </w:p>
        </w:tc>
      </w:tr>
      <w:tr w:rsidR="00A76E01" w:rsidRPr="001625BA" w14:paraId="5163C69C" w14:textId="37D69A44" w:rsidTr="00110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shd w:val="clear" w:color="auto" w:fill="FFFFFF" w:themeFill="background1"/>
            <w:hideMark/>
          </w:tcPr>
          <w:p w14:paraId="0767381A" w14:textId="77777777" w:rsidR="00A76E01" w:rsidRPr="001625BA" w:rsidRDefault="00A76E01" w:rsidP="00F630D9">
            <w:pPr>
              <w:spacing w:line="480" w:lineRule="auto"/>
              <w:rPr>
                <w:rFonts w:ascii="Times New Roman" w:hAnsi="Times New Roman" w:cs="Times New Roman"/>
                <w:sz w:val="16"/>
                <w:szCs w:val="16"/>
              </w:rPr>
            </w:pPr>
            <w:proofErr w:type="spellStart"/>
            <w:r w:rsidRPr="001625BA">
              <w:rPr>
                <w:rFonts w:ascii="Times New Roman" w:hAnsi="Times New Roman" w:cs="Times New Roman"/>
                <w:sz w:val="16"/>
                <w:szCs w:val="16"/>
              </w:rPr>
              <w:t>Asthma</w:t>
            </w:r>
            <w:proofErr w:type="spellEnd"/>
          </w:p>
        </w:tc>
        <w:tc>
          <w:tcPr>
            <w:tcW w:w="1055" w:type="dxa"/>
            <w:shd w:val="clear" w:color="auto" w:fill="FFFFFF" w:themeFill="background1"/>
          </w:tcPr>
          <w:p w14:paraId="32C00431" w14:textId="3C5A8280" w:rsidR="00A76E01" w:rsidRPr="001625BA" w:rsidRDefault="00A76E01" w:rsidP="00F630D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2 (4.25)</w:t>
            </w:r>
          </w:p>
        </w:tc>
        <w:tc>
          <w:tcPr>
            <w:tcW w:w="1056" w:type="dxa"/>
            <w:shd w:val="clear" w:color="auto" w:fill="FFFFFF" w:themeFill="background1"/>
          </w:tcPr>
          <w:p w14:paraId="303BA3F4" w14:textId="77777777" w:rsidR="00A76E01" w:rsidRPr="001625BA" w:rsidRDefault="00A76E01" w:rsidP="00F630D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0 (0·00)</w:t>
            </w:r>
          </w:p>
        </w:tc>
        <w:tc>
          <w:tcPr>
            <w:tcW w:w="1056" w:type="dxa"/>
            <w:shd w:val="clear" w:color="auto" w:fill="FFFFFF" w:themeFill="background1"/>
          </w:tcPr>
          <w:p w14:paraId="3EE902E9" w14:textId="29C4CB88" w:rsidR="00A76E01" w:rsidRPr="001625BA" w:rsidRDefault="00A76E01" w:rsidP="00F630D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0(0.00)</w:t>
            </w:r>
          </w:p>
        </w:tc>
      </w:tr>
      <w:tr w:rsidR="00A76E01" w:rsidRPr="001625BA" w14:paraId="4914C46F" w14:textId="0C21872E" w:rsidTr="001107ED">
        <w:tc>
          <w:tcPr>
            <w:cnfStyle w:val="001000000000" w:firstRow="0" w:lastRow="0" w:firstColumn="1" w:lastColumn="0" w:oddVBand="0" w:evenVBand="0" w:oddHBand="0" w:evenHBand="0" w:firstRowFirstColumn="0" w:firstRowLastColumn="0" w:lastRowFirstColumn="0" w:lastRowLastColumn="0"/>
            <w:tcW w:w="2239" w:type="dxa"/>
            <w:shd w:val="clear" w:color="auto" w:fill="FFFFFF" w:themeFill="background1"/>
            <w:hideMark/>
          </w:tcPr>
          <w:p w14:paraId="7BC73266" w14:textId="0B707320" w:rsidR="00A76E01" w:rsidRPr="001625BA" w:rsidRDefault="00A76E01" w:rsidP="00F630D9">
            <w:pPr>
              <w:spacing w:line="480" w:lineRule="auto"/>
              <w:rPr>
                <w:rFonts w:ascii="Times New Roman" w:hAnsi="Times New Roman" w:cs="Times New Roman"/>
                <w:sz w:val="16"/>
                <w:szCs w:val="16"/>
              </w:rPr>
            </w:pPr>
            <w:r w:rsidRPr="001625BA">
              <w:rPr>
                <w:rFonts w:ascii="Times New Roman" w:hAnsi="Times New Roman" w:cs="Times New Roman"/>
                <w:sz w:val="16"/>
                <w:szCs w:val="16"/>
              </w:rPr>
              <w:t>COPD</w:t>
            </w:r>
          </w:p>
        </w:tc>
        <w:tc>
          <w:tcPr>
            <w:tcW w:w="1055" w:type="dxa"/>
            <w:shd w:val="clear" w:color="auto" w:fill="FFFFFF" w:themeFill="background1"/>
          </w:tcPr>
          <w:p w14:paraId="3327AC73" w14:textId="5BAA9091" w:rsidR="00A76E01" w:rsidRPr="001625BA" w:rsidRDefault="00A76E01" w:rsidP="00F630D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2 (4.25)</w:t>
            </w:r>
          </w:p>
        </w:tc>
        <w:tc>
          <w:tcPr>
            <w:tcW w:w="1056" w:type="dxa"/>
            <w:shd w:val="clear" w:color="auto" w:fill="FFFFFF" w:themeFill="background1"/>
          </w:tcPr>
          <w:p w14:paraId="0734302B" w14:textId="32445DF4" w:rsidR="00A76E01" w:rsidRPr="001625BA" w:rsidRDefault="00A76E01" w:rsidP="00F630D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3 (30.00)</w:t>
            </w:r>
          </w:p>
        </w:tc>
        <w:tc>
          <w:tcPr>
            <w:tcW w:w="1056" w:type="dxa"/>
            <w:shd w:val="clear" w:color="auto" w:fill="FFFFFF" w:themeFill="background1"/>
          </w:tcPr>
          <w:p w14:paraId="7D4B9DB7" w14:textId="7DC0EA48" w:rsidR="00A76E01" w:rsidRPr="001625BA" w:rsidRDefault="00A76E01" w:rsidP="00F630D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0(0.00)</w:t>
            </w:r>
          </w:p>
        </w:tc>
      </w:tr>
      <w:tr w:rsidR="00A76E01" w:rsidRPr="001625BA" w14:paraId="6EACE285" w14:textId="58EE638D" w:rsidTr="00110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shd w:val="clear" w:color="auto" w:fill="FFFFFF" w:themeFill="background1"/>
            <w:hideMark/>
          </w:tcPr>
          <w:p w14:paraId="3CC0AD51" w14:textId="77777777" w:rsidR="00A76E01" w:rsidRPr="001625BA" w:rsidRDefault="00A76E01" w:rsidP="00F630D9">
            <w:pPr>
              <w:spacing w:line="480" w:lineRule="auto"/>
              <w:rPr>
                <w:rFonts w:ascii="Times New Roman" w:hAnsi="Times New Roman" w:cs="Times New Roman"/>
                <w:sz w:val="16"/>
                <w:szCs w:val="16"/>
              </w:rPr>
            </w:pPr>
            <w:proofErr w:type="spellStart"/>
            <w:r w:rsidRPr="001625BA">
              <w:rPr>
                <w:rFonts w:ascii="Times New Roman" w:hAnsi="Times New Roman" w:cs="Times New Roman"/>
                <w:sz w:val="16"/>
                <w:szCs w:val="16"/>
              </w:rPr>
              <w:t>Oncologic</w:t>
            </w:r>
            <w:proofErr w:type="spellEnd"/>
            <w:r w:rsidRPr="001625BA">
              <w:rPr>
                <w:rFonts w:ascii="Times New Roman" w:hAnsi="Times New Roman" w:cs="Times New Roman"/>
                <w:sz w:val="16"/>
                <w:szCs w:val="16"/>
              </w:rPr>
              <w:t xml:space="preserve"> </w:t>
            </w:r>
            <w:proofErr w:type="spellStart"/>
            <w:r w:rsidRPr="001625BA">
              <w:rPr>
                <w:rFonts w:ascii="Times New Roman" w:hAnsi="Times New Roman" w:cs="Times New Roman"/>
                <w:sz w:val="16"/>
                <w:szCs w:val="16"/>
              </w:rPr>
              <w:t>disease</w:t>
            </w:r>
            <w:proofErr w:type="spellEnd"/>
          </w:p>
        </w:tc>
        <w:tc>
          <w:tcPr>
            <w:tcW w:w="1055" w:type="dxa"/>
            <w:shd w:val="clear" w:color="auto" w:fill="FFFFFF" w:themeFill="background1"/>
          </w:tcPr>
          <w:p w14:paraId="2E102802" w14:textId="79BFC6A2" w:rsidR="00A76E01" w:rsidRPr="001625BA" w:rsidRDefault="00A76E01" w:rsidP="00F630D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3 (6.38)</w:t>
            </w:r>
          </w:p>
        </w:tc>
        <w:tc>
          <w:tcPr>
            <w:tcW w:w="1056" w:type="dxa"/>
            <w:shd w:val="clear" w:color="auto" w:fill="FFFFFF" w:themeFill="background1"/>
          </w:tcPr>
          <w:p w14:paraId="6283D67A" w14:textId="77777777" w:rsidR="00A76E01" w:rsidRPr="001625BA" w:rsidRDefault="00A76E01" w:rsidP="00F630D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0 (0·00)</w:t>
            </w:r>
          </w:p>
        </w:tc>
        <w:tc>
          <w:tcPr>
            <w:tcW w:w="1056" w:type="dxa"/>
            <w:shd w:val="clear" w:color="auto" w:fill="FFFFFF" w:themeFill="background1"/>
          </w:tcPr>
          <w:p w14:paraId="4C6DEB9E" w14:textId="6CE8D01A" w:rsidR="00A76E01" w:rsidRPr="001625BA" w:rsidRDefault="00A76E01" w:rsidP="00F630D9">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0(0.00)</w:t>
            </w:r>
          </w:p>
        </w:tc>
      </w:tr>
      <w:tr w:rsidR="00A76E01" w:rsidRPr="001625BA" w14:paraId="18BBA064" w14:textId="2FF4EC9C" w:rsidTr="001107ED">
        <w:tc>
          <w:tcPr>
            <w:cnfStyle w:val="001000000000" w:firstRow="0" w:lastRow="0" w:firstColumn="1" w:lastColumn="0" w:oddVBand="0" w:evenVBand="0" w:oddHBand="0" w:evenHBand="0" w:firstRowFirstColumn="0" w:firstRowLastColumn="0" w:lastRowFirstColumn="0" w:lastRowLastColumn="0"/>
            <w:tcW w:w="2239" w:type="dxa"/>
            <w:shd w:val="clear" w:color="auto" w:fill="FFFFFF" w:themeFill="background1"/>
            <w:hideMark/>
          </w:tcPr>
          <w:p w14:paraId="797AEF31" w14:textId="77777777" w:rsidR="00A76E01" w:rsidRPr="001625BA" w:rsidRDefault="00A76E01" w:rsidP="00F630D9">
            <w:pPr>
              <w:spacing w:line="480" w:lineRule="auto"/>
              <w:rPr>
                <w:rFonts w:ascii="Times New Roman" w:hAnsi="Times New Roman" w:cs="Times New Roman"/>
                <w:sz w:val="16"/>
                <w:szCs w:val="16"/>
              </w:rPr>
            </w:pPr>
            <w:proofErr w:type="spellStart"/>
            <w:r w:rsidRPr="001625BA">
              <w:rPr>
                <w:rFonts w:ascii="Times New Roman" w:hAnsi="Times New Roman" w:cs="Times New Roman"/>
                <w:sz w:val="16"/>
                <w:szCs w:val="16"/>
              </w:rPr>
              <w:t>Immunodeficiency</w:t>
            </w:r>
            <w:proofErr w:type="spellEnd"/>
            <w:r w:rsidRPr="001625BA">
              <w:rPr>
                <w:rFonts w:ascii="Times New Roman" w:hAnsi="Times New Roman" w:cs="Times New Roman"/>
                <w:sz w:val="16"/>
                <w:szCs w:val="16"/>
              </w:rPr>
              <w:t xml:space="preserve"> </w:t>
            </w:r>
          </w:p>
        </w:tc>
        <w:tc>
          <w:tcPr>
            <w:tcW w:w="1055" w:type="dxa"/>
            <w:shd w:val="clear" w:color="auto" w:fill="FFFFFF" w:themeFill="background1"/>
          </w:tcPr>
          <w:p w14:paraId="67FE7F33" w14:textId="4BCB3B6A" w:rsidR="00A76E01" w:rsidRPr="001625BA" w:rsidRDefault="00A76E01" w:rsidP="00F630D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4 (8.51)</w:t>
            </w:r>
          </w:p>
        </w:tc>
        <w:tc>
          <w:tcPr>
            <w:tcW w:w="1056" w:type="dxa"/>
            <w:shd w:val="clear" w:color="auto" w:fill="FFFFFF" w:themeFill="background1"/>
          </w:tcPr>
          <w:p w14:paraId="39C9A382" w14:textId="73337ADD" w:rsidR="00A76E01" w:rsidRPr="001625BA" w:rsidRDefault="00A76E01" w:rsidP="00F630D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4 (40.00)</w:t>
            </w:r>
          </w:p>
        </w:tc>
        <w:tc>
          <w:tcPr>
            <w:tcW w:w="1056" w:type="dxa"/>
            <w:shd w:val="clear" w:color="auto" w:fill="FFFFFF" w:themeFill="background1"/>
          </w:tcPr>
          <w:p w14:paraId="6225D8D6" w14:textId="3A8470B4" w:rsidR="00A76E01" w:rsidRPr="001625BA" w:rsidRDefault="00A76E01" w:rsidP="00F630D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625BA">
              <w:rPr>
                <w:rFonts w:ascii="Times New Roman" w:hAnsi="Times New Roman" w:cs="Times New Roman"/>
                <w:sz w:val="16"/>
                <w:szCs w:val="16"/>
              </w:rPr>
              <w:t>0(0.00)</w:t>
            </w:r>
          </w:p>
        </w:tc>
      </w:tr>
    </w:tbl>
    <w:p w14:paraId="6337B3F2" w14:textId="77777777" w:rsidR="001C6A34" w:rsidRPr="001625BA" w:rsidRDefault="001C6A34" w:rsidP="008B304C">
      <w:pPr>
        <w:spacing w:after="0" w:line="240" w:lineRule="auto"/>
        <w:rPr>
          <w:rFonts w:ascii="Times New Roman" w:hAnsi="Times New Roman" w:cs="Times New Roman"/>
          <w:sz w:val="18"/>
          <w:szCs w:val="18"/>
          <w:vertAlign w:val="superscript"/>
          <w:lang w:val="en-US"/>
        </w:rPr>
      </w:pPr>
    </w:p>
    <w:p w14:paraId="190CC5A5" w14:textId="48037C2F" w:rsidR="003440F6" w:rsidRPr="00964478" w:rsidRDefault="00964478" w:rsidP="00261CDF">
      <w:pPr>
        <w:spacing w:after="0" w:line="240" w:lineRule="auto"/>
        <w:rPr>
          <w:rFonts w:eastAsia="Cambria"/>
        </w:rPr>
      </w:pPr>
      <w:r w:rsidRPr="001625BA">
        <w:rPr>
          <w:rStyle w:val="Ninguno"/>
          <w:rFonts w:ascii="Times New Roman" w:hAnsi="Times New Roman" w:cs="Times New Roman"/>
          <w:b/>
          <w:bCs/>
          <w:sz w:val="24"/>
          <w:szCs w:val="24"/>
          <w:lang w:val="en-US"/>
        </w:rPr>
        <w:t xml:space="preserve">Supplementary Table 1. Demographics and baseline characteristics </w:t>
      </w:r>
      <w:r w:rsidRPr="001625BA">
        <w:rPr>
          <w:rFonts w:ascii="Times New Roman" w:hAnsi="Times New Roman" w:cs="Times New Roman"/>
          <w:b/>
          <w:sz w:val="24"/>
          <w:szCs w:val="24"/>
          <w:lang w:val="en-US"/>
        </w:rPr>
        <w:t xml:space="preserve">of patients included in the validation cohort. </w:t>
      </w:r>
      <w:proofErr w:type="spellStart"/>
      <w:r w:rsidRPr="001625BA">
        <w:rPr>
          <w:rFonts w:ascii="Times New Roman" w:eastAsia="Cambria" w:hAnsi="Times New Roman" w:cs="Times New Roman"/>
          <w:sz w:val="24"/>
          <w:szCs w:val="24"/>
        </w:rPr>
        <w:t>Abbreviations</w:t>
      </w:r>
      <w:proofErr w:type="spellEnd"/>
      <w:r w:rsidRPr="001625BA">
        <w:rPr>
          <w:rFonts w:ascii="Times New Roman" w:eastAsia="Cambria" w:hAnsi="Times New Roman" w:cs="Times New Roman"/>
          <w:sz w:val="24"/>
          <w:szCs w:val="24"/>
        </w:rPr>
        <w:t>:</w:t>
      </w:r>
      <w:r w:rsidRPr="001625BA">
        <w:rPr>
          <w:rFonts w:ascii="Times New Roman" w:hAnsi="Times New Roman" w:cs="Times New Roman"/>
          <w:sz w:val="24"/>
          <w:szCs w:val="24"/>
          <w:lang w:val="en-US"/>
        </w:rPr>
        <w:t xml:space="preserve"> </w:t>
      </w:r>
      <w:r w:rsidRPr="001625BA">
        <w:rPr>
          <w:rFonts w:ascii="Times New Roman" w:eastAsia="Cambria" w:hAnsi="Times New Roman" w:cs="Times New Roman"/>
          <w:sz w:val="24"/>
          <w:szCs w:val="24"/>
        </w:rPr>
        <w:t xml:space="preserve">HV, </w:t>
      </w:r>
      <w:proofErr w:type="spellStart"/>
      <w:r w:rsidR="00A76E01" w:rsidRPr="001625BA">
        <w:rPr>
          <w:rFonts w:ascii="Times New Roman" w:eastAsia="Cambria" w:hAnsi="Times New Roman" w:cs="Times New Roman"/>
          <w:sz w:val="24"/>
          <w:szCs w:val="24"/>
        </w:rPr>
        <w:t>Healthy</w:t>
      </w:r>
      <w:proofErr w:type="spellEnd"/>
      <w:r w:rsidR="00A76E01" w:rsidRPr="001625BA">
        <w:rPr>
          <w:rFonts w:ascii="Times New Roman" w:eastAsia="Cambria" w:hAnsi="Times New Roman" w:cs="Times New Roman"/>
          <w:sz w:val="24"/>
          <w:szCs w:val="24"/>
        </w:rPr>
        <w:t xml:space="preserve"> </w:t>
      </w:r>
      <w:proofErr w:type="spellStart"/>
      <w:r w:rsidR="00A76E01" w:rsidRPr="001625BA">
        <w:rPr>
          <w:rFonts w:ascii="Times New Roman" w:eastAsia="Cambria" w:hAnsi="Times New Roman" w:cs="Times New Roman"/>
          <w:sz w:val="24"/>
          <w:szCs w:val="24"/>
        </w:rPr>
        <w:t>Volunteers</w:t>
      </w:r>
      <w:proofErr w:type="spellEnd"/>
      <w:r w:rsidRPr="001625BA">
        <w:rPr>
          <w:rFonts w:ascii="Times New Roman" w:eastAsia="Cambria" w:hAnsi="Times New Roman" w:cs="Times New Roman"/>
          <w:sz w:val="24"/>
          <w:szCs w:val="24"/>
        </w:rPr>
        <w:t xml:space="preserve">; COPD, </w:t>
      </w:r>
      <w:proofErr w:type="spellStart"/>
      <w:r w:rsidR="008B304C" w:rsidRPr="001625BA">
        <w:rPr>
          <w:rFonts w:ascii="Times New Roman" w:eastAsia="Cambria" w:hAnsi="Times New Roman" w:cs="Times New Roman"/>
          <w:sz w:val="24"/>
          <w:szCs w:val="24"/>
        </w:rPr>
        <w:t>Chronic</w:t>
      </w:r>
      <w:proofErr w:type="spellEnd"/>
      <w:r w:rsidR="008B304C" w:rsidRPr="001625BA">
        <w:rPr>
          <w:rFonts w:ascii="Times New Roman" w:eastAsia="Cambria" w:hAnsi="Times New Roman" w:cs="Times New Roman"/>
          <w:sz w:val="24"/>
          <w:szCs w:val="24"/>
        </w:rPr>
        <w:t xml:space="preserve"> </w:t>
      </w:r>
      <w:proofErr w:type="spellStart"/>
      <w:r w:rsidR="008B304C" w:rsidRPr="001625BA">
        <w:rPr>
          <w:rFonts w:ascii="Times New Roman" w:eastAsia="Cambria" w:hAnsi="Times New Roman" w:cs="Times New Roman"/>
          <w:sz w:val="24"/>
          <w:szCs w:val="24"/>
        </w:rPr>
        <w:t>obstructive</w:t>
      </w:r>
      <w:proofErr w:type="spellEnd"/>
      <w:r w:rsidR="008B304C" w:rsidRPr="001625BA">
        <w:rPr>
          <w:rFonts w:ascii="Times New Roman" w:eastAsia="Cambria" w:hAnsi="Times New Roman" w:cs="Times New Roman"/>
          <w:sz w:val="24"/>
          <w:szCs w:val="24"/>
        </w:rPr>
        <w:t xml:space="preserve"> </w:t>
      </w:r>
      <w:proofErr w:type="spellStart"/>
      <w:r w:rsidR="008B304C" w:rsidRPr="001625BA">
        <w:rPr>
          <w:rFonts w:ascii="Times New Roman" w:eastAsia="Cambria" w:hAnsi="Times New Roman" w:cs="Times New Roman"/>
          <w:sz w:val="24"/>
          <w:szCs w:val="24"/>
        </w:rPr>
        <w:t>pulmonary</w:t>
      </w:r>
      <w:proofErr w:type="spellEnd"/>
      <w:r w:rsidR="008B304C" w:rsidRPr="001625BA">
        <w:rPr>
          <w:rFonts w:ascii="Times New Roman" w:eastAsia="Cambria" w:hAnsi="Times New Roman" w:cs="Times New Roman"/>
          <w:sz w:val="24"/>
          <w:szCs w:val="24"/>
        </w:rPr>
        <w:t xml:space="preserve"> </w:t>
      </w:r>
      <w:proofErr w:type="spellStart"/>
      <w:r w:rsidR="008B304C" w:rsidRPr="001625BA">
        <w:rPr>
          <w:rFonts w:ascii="Times New Roman" w:eastAsia="Cambria" w:hAnsi="Times New Roman" w:cs="Times New Roman"/>
          <w:sz w:val="24"/>
          <w:szCs w:val="24"/>
        </w:rPr>
        <w:t>disease</w:t>
      </w:r>
      <w:proofErr w:type="spellEnd"/>
      <w:r w:rsidRPr="001625BA">
        <w:rPr>
          <w:rFonts w:ascii="Times New Roman" w:eastAsia="Cambria" w:hAnsi="Times New Roman" w:cs="Times New Roman"/>
          <w:sz w:val="24"/>
          <w:szCs w:val="24"/>
        </w:rPr>
        <w:t>.</w:t>
      </w:r>
      <w:r w:rsidRPr="003A0DFD">
        <w:rPr>
          <w:rFonts w:ascii="Times New Roman" w:eastAsia="Cambria" w:hAnsi="Times New Roman" w:cs="Times New Roman"/>
          <w:sz w:val="24"/>
          <w:szCs w:val="24"/>
        </w:rPr>
        <w:t xml:space="preserve"> </w:t>
      </w:r>
    </w:p>
    <w:p w14:paraId="678EFD3C" w14:textId="77777777" w:rsidR="00BC4BE7" w:rsidRPr="002A0E53" w:rsidRDefault="00BC4BE7" w:rsidP="002A0E53">
      <w:pPr>
        <w:spacing w:line="360" w:lineRule="auto"/>
        <w:jc w:val="both"/>
        <w:rPr>
          <w:rFonts w:ascii="Cambria" w:eastAsia="Arial Unicode MS" w:hAnsi="Cambria"/>
          <w:color w:val="000000"/>
          <w:u w:color="000000"/>
          <w:bdr w:val="nil"/>
          <w:lang w:val="en-GB"/>
          <w14:textOutline w14:w="12700" w14:cap="flat" w14:cmpd="sng" w14:algn="ctr">
            <w14:noFill/>
            <w14:prstDash w14:val="solid"/>
            <w14:miter w14:lim="400000"/>
          </w14:textOutline>
        </w:rPr>
      </w:pPr>
    </w:p>
    <w:sectPr w:rsidR="00BC4BE7" w:rsidRPr="002A0E53" w:rsidSect="00CE5C1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61E"/>
    <w:rsid w:val="00001494"/>
    <w:rsid w:val="0001256B"/>
    <w:rsid w:val="00012777"/>
    <w:rsid w:val="00020E7B"/>
    <w:rsid w:val="00025EA1"/>
    <w:rsid w:val="00031A3A"/>
    <w:rsid w:val="00040137"/>
    <w:rsid w:val="00043CA2"/>
    <w:rsid w:val="000545CA"/>
    <w:rsid w:val="00061B9F"/>
    <w:rsid w:val="00061D5F"/>
    <w:rsid w:val="00064682"/>
    <w:rsid w:val="0007334F"/>
    <w:rsid w:val="00082926"/>
    <w:rsid w:val="00094FD5"/>
    <w:rsid w:val="000A1205"/>
    <w:rsid w:val="000A34C1"/>
    <w:rsid w:val="000A4E16"/>
    <w:rsid w:val="000B16BE"/>
    <w:rsid w:val="000B477E"/>
    <w:rsid w:val="000C2D4B"/>
    <w:rsid w:val="000D1512"/>
    <w:rsid w:val="000D5102"/>
    <w:rsid w:val="000D7830"/>
    <w:rsid w:val="000E3A18"/>
    <w:rsid w:val="000F0FFD"/>
    <w:rsid w:val="00101BE2"/>
    <w:rsid w:val="001100DD"/>
    <w:rsid w:val="001107ED"/>
    <w:rsid w:val="001111C5"/>
    <w:rsid w:val="0013153C"/>
    <w:rsid w:val="0014254B"/>
    <w:rsid w:val="0014573B"/>
    <w:rsid w:val="00157864"/>
    <w:rsid w:val="00157BF4"/>
    <w:rsid w:val="0016007F"/>
    <w:rsid w:val="00161DAB"/>
    <w:rsid w:val="001625BA"/>
    <w:rsid w:val="00173EF4"/>
    <w:rsid w:val="00173EFE"/>
    <w:rsid w:val="00181762"/>
    <w:rsid w:val="0018771C"/>
    <w:rsid w:val="00190EF7"/>
    <w:rsid w:val="001A3D30"/>
    <w:rsid w:val="001A6967"/>
    <w:rsid w:val="001C4522"/>
    <w:rsid w:val="001C6A34"/>
    <w:rsid w:val="001C75DE"/>
    <w:rsid w:val="001D1E59"/>
    <w:rsid w:val="001F0F1B"/>
    <w:rsid w:val="002000D2"/>
    <w:rsid w:val="002019E6"/>
    <w:rsid w:val="002071DF"/>
    <w:rsid w:val="00214BBD"/>
    <w:rsid w:val="00225030"/>
    <w:rsid w:val="00233A58"/>
    <w:rsid w:val="00235265"/>
    <w:rsid w:val="00240365"/>
    <w:rsid w:val="00241791"/>
    <w:rsid w:val="0024259C"/>
    <w:rsid w:val="00257D4D"/>
    <w:rsid w:val="00261CDF"/>
    <w:rsid w:val="00275F26"/>
    <w:rsid w:val="00280C13"/>
    <w:rsid w:val="00281E26"/>
    <w:rsid w:val="002A0E53"/>
    <w:rsid w:val="002D14EC"/>
    <w:rsid w:val="002E6328"/>
    <w:rsid w:val="002F2C60"/>
    <w:rsid w:val="00301A24"/>
    <w:rsid w:val="00307A81"/>
    <w:rsid w:val="00310DB4"/>
    <w:rsid w:val="00320A06"/>
    <w:rsid w:val="0032223C"/>
    <w:rsid w:val="003265B0"/>
    <w:rsid w:val="00334E44"/>
    <w:rsid w:val="003355E8"/>
    <w:rsid w:val="003440F6"/>
    <w:rsid w:val="00352DE9"/>
    <w:rsid w:val="00353E65"/>
    <w:rsid w:val="003A0DFD"/>
    <w:rsid w:val="003A4B6A"/>
    <w:rsid w:val="003B220A"/>
    <w:rsid w:val="003C5B21"/>
    <w:rsid w:val="003E0040"/>
    <w:rsid w:val="003E2BFD"/>
    <w:rsid w:val="003E7F43"/>
    <w:rsid w:val="004015E1"/>
    <w:rsid w:val="00410227"/>
    <w:rsid w:val="004244EF"/>
    <w:rsid w:val="004763BF"/>
    <w:rsid w:val="00483330"/>
    <w:rsid w:val="00485519"/>
    <w:rsid w:val="00491B8B"/>
    <w:rsid w:val="004A5E08"/>
    <w:rsid w:val="004B0CEC"/>
    <w:rsid w:val="004B2516"/>
    <w:rsid w:val="004C1E43"/>
    <w:rsid w:val="004C3113"/>
    <w:rsid w:val="004D7C57"/>
    <w:rsid w:val="004E3943"/>
    <w:rsid w:val="004F1C39"/>
    <w:rsid w:val="004F1E88"/>
    <w:rsid w:val="005006CF"/>
    <w:rsid w:val="00501760"/>
    <w:rsid w:val="00550EA6"/>
    <w:rsid w:val="00576B36"/>
    <w:rsid w:val="005A4716"/>
    <w:rsid w:val="005C7636"/>
    <w:rsid w:val="005C7DAB"/>
    <w:rsid w:val="005E65DA"/>
    <w:rsid w:val="005F0E65"/>
    <w:rsid w:val="005F561E"/>
    <w:rsid w:val="005F69A0"/>
    <w:rsid w:val="005F6F89"/>
    <w:rsid w:val="006004A4"/>
    <w:rsid w:val="00603BFF"/>
    <w:rsid w:val="006053F1"/>
    <w:rsid w:val="00622898"/>
    <w:rsid w:val="0062757B"/>
    <w:rsid w:val="00652E61"/>
    <w:rsid w:val="00670C9F"/>
    <w:rsid w:val="006800E4"/>
    <w:rsid w:val="006A644A"/>
    <w:rsid w:val="006B06BF"/>
    <w:rsid w:val="006B7495"/>
    <w:rsid w:val="006E451F"/>
    <w:rsid w:val="00716633"/>
    <w:rsid w:val="007264E5"/>
    <w:rsid w:val="00726DE5"/>
    <w:rsid w:val="0073487B"/>
    <w:rsid w:val="007515A1"/>
    <w:rsid w:val="00755DA2"/>
    <w:rsid w:val="007744BB"/>
    <w:rsid w:val="0077695D"/>
    <w:rsid w:val="007840A9"/>
    <w:rsid w:val="007B6000"/>
    <w:rsid w:val="007E1438"/>
    <w:rsid w:val="007E159A"/>
    <w:rsid w:val="007F082B"/>
    <w:rsid w:val="007F7356"/>
    <w:rsid w:val="0080277E"/>
    <w:rsid w:val="0080447C"/>
    <w:rsid w:val="008153F7"/>
    <w:rsid w:val="008164AD"/>
    <w:rsid w:val="00820D22"/>
    <w:rsid w:val="00823CD5"/>
    <w:rsid w:val="0082621E"/>
    <w:rsid w:val="00830B8D"/>
    <w:rsid w:val="00834486"/>
    <w:rsid w:val="0083759A"/>
    <w:rsid w:val="0084196F"/>
    <w:rsid w:val="0084480D"/>
    <w:rsid w:val="008522F8"/>
    <w:rsid w:val="0085684B"/>
    <w:rsid w:val="008A7C67"/>
    <w:rsid w:val="008B304C"/>
    <w:rsid w:val="008B5C08"/>
    <w:rsid w:val="008D2A7E"/>
    <w:rsid w:val="00912171"/>
    <w:rsid w:val="0091378F"/>
    <w:rsid w:val="00927281"/>
    <w:rsid w:val="00964478"/>
    <w:rsid w:val="00970A63"/>
    <w:rsid w:val="009751DD"/>
    <w:rsid w:val="009862F3"/>
    <w:rsid w:val="00986618"/>
    <w:rsid w:val="009A03DB"/>
    <w:rsid w:val="009B3735"/>
    <w:rsid w:val="009C7BAB"/>
    <w:rsid w:val="009D2198"/>
    <w:rsid w:val="009D4D57"/>
    <w:rsid w:val="009E17A1"/>
    <w:rsid w:val="00A02601"/>
    <w:rsid w:val="00A04C41"/>
    <w:rsid w:val="00A10D52"/>
    <w:rsid w:val="00A27C93"/>
    <w:rsid w:val="00A350A9"/>
    <w:rsid w:val="00A64A73"/>
    <w:rsid w:val="00A76570"/>
    <w:rsid w:val="00A76E01"/>
    <w:rsid w:val="00A96FCE"/>
    <w:rsid w:val="00AA66FA"/>
    <w:rsid w:val="00AB5E23"/>
    <w:rsid w:val="00AC3B59"/>
    <w:rsid w:val="00AC444B"/>
    <w:rsid w:val="00AE4F7A"/>
    <w:rsid w:val="00AF25D5"/>
    <w:rsid w:val="00B00B5D"/>
    <w:rsid w:val="00B014D1"/>
    <w:rsid w:val="00B21C03"/>
    <w:rsid w:val="00B34274"/>
    <w:rsid w:val="00B354F1"/>
    <w:rsid w:val="00B42462"/>
    <w:rsid w:val="00B50F41"/>
    <w:rsid w:val="00B52FFA"/>
    <w:rsid w:val="00B57145"/>
    <w:rsid w:val="00B81C60"/>
    <w:rsid w:val="00B8671E"/>
    <w:rsid w:val="00B9600F"/>
    <w:rsid w:val="00BC4BE7"/>
    <w:rsid w:val="00BD4B9E"/>
    <w:rsid w:val="00BD56A7"/>
    <w:rsid w:val="00BE070A"/>
    <w:rsid w:val="00BE2B78"/>
    <w:rsid w:val="00BE3110"/>
    <w:rsid w:val="00C3219C"/>
    <w:rsid w:val="00C405C2"/>
    <w:rsid w:val="00C51AA9"/>
    <w:rsid w:val="00C64807"/>
    <w:rsid w:val="00C96F6C"/>
    <w:rsid w:val="00CA54B0"/>
    <w:rsid w:val="00CB0866"/>
    <w:rsid w:val="00CC2E1E"/>
    <w:rsid w:val="00CC7984"/>
    <w:rsid w:val="00CE5AB7"/>
    <w:rsid w:val="00CE5C18"/>
    <w:rsid w:val="00D37500"/>
    <w:rsid w:val="00D4412E"/>
    <w:rsid w:val="00D55259"/>
    <w:rsid w:val="00D567BF"/>
    <w:rsid w:val="00D6347C"/>
    <w:rsid w:val="00DA7A9C"/>
    <w:rsid w:val="00DB0705"/>
    <w:rsid w:val="00DB101C"/>
    <w:rsid w:val="00DC0BDB"/>
    <w:rsid w:val="00DF7643"/>
    <w:rsid w:val="00E0279F"/>
    <w:rsid w:val="00E34C09"/>
    <w:rsid w:val="00E506D7"/>
    <w:rsid w:val="00E6759D"/>
    <w:rsid w:val="00E713DE"/>
    <w:rsid w:val="00E71DB5"/>
    <w:rsid w:val="00E81A5B"/>
    <w:rsid w:val="00EA152C"/>
    <w:rsid w:val="00EA3999"/>
    <w:rsid w:val="00EB0EE1"/>
    <w:rsid w:val="00EC5F47"/>
    <w:rsid w:val="00ED0F71"/>
    <w:rsid w:val="00F0322C"/>
    <w:rsid w:val="00F13F04"/>
    <w:rsid w:val="00F22CAB"/>
    <w:rsid w:val="00F623CE"/>
    <w:rsid w:val="00F64AC3"/>
    <w:rsid w:val="00F756EB"/>
    <w:rsid w:val="00F95409"/>
    <w:rsid w:val="00FB27BA"/>
    <w:rsid w:val="00FC506D"/>
    <w:rsid w:val="00FC7A50"/>
    <w:rsid w:val="00FD6C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4357"/>
  <w15:chartTrackingRefBased/>
  <w15:docId w15:val="{D78D9085-F8C0-9A47-8E31-9997B059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561E"/>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440F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40F6"/>
    <w:rPr>
      <w:rFonts w:ascii="Segoe UI" w:hAnsi="Segoe UI" w:cs="Segoe UI"/>
      <w:sz w:val="18"/>
      <w:szCs w:val="18"/>
    </w:rPr>
  </w:style>
  <w:style w:type="character" w:styleId="Kommentarzeichen">
    <w:name w:val="annotation reference"/>
    <w:basedOn w:val="Absatz-Standardschriftart"/>
    <w:uiPriority w:val="99"/>
    <w:semiHidden/>
    <w:unhideWhenUsed/>
    <w:rsid w:val="003440F6"/>
    <w:rPr>
      <w:sz w:val="16"/>
      <w:szCs w:val="16"/>
    </w:rPr>
  </w:style>
  <w:style w:type="paragraph" w:styleId="Kommentartext">
    <w:name w:val="annotation text"/>
    <w:basedOn w:val="Standard"/>
    <w:link w:val="KommentartextZchn"/>
    <w:uiPriority w:val="99"/>
    <w:semiHidden/>
    <w:unhideWhenUsed/>
    <w:rsid w:val="003440F6"/>
    <w:pPr>
      <w:spacing w:after="0" w:line="240" w:lineRule="auto"/>
    </w:pPr>
    <w:rPr>
      <w:sz w:val="20"/>
      <w:szCs w:val="20"/>
      <w:lang w:val="en-US"/>
    </w:rPr>
  </w:style>
  <w:style w:type="character" w:customStyle="1" w:styleId="KommentartextZchn">
    <w:name w:val="Kommentartext Zchn"/>
    <w:basedOn w:val="Absatz-Standardschriftart"/>
    <w:link w:val="Kommentartext"/>
    <w:uiPriority w:val="99"/>
    <w:semiHidden/>
    <w:rsid w:val="003440F6"/>
    <w:rPr>
      <w:sz w:val="20"/>
      <w:szCs w:val="20"/>
      <w:lang w:val="en-US"/>
    </w:rPr>
  </w:style>
  <w:style w:type="character" w:customStyle="1" w:styleId="Ninguno">
    <w:name w:val="Ninguno"/>
    <w:rsid w:val="00716633"/>
    <w:rPr>
      <w:lang w:val="fr-FR"/>
    </w:rPr>
  </w:style>
  <w:style w:type="table" w:customStyle="1" w:styleId="Sombreadoclaro1">
    <w:name w:val="Sombreado claro1"/>
    <w:basedOn w:val="NormaleTabelle"/>
    <w:uiPriority w:val="60"/>
    <w:rsid w:val="00716633"/>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1100</Words>
  <Characters>6932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LAB</dc:creator>
  <cp:keywords/>
  <dc:description/>
  <cp:lastModifiedBy>Dorathe Schindelholz</cp:lastModifiedBy>
  <cp:revision>4</cp:revision>
  <dcterms:created xsi:type="dcterms:W3CDTF">2020-12-30T08:57:00Z</dcterms:created>
  <dcterms:modified xsi:type="dcterms:W3CDTF">2021-01-27T07:45:00Z</dcterms:modified>
</cp:coreProperties>
</file>