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E820" w14:textId="0DE7FCA6" w:rsidR="000C4252" w:rsidRDefault="00FF546F" w:rsidP="00FF546F">
      <w:pPr>
        <w:jc w:val="both"/>
        <w:rPr>
          <w:rFonts w:cstheme="majorHAnsi"/>
          <w:b/>
          <w:sz w:val="32"/>
          <w:szCs w:val="32"/>
          <w:lang w:val="en-US"/>
        </w:rPr>
      </w:pPr>
      <w:r w:rsidRPr="00FF546F">
        <w:rPr>
          <w:rFonts w:cstheme="majorHAnsi"/>
          <w:b/>
          <w:sz w:val="32"/>
          <w:szCs w:val="32"/>
          <w:lang w:val="en-US"/>
        </w:rPr>
        <w:t>Online Data Supplement</w:t>
      </w:r>
    </w:p>
    <w:p w14:paraId="17D43729" w14:textId="77777777" w:rsidR="00FF546F" w:rsidRDefault="00FF546F" w:rsidP="00FF546F">
      <w:pPr>
        <w:jc w:val="both"/>
        <w:rPr>
          <w:rFonts w:cstheme="majorHAnsi"/>
          <w:b/>
          <w:sz w:val="32"/>
          <w:szCs w:val="32"/>
          <w:lang w:val="en-US"/>
        </w:rPr>
      </w:pPr>
    </w:p>
    <w:p w14:paraId="6CE5CAD7" w14:textId="7268798D" w:rsidR="00DD07A8" w:rsidRDefault="00FF546F" w:rsidP="00FF546F">
      <w:pPr>
        <w:spacing w:line="240" w:lineRule="auto"/>
        <w:jc w:val="both"/>
        <w:rPr>
          <w:rFonts w:cstheme="majorHAnsi"/>
          <w:b/>
          <w:sz w:val="32"/>
          <w:szCs w:val="32"/>
          <w:lang w:val="en-US"/>
        </w:rPr>
      </w:pPr>
      <w:r w:rsidRPr="00FF546F">
        <w:rPr>
          <w:rFonts w:cstheme="majorHAnsi"/>
          <w:b/>
          <w:sz w:val="32"/>
          <w:szCs w:val="32"/>
          <w:lang w:val="en-US"/>
        </w:rPr>
        <w:t xml:space="preserve">Low blood lymphocytes number and lymphocytes decline as key factors in COPD outcomes. A longitudinal cohort </w:t>
      </w:r>
      <w:proofErr w:type="gramStart"/>
      <w:r w:rsidRPr="00FF546F">
        <w:rPr>
          <w:rFonts w:cstheme="majorHAnsi"/>
          <w:b/>
          <w:sz w:val="32"/>
          <w:szCs w:val="32"/>
          <w:lang w:val="en-US"/>
        </w:rPr>
        <w:t>study</w:t>
      </w:r>
      <w:proofErr w:type="gramEnd"/>
      <w:r w:rsidRPr="00FF546F">
        <w:rPr>
          <w:rFonts w:cstheme="majorHAnsi"/>
          <w:b/>
          <w:sz w:val="32"/>
          <w:szCs w:val="32"/>
          <w:lang w:val="en-US"/>
        </w:rPr>
        <w:t>.</w:t>
      </w:r>
    </w:p>
    <w:p w14:paraId="2D0C1D78" w14:textId="77777777" w:rsidR="00FF546F" w:rsidRPr="00FF546F" w:rsidRDefault="00FF546F" w:rsidP="00FF546F">
      <w:pPr>
        <w:spacing w:line="240" w:lineRule="auto"/>
        <w:jc w:val="both"/>
        <w:rPr>
          <w:rFonts w:cstheme="majorHAnsi"/>
          <w:b/>
          <w:sz w:val="32"/>
          <w:szCs w:val="32"/>
          <w:lang w:val="en-US"/>
        </w:rPr>
      </w:pPr>
    </w:p>
    <w:p w14:paraId="46A39390" w14:textId="0007555B" w:rsidR="00DD07A8" w:rsidRPr="00A6728C" w:rsidRDefault="00DD07A8" w:rsidP="00FF546F">
      <w:pPr>
        <w:spacing w:line="360" w:lineRule="auto"/>
        <w:jc w:val="both"/>
        <w:rPr>
          <w:rFonts w:eastAsia="Times New Roman"/>
          <w:sz w:val="24"/>
          <w:szCs w:val="24"/>
        </w:rPr>
      </w:pPr>
      <w:r w:rsidRPr="00A6728C">
        <w:rPr>
          <w:rFonts w:eastAsia="Times New Roman"/>
          <w:sz w:val="24"/>
          <w:szCs w:val="24"/>
        </w:rPr>
        <w:t>Umberto Semenzato</w:t>
      </w:r>
      <w:r w:rsidRPr="00A6728C">
        <w:rPr>
          <w:rFonts w:eastAsia="Times New Roman"/>
          <w:sz w:val="24"/>
          <w:szCs w:val="24"/>
          <w:vertAlign w:val="superscript"/>
        </w:rPr>
        <w:t>1</w:t>
      </w:r>
      <w:r w:rsidRPr="00A6728C">
        <w:rPr>
          <w:rFonts w:eastAsia="Times New Roman"/>
          <w:sz w:val="24"/>
          <w:szCs w:val="24"/>
        </w:rPr>
        <w:t>*, M.D., Davide Biondini</w:t>
      </w:r>
      <w:r w:rsidRPr="00A6728C">
        <w:rPr>
          <w:rFonts w:eastAsia="Times New Roman"/>
          <w:sz w:val="24"/>
          <w:szCs w:val="24"/>
          <w:vertAlign w:val="superscript"/>
        </w:rPr>
        <w:t>1</w:t>
      </w:r>
      <w:r w:rsidRPr="00A6728C">
        <w:rPr>
          <w:rFonts w:eastAsia="Times New Roman"/>
          <w:sz w:val="24"/>
          <w:szCs w:val="24"/>
        </w:rPr>
        <w:t>*, M.D., Erica Bazzan</w:t>
      </w:r>
      <w:r w:rsidRPr="00A6728C">
        <w:rPr>
          <w:rFonts w:eastAsia="Times New Roman"/>
          <w:sz w:val="24"/>
          <w:szCs w:val="24"/>
          <w:vertAlign w:val="superscript"/>
        </w:rPr>
        <w:t>1</w:t>
      </w:r>
      <w:r w:rsidRPr="00A6728C">
        <w:rPr>
          <w:rFonts w:eastAsia="Times New Roman"/>
          <w:sz w:val="24"/>
          <w:szCs w:val="24"/>
        </w:rPr>
        <w:t xml:space="preserve">, Ph.D., </w:t>
      </w:r>
      <w:r w:rsidR="00B369E8" w:rsidRPr="00A6728C">
        <w:rPr>
          <w:rFonts w:eastAsia="Times New Roman"/>
          <w:sz w:val="24"/>
          <w:szCs w:val="24"/>
        </w:rPr>
        <w:t>Mariaenrica Tinè</w:t>
      </w:r>
      <w:r w:rsidR="00B369E8" w:rsidRPr="00A6728C">
        <w:rPr>
          <w:rFonts w:eastAsia="Times New Roman"/>
          <w:sz w:val="24"/>
          <w:szCs w:val="24"/>
          <w:vertAlign w:val="superscript"/>
        </w:rPr>
        <w:t>1</w:t>
      </w:r>
      <w:r w:rsidR="00B369E8" w:rsidRPr="00A6728C">
        <w:rPr>
          <w:rFonts w:eastAsia="Times New Roman"/>
          <w:sz w:val="24"/>
          <w:szCs w:val="24"/>
        </w:rPr>
        <w:t xml:space="preserve">, M.D., </w:t>
      </w:r>
      <w:r w:rsidR="00B369E8">
        <w:rPr>
          <w:rFonts w:eastAsia="Times New Roman"/>
          <w:sz w:val="24"/>
          <w:szCs w:val="24"/>
        </w:rPr>
        <w:t>Elisabetta Balestro</w:t>
      </w:r>
      <w:r w:rsidR="00B369E8" w:rsidRPr="00B369E8">
        <w:rPr>
          <w:rFonts w:eastAsia="Times New Roman"/>
          <w:sz w:val="24"/>
          <w:szCs w:val="24"/>
          <w:vertAlign w:val="superscript"/>
        </w:rPr>
        <w:t>1</w:t>
      </w:r>
      <w:r w:rsidR="00B369E8">
        <w:rPr>
          <w:rFonts w:eastAsia="Times New Roman"/>
          <w:sz w:val="24"/>
          <w:szCs w:val="24"/>
        </w:rPr>
        <w:t xml:space="preserve">, M.D., </w:t>
      </w:r>
      <w:r w:rsidRPr="00A6728C">
        <w:rPr>
          <w:rFonts w:eastAsia="Times New Roman"/>
          <w:sz w:val="24"/>
          <w:szCs w:val="24"/>
        </w:rPr>
        <w:t>Barbara Buldini</w:t>
      </w:r>
      <w:r w:rsidRPr="00A6728C">
        <w:rPr>
          <w:rFonts w:eastAsia="Times New Roman"/>
          <w:sz w:val="24"/>
          <w:szCs w:val="24"/>
          <w:vertAlign w:val="superscript"/>
        </w:rPr>
        <w:t>2</w:t>
      </w:r>
      <w:r w:rsidRPr="00A6728C">
        <w:rPr>
          <w:rFonts w:eastAsia="Times New Roman"/>
          <w:sz w:val="24"/>
          <w:szCs w:val="24"/>
        </w:rPr>
        <w:t xml:space="preserve"> M.D., Ph.D., Santiago J Carrizo</w:t>
      </w:r>
      <w:r w:rsidRPr="00A6728C">
        <w:rPr>
          <w:rFonts w:eastAsia="Times New Roman"/>
          <w:sz w:val="24"/>
          <w:szCs w:val="24"/>
          <w:vertAlign w:val="superscript"/>
        </w:rPr>
        <w:t>3,4</w:t>
      </w:r>
      <w:r w:rsidRPr="00A6728C">
        <w:rPr>
          <w:rFonts w:eastAsia="Times New Roman"/>
          <w:sz w:val="24"/>
          <w:szCs w:val="24"/>
        </w:rPr>
        <w:t>, M.D., Pablo Cubero</w:t>
      </w:r>
      <w:r w:rsidRPr="00A6728C">
        <w:rPr>
          <w:rFonts w:eastAsia="Times New Roman"/>
          <w:sz w:val="24"/>
          <w:szCs w:val="24"/>
          <w:vertAlign w:val="superscript"/>
        </w:rPr>
        <w:t>5</w:t>
      </w:r>
      <w:r w:rsidRPr="00A6728C">
        <w:rPr>
          <w:rFonts w:eastAsia="Times New Roman"/>
          <w:sz w:val="24"/>
          <w:szCs w:val="24"/>
        </w:rPr>
        <w:t>, R.N., Marta Marin-Oto</w:t>
      </w:r>
      <w:r w:rsidRPr="00A6728C">
        <w:rPr>
          <w:rFonts w:eastAsia="Times New Roman"/>
          <w:sz w:val="24"/>
          <w:szCs w:val="24"/>
          <w:vertAlign w:val="superscript"/>
        </w:rPr>
        <w:t>5,6</w:t>
      </w:r>
      <w:r w:rsidRPr="00A6728C">
        <w:rPr>
          <w:rFonts w:eastAsia="Times New Roman"/>
          <w:sz w:val="24"/>
          <w:szCs w:val="24"/>
        </w:rPr>
        <w:t>, M.D.,</w:t>
      </w:r>
      <w:r w:rsidR="009E7348">
        <w:rPr>
          <w:rFonts w:eastAsia="Times New Roman"/>
          <w:sz w:val="24"/>
          <w:szCs w:val="24"/>
        </w:rPr>
        <w:t xml:space="preserve"> Alvise Casara</w:t>
      </w:r>
      <w:r w:rsidR="009E7348" w:rsidRPr="00A6728C">
        <w:rPr>
          <w:rFonts w:eastAsia="Times New Roman"/>
          <w:sz w:val="24"/>
          <w:szCs w:val="24"/>
          <w:vertAlign w:val="superscript"/>
        </w:rPr>
        <w:t>1</w:t>
      </w:r>
      <w:r w:rsidR="009E7348" w:rsidRPr="009E7348">
        <w:rPr>
          <w:rFonts w:eastAsia="Times New Roman"/>
          <w:sz w:val="24"/>
          <w:szCs w:val="24"/>
        </w:rPr>
        <w:t>, M.D.,</w:t>
      </w:r>
      <w:r w:rsidRPr="00A6728C">
        <w:rPr>
          <w:rFonts w:eastAsia="Times New Roman"/>
          <w:sz w:val="24"/>
          <w:szCs w:val="24"/>
        </w:rPr>
        <w:t xml:space="preserve"> </w:t>
      </w:r>
      <w:r w:rsidR="000141A8" w:rsidRPr="00A6728C">
        <w:rPr>
          <w:rFonts w:eastAsia="Times New Roman"/>
          <w:sz w:val="24"/>
          <w:szCs w:val="24"/>
        </w:rPr>
        <w:t>Simonetta Baraldo</w:t>
      </w:r>
      <w:r w:rsidR="000141A8" w:rsidRPr="00A6728C">
        <w:rPr>
          <w:rFonts w:eastAsia="Times New Roman"/>
          <w:sz w:val="24"/>
          <w:szCs w:val="24"/>
          <w:vertAlign w:val="superscript"/>
        </w:rPr>
        <w:t>1</w:t>
      </w:r>
      <w:r w:rsidR="000141A8" w:rsidRPr="00A6728C">
        <w:rPr>
          <w:rFonts w:eastAsia="Times New Roman"/>
          <w:sz w:val="24"/>
          <w:szCs w:val="24"/>
        </w:rPr>
        <w:t xml:space="preserve"> Ph.D., </w:t>
      </w:r>
      <w:r w:rsidRPr="00A6728C">
        <w:rPr>
          <w:rFonts w:eastAsia="Times New Roman"/>
          <w:sz w:val="24"/>
          <w:szCs w:val="24"/>
        </w:rPr>
        <w:t>Graziella Turato</w:t>
      </w:r>
      <w:r w:rsidRPr="00A6728C">
        <w:rPr>
          <w:rFonts w:eastAsia="Times New Roman"/>
          <w:sz w:val="24"/>
          <w:szCs w:val="24"/>
          <w:vertAlign w:val="superscript"/>
        </w:rPr>
        <w:t>1</w:t>
      </w:r>
      <w:r w:rsidRPr="00A6728C">
        <w:rPr>
          <w:rFonts w:eastAsia="Times New Roman"/>
          <w:sz w:val="24"/>
          <w:szCs w:val="24"/>
        </w:rPr>
        <w:t xml:space="preserve"> Ph.D., </w:t>
      </w:r>
      <w:r w:rsidR="009E7348">
        <w:rPr>
          <w:rFonts w:eastAsia="Times New Roman"/>
          <w:sz w:val="24"/>
          <w:szCs w:val="24"/>
        </w:rPr>
        <w:t>Dario Gregori</w:t>
      </w:r>
      <w:r w:rsidR="009E7348" w:rsidRPr="00A6728C">
        <w:rPr>
          <w:rFonts w:eastAsia="Times New Roman"/>
          <w:sz w:val="24"/>
          <w:szCs w:val="24"/>
          <w:vertAlign w:val="superscript"/>
        </w:rPr>
        <w:t>1</w:t>
      </w:r>
      <w:r w:rsidR="009E7348" w:rsidRPr="009E7348">
        <w:rPr>
          <w:rFonts w:eastAsia="Times New Roman"/>
          <w:sz w:val="24"/>
          <w:szCs w:val="24"/>
        </w:rPr>
        <w:t>, Ph.D.,</w:t>
      </w:r>
      <w:r w:rsidR="009E7348">
        <w:rPr>
          <w:rFonts w:eastAsia="Times New Roman"/>
          <w:sz w:val="24"/>
          <w:szCs w:val="24"/>
        </w:rPr>
        <w:t xml:space="preserve"> </w:t>
      </w:r>
      <w:r w:rsidRPr="00A6728C">
        <w:rPr>
          <w:rFonts w:eastAsia="Times New Roman"/>
          <w:sz w:val="24"/>
          <w:szCs w:val="24"/>
        </w:rPr>
        <w:t>Jose M. Marin</w:t>
      </w:r>
      <w:r w:rsidRPr="00A6728C">
        <w:rPr>
          <w:rFonts w:eastAsia="Times New Roman"/>
          <w:sz w:val="24"/>
          <w:szCs w:val="24"/>
          <w:vertAlign w:val="superscript"/>
        </w:rPr>
        <w:t>3,4,5</w:t>
      </w:r>
      <w:r w:rsidRPr="00A6728C">
        <w:rPr>
          <w:rFonts w:eastAsia="Times New Roman"/>
          <w:sz w:val="24"/>
          <w:szCs w:val="24"/>
        </w:rPr>
        <w:t>, M.D., Ph.D., Manuel</w:t>
      </w:r>
      <w:r w:rsidR="008A36CD" w:rsidRPr="00A6728C">
        <w:rPr>
          <w:rFonts w:eastAsia="Times New Roman"/>
          <w:sz w:val="24"/>
          <w:szCs w:val="24"/>
        </w:rPr>
        <w:t xml:space="preserve"> G.</w:t>
      </w:r>
      <w:r w:rsidRPr="00A6728C">
        <w:rPr>
          <w:rFonts w:eastAsia="Times New Roman"/>
          <w:sz w:val="24"/>
          <w:szCs w:val="24"/>
        </w:rPr>
        <w:t xml:space="preserve"> Cosio</w:t>
      </w:r>
      <w:r w:rsidRPr="00A6728C">
        <w:rPr>
          <w:rFonts w:eastAsia="Times New Roman"/>
          <w:sz w:val="24"/>
          <w:szCs w:val="24"/>
          <w:vertAlign w:val="superscript"/>
        </w:rPr>
        <w:t>1,7</w:t>
      </w:r>
      <w:r w:rsidR="000A1F01" w:rsidRPr="00A6728C">
        <w:rPr>
          <w:rFonts w:eastAsia="Times New Roman"/>
          <w:sz w:val="24"/>
          <w:szCs w:val="24"/>
          <w:vertAlign w:val="superscript"/>
        </w:rPr>
        <w:t>**</w:t>
      </w:r>
      <w:r w:rsidRPr="00A6728C">
        <w:rPr>
          <w:rFonts w:eastAsia="Times New Roman"/>
          <w:sz w:val="24"/>
          <w:szCs w:val="24"/>
        </w:rPr>
        <w:t>, M.D.</w:t>
      </w:r>
      <w:r w:rsidR="00B369E8" w:rsidRPr="00B369E8">
        <w:rPr>
          <w:rFonts w:eastAsia="Times New Roman"/>
          <w:sz w:val="24"/>
          <w:szCs w:val="24"/>
        </w:rPr>
        <w:t xml:space="preserve"> </w:t>
      </w:r>
      <w:r w:rsidR="00B369E8" w:rsidRPr="00A6728C">
        <w:rPr>
          <w:rFonts w:eastAsia="Times New Roman"/>
          <w:sz w:val="24"/>
          <w:szCs w:val="24"/>
        </w:rPr>
        <w:t>Marina Saetta</w:t>
      </w:r>
      <w:r w:rsidR="00B369E8" w:rsidRPr="00A6728C">
        <w:rPr>
          <w:rFonts w:eastAsia="Times New Roman"/>
          <w:sz w:val="24"/>
          <w:szCs w:val="24"/>
          <w:vertAlign w:val="superscript"/>
        </w:rPr>
        <w:t>1**</w:t>
      </w:r>
      <w:r w:rsidR="009E7348">
        <w:rPr>
          <w:rFonts w:eastAsia="Times New Roman"/>
          <w:sz w:val="24"/>
          <w:szCs w:val="24"/>
        </w:rPr>
        <w:t>, M.D.</w:t>
      </w:r>
    </w:p>
    <w:p w14:paraId="0C60E617" w14:textId="77777777" w:rsidR="00DD07A8" w:rsidRPr="00A6728C" w:rsidRDefault="00DD07A8" w:rsidP="00FF546F">
      <w:pPr>
        <w:spacing w:line="480" w:lineRule="auto"/>
        <w:jc w:val="both"/>
        <w:rPr>
          <w:rFonts w:eastAsia="Times New Roman"/>
          <w:sz w:val="24"/>
          <w:szCs w:val="24"/>
        </w:rPr>
      </w:pPr>
    </w:p>
    <w:p w14:paraId="7C67AD9C" w14:textId="77777777" w:rsidR="00DD07A8" w:rsidRPr="00A6728C" w:rsidRDefault="00DD07A8" w:rsidP="00FF546F">
      <w:pPr>
        <w:tabs>
          <w:tab w:val="left" w:pos="1560"/>
        </w:tabs>
        <w:spacing w:line="360" w:lineRule="auto"/>
        <w:jc w:val="both"/>
        <w:rPr>
          <w:rFonts w:eastAsia="Times New Roman"/>
          <w:sz w:val="24"/>
          <w:szCs w:val="24"/>
        </w:rPr>
      </w:pPr>
      <w:r w:rsidRPr="00A6728C">
        <w:rPr>
          <w:rFonts w:eastAsia="Times New Roman"/>
          <w:sz w:val="24"/>
          <w:szCs w:val="24"/>
          <w:vertAlign w:val="superscript"/>
        </w:rPr>
        <w:t>1</w:t>
      </w:r>
      <w:r w:rsidRPr="00A6728C">
        <w:rPr>
          <w:rFonts w:eastAsia="Times New Roman"/>
          <w:sz w:val="24"/>
          <w:szCs w:val="24"/>
        </w:rPr>
        <w:t xml:space="preserve">Department of Cardiac, Thoracic, Vascular Sciences and Public Health, University of Padova, Padova, Italy; </w:t>
      </w:r>
      <w:r w:rsidRPr="00A6728C">
        <w:rPr>
          <w:rFonts w:eastAsia="Times New Roman"/>
          <w:sz w:val="24"/>
          <w:szCs w:val="24"/>
          <w:vertAlign w:val="superscript"/>
        </w:rPr>
        <w:t>2</w:t>
      </w:r>
      <w:r w:rsidRPr="00A6728C">
        <w:rPr>
          <w:rFonts w:eastAsia="Times New Roman"/>
          <w:sz w:val="24"/>
          <w:szCs w:val="24"/>
        </w:rPr>
        <w:t xml:space="preserve">Department of Women’s and Children’s Health, University of Padova, Padova, Italy; </w:t>
      </w:r>
      <w:r w:rsidRPr="00A6728C">
        <w:rPr>
          <w:rFonts w:eastAsia="Times New Roman"/>
          <w:sz w:val="24"/>
          <w:szCs w:val="24"/>
          <w:vertAlign w:val="superscript"/>
          <w:lang w:val="en-US"/>
        </w:rPr>
        <w:t>3</w:t>
      </w:r>
      <w:r w:rsidRPr="00A6728C">
        <w:rPr>
          <w:rFonts w:eastAsia="Times New Roman"/>
          <w:sz w:val="24"/>
          <w:szCs w:val="24"/>
          <w:lang w:val="en-US"/>
        </w:rPr>
        <w:t xml:space="preserve">Servicio de </w:t>
      </w:r>
      <w:proofErr w:type="spellStart"/>
      <w:r w:rsidRPr="00A6728C">
        <w:rPr>
          <w:rFonts w:eastAsia="Times New Roman"/>
          <w:sz w:val="24"/>
          <w:szCs w:val="24"/>
          <w:lang w:val="en-US"/>
        </w:rPr>
        <w:t>Neumología</w:t>
      </w:r>
      <w:proofErr w:type="spellEnd"/>
      <w:r w:rsidRPr="00A6728C">
        <w:rPr>
          <w:rFonts w:eastAsia="Times New Roman"/>
          <w:sz w:val="24"/>
          <w:szCs w:val="24"/>
          <w:lang w:val="en-US"/>
        </w:rPr>
        <w:t xml:space="preserve">, Hospital </w:t>
      </w:r>
      <w:proofErr w:type="spellStart"/>
      <w:r w:rsidRPr="00A6728C">
        <w:rPr>
          <w:rFonts w:eastAsia="Times New Roman"/>
          <w:sz w:val="24"/>
          <w:szCs w:val="24"/>
          <w:lang w:val="en-US"/>
        </w:rPr>
        <w:t>Universitario</w:t>
      </w:r>
      <w:proofErr w:type="spellEnd"/>
      <w:r w:rsidRPr="00A6728C">
        <w:rPr>
          <w:rFonts w:eastAsia="Times New Roman"/>
          <w:sz w:val="24"/>
          <w:szCs w:val="24"/>
          <w:lang w:val="en-US"/>
        </w:rPr>
        <w:t xml:space="preserve"> Miguel </w:t>
      </w:r>
      <w:proofErr w:type="spellStart"/>
      <w:r w:rsidRPr="00A6728C">
        <w:rPr>
          <w:rFonts w:eastAsia="Times New Roman"/>
          <w:sz w:val="24"/>
          <w:szCs w:val="24"/>
          <w:lang w:val="en-US"/>
        </w:rPr>
        <w:t>Servet</w:t>
      </w:r>
      <w:proofErr w:type="spellEnd"/>
      <w:r w:rsidRPr="00A6728C">
        <w:rPr>
          <w:rFonts w:eastAsia="Times New Roman"/>
          <w:sz w:val="24"/>
          <w:szCs w:val="24"/>
          <w:lang w:val="en-US"/>
        </w:rPr>
        <w:t xml:space="preserve">, </w:t>
      </w:r>
      <w:proofErr w:type="spellStart"/>
      <w:r w:rsidRPr="00A6728C">
        <w:rPr>
          <w:rFonts w:eastAsia="Times New Roman"/>
          <w:sz w:val="24"/>
          <w:szCs w:val="24"/>
          <w:lang w:val="en-US"/>
        </w:rPr>
        <w:t>IISAragon</w:t>
      </w:r>
      <w:proofErr w:type="spellEnd"/>
      <w:r w:rsidRPr="00A6728C">
        <w:rPr>
          <w:rFonts w:eastAsia="Times New Roman"/>
          <w:sz w:val="24"/>
          <w:szCs w:val="24"/>
          <w:lang w:val="en-US"/>
        </w:rPr>
        <w:t>, Zaragoza, Spain;</w:t>
      </w:r>
      <w:r w:rsidRPr="00A6728C">
        <w:rPr>
          <w:rFonts w:eastAsia="Times New Roman"/>
          <w:sz w:val="24"/>
          <w:szCs w:val="24"/>
        </w:rPr>
        <w:t xml:space="preserve"> </w:t>
      </w:r>
      <w:r w:rsidRPr="00A6728C">
        <w:rPr>
          <w:rFonts w:eastAsia="Times New Roman"/>
          <w:sz w:val="24"/>
          <w:szCs w:val="24"/>
          <w:vertAlign w:val="superscript"/>
          <w:lang w:val="en-US"/>
        </w:rPr>
        <w:t>4</w:t>
      </w:r>
      <w:r w:rsidRPr="00A6728C">
        <w:rPr>
          <w:rFonts w:eastAsia="Times New Roman"/>
          <w:sz w:val="24"/>
          <w:szCs w:val="24"/>
          <w:lang w:val="en-US"/>
        </w:rPr>
        <w:t xml:space="preserve">CIBER </w:t>
      </w:r>
      <w:proofErr w:type="spellStart"/>
      <w:r w:rsidRPr="00A6728C">
        <w:rPr>
          <w:rFonts w:eastAsia="Times New Roman"/>
          <w:sz w:val="24"/>
          <w:szCs w:val="24"/>
          <w:lang w:val="en-US"/>
        </w:rPr>
        <w:t>Enfermedades</w:t>
      </w:r>
      <w:proofErr w:type="spellEnd"/>
      <w:r w:rsidRPr="00A6728C">
        <w:rPr>
          <w:rFonts w:eastAsia="Times New Roman"/>
          <w:sz w:val="24"/>
          <w:szCs w:val="24"/>
          <w:lang w:val="en-US"/>
        </w:rPr>
        <w:t xml:space="preserve"> </w:t>
      </w:r>
      <w:proofErr w:type="spellStart"/>
      <w:r w:rsidRPr="00A6728C">
        <w:rPr>
          <w:rFonts w:eastAsia="Times New Roman"/>
          <w:sz w:val="24"/>
          <w:szCs w:val="24"/>
          <w:lang w:val="en-US"/>
        </w:rPr>
        <w:t>Respiratorias</w:t>
      </w:r>
      <w:proofErr w:type="spellEnd"/>
      <w:r w:rsidRPr="00A6728C">
        <w:rPr>
          <w:rFonts w:eastAsia="Times New Roman"/>
          <w:sz w:val="24"/>
          <w:szCs w:val="24"/>
          <w:lang w:val="en-US"/>
        </w:rPr>
        <w:t>, Madrid, Spain;</w:t>
      </w:r>
      <w:r w:rsidRPr="00A6728C">
        <w:rPr>
          <w:rFonts w:eastAsia="Times New Roman"/>
          <w:sz w:val="24"/>
          <w:szCs w:val="24"/>
        </w:rPr>
        <w:t xml:space="preserve"> </w:t>
      </w:r>
      <w:r w:rsidRPr="00A6728C">
        <w:rPr>
          <w:rFonts w:eastAsia="Times New Roman"/>
          <w:sz w:val="24"/>
          <w:szCs w:val="24"/>
          <w:vertAlign w:val="superscript"/>
          <w:lang w:val="en-US"/>
        </w:rPr>
        <w:t>5</w:t>
      </w:r>
      <w:r w:rsidRPr="00A6728C">
        <w:rPr>
          <w:rFonts w:eastAsia="Times New Roman"/>
          <w:sz w:val="24"/>
          <w:szCs w:val="24"/>
          <w:lang w:val="en-US"/>
        </w:rPr>
        <w:t xml:space="preserve">Unidad de </w:t>
      </w:r>
      <w:proofErr w:type="spellStart"/>
      <w:r w:rsidRPr="00A6728C">
        <w:rPr>
          <w:rFonts w:eastAsia="Times New Roman"/>
          <w:sz w:val="24"/>
          <w:szCs w:val="24"/>
          <w:lang w:val="en-US"/>
        </w:rPr>
        <w:t>Investigación</w:t>
      </w:r>
      <w:proofErr w:type="spellEnd"/>
      <w:r w:rsidRPr="00A6728C">
        <w:rPr>
          <w:rFonts w:eastAsia="Times New Roman"/>
          <w:sz w:val="24"/>
          <w:szCs w:val="24"/>
          <w:lang w:val="en-US"/>
        </w:rPr>
        <w:t xml:space="preserve"> </w:t>
      </w:r>
      <w:proofErr w:type="spellStart"/>
      <w:r w:rsidRPr="00A6728C">
        <w:rPr>
          <w:rFonts w:eastAsia="Times New Roman"/>
          <w:sz w:val="24"/>
          <w:szCs w:val="24"/>
          <w:lang w:val="en-US"/>
        </w:rPr>
        <w:t>Traslacional</w:t>
      </w:r>
      <w:proofErr w:type="spellEnd"/>
      <w:r w:rsidRPr="00A6728C">
        <w:rPr>
          <w:rFonts w:eastAsia="Times New Roman"/>
          <w:sz w:val="24"/>
          <w:szCs w:val="24"/>
          <w:lang w:val="en-US"/>
        </w:rPr>
        <w:t xml:space="preserve">, </w:t>
      </w:r>
      <w:proofErr w:type="spellStart"/>
      <w:r w:rsidRPr="00A6728C">
        <w:rPr>
          <w:rFonts w:eastAsia="Times New Roman"/>
          <w:sz w:val="24"/>
          <w:szCs w:val="24"/>
          <w:lang w:val="en-US"/>
        </w:rPr>
        <w:t>IISAragon</w:t>
      </w:r>
      <w:proofErr w:type="spellEnd"/>
      <w:r w:rsidRPr="00A6728C">
        <w:rPr>
          <w:rFonts w:eastAsia="Times New Roman"/>
          <w:sz w:val="24"/>
          <w:szCs w:val="24"/>
          <w:lang w:val="en-US"/>
        </w:rPr>
        <w:t xml:space="preserve">, Zaragoza, Spain; </w:t>
      </w:r>
      <w:r w:rsidRPr="00A6728C">
        <w:rPr>
          <w:rFonts w:eastAsia="Times New Roman"/>
          <w:sz w:val="24"/>
          <w:szCs w:val="24"/>
          <w:vertAlign w:val="superscript"/>
          <w:lang w:val="en-US"/>
        </w:rPr>
        <w:t>6</w:t>
      </w:r>
      <w:r w:rsidRPr="00A6728C">
        <w:rPr>
          <w:rFonts w:eastAsia="Times New Roman"/>
          <w:sz w:val="24"/>
          <w:szCs w:val="24"/>
          <w:lang w:val="en-US"/>
        </w:rPr>
        <w:t xml:space="preserve">Departamento de </w:t>
      </w:r>
      <w:proofErr w:type="spellStart"/>
      <w:r w:rsidRPr="00A6728C">
        <w:rPr>
          <w:rFonts w:eastAsia="Times New Roman"/>
          <w:sz w:val="24"/>
          <w:szCs w:val="24"/>
          <w:lang w:val="en-US"/>
        </w:rPr>
        <w:t>Neumología</w:t>
      </w:r>
      <w:proofErr w:type="spellEnd"/>
      <w:r w:rsidRPr="00A6728C">
        <w:rPr>
          <w:rFonts w:eastAsia="Times New Roman"/>
          <w:sz w:val="24"/>
          <w:szCs w:val="24"/>
          <w:lang w:val="en-US"/>
        </w:rPr>
        <w:t xml:space="preserve">, </w:t>
      </w:r>
      <w:proofErr w:type="spellStart"/>
      <w:r w:rsidRPr="00A6728C">
        <w:rPr>
          <w:rFonts w:eastAsia="Times New Roman"/>
          <w:sz w:val="24"/>
          <w:szCs w:val="24"/>
          <w:lang w:val="en-US"/>
        </w:rPr>
        <w:t>Clinico</w:t>
      </w:r>
      <w:proofErr w:type="spellEnd"/>
      <w:r w:rsidRPr="00A6728C">
        <w:rPr>
          <w:rFonts w:eastAsia="Times New Roman"/>
          <w:sz w:val="24"/>
          <w:szCs w:val="24"/>
          <w:lang w:val="en-US"/>
        </w:rPr>
        <w:t xml:space="preserve"> Universidad de Navarra, Pamplona, Spain; </w:t>
      </w:r>
      <w:r w:rsidRPr="00A6728C">
        <w:rPr>
          <w:rFonts w:eastAsia="Times New Roman"/>
          <w:sz w:val="24"/>
          <w:szCs w:val="24"/>
          <w:vertAlign w:val="superscript"/>
        </w:rPr>
        <w:t>7</w:t>
      </w:r>
      <w:r w:rsidRPr="00A6728C">
        <w:rPr>
          <w:rFonts w:eastAsia="Times New Roman"/>
          <w:sz w:val="24"/>
          <w:szCs w:val="24"/>
        </w:rPr>
        <w:t>Meakins-Christie Laboratories, Respiratory Division, McGill University, Montreal, Quebec, Canada.</w:t>
      </w:r>
    </w:p>
    <w:p w14:paraId="307C2EC9" w14:textId="77777777" w:rsidR="00DD07A8" w:rsidRPr="00A6728C" w:rsidRDefault="00DD07A8" w:rsidP="00FF546F">
      <w:pPr>
        <w:spacing w:line="360" w:lineRule="auto"/>
        <w:jc w:val="both"/>
        <w:rPr>
          <w:rFonts w:eastAsia="Times New Roman"/>
          <w:sz w:val="24"/>
          <w:szCs w:val="24"/>
        </w:rPr>
      </w:pPr>
      <w:r w:rsidRPr="00A6728C">
        <w:rPr>
          <w:rFonts w:eastAsia="Times New Roman"/>
          <w:sz w:val="24"/>
          <w:szCs w:val="24"/>
        </w:rPr>
        <w:t>* Drs. Semenzato and Biondini contributed equally to this article as first authors.</w:t>
      </w:r>
    </w:p>
    <w:p w14:paraId="271BAB44" w14:textId="74AF1E72" w:rsidR="00DD07A8" w:rsidRPr="00A6728C" w:rsidRDefault="000A1F01" w:rsidP="00FF546F">
      <w:pPr>
        <w:spacing w:line="360" w:lineRule="auto"/>
        <w:jc w:val="both"/>
        <w:rPr>
          <w:rFonts w:eastAsia="Times New Roman"/>
          <w:sz w:val="24"/>
          <w:szCs w:val="24"/>
        </w:rPr>
      </w:pPr>
      <w:r w:rsidRPr="00A6728C">
        <w:rPr>
          <w:rFonts w:eastAsia="Times New Roman"/>
          <w:sz w:val="24"/>
          <w:szCs w:val="24"/>
        </w:rPr>
        <w:t>**</w:t>
      </w:r>
      <w:r w:rsidR="00DD07A8" w:rsidRPr="00A6728C">
        <w:rPr>
          <w:rFonts w:eastAsia="Times New Roman"/>
          <w:sz w:val="24"/>
          <w:szCs w:val="24"/>
        </w:rPr>
        <w:t xml:space="preserve"> Profs. Saetta and Cosio contributed equally to this article as senior authors.</w:t>
      </w:r>
    </w:p>
    <w:p w14:paraId="6B8605CD" w14:textId="77777777" w:rsidR="00DD07A8" w:rsidRPr="00A6728C" w:rsidRDefault="00DD07A8" w:rsidP="00FF546F">
      <w:pPr>
        <w:spacing w:line="360" w:lineRule="auto"/>
        <w:jc w:val="both"/>
        <w:rPr>
          <w:rFonts w:eastAsia="Times New Roman"/>
          <w:sz w:val="24"/>
          <w:szCs w:val="24"/>
          <w:u w:val="single"/>
          <w:lang w:val="en-GB"/>
        </w:rPr>
      </w:pPr>
      <w:r w:rsidRPr="00A6728C">
        <w:rPr>
          <w:rFonts w:eastAsia="Times New Roman"/>
          <w:sz w:val="24"/>
          <w:szCs w:val="24"/>
          <w:u w:val="single"/>
          <w:lang w:val="en-GB"/>
        </w:rPr>
        <w:t>Corresponding author:</w:t>
      </w:r>
    </w:p>
    <w:p w14:paraId="0F9968DC" w14:textId="77777777" w:rsidR="00DD07A8" w:rsidRPr="00A6728C" w:rsidRDefault="00DD07A8" w:rsidP="00FF546F">
      <w:pPr>
        <w:spacing w:line="360" w:lineRule="auto"/>
        <w:jc w:val="both"/>
        <w:rPr>
          <w:rFonts w:eastAsia="Times New Roman"/>
          <w:sz w:val="24"/>
          <w:szCs w:val="24"/>
          <w:lang w:val="en-US"/>
        </w:rPr>
      </w:pPr>
      <w:r w:rsidRPr="00A6728C">
        <w:rPr>
          <w:rFonts w:eastAsia="Times New Roman"/>
          <w:sz w:val="24"/>
          <w:szCs w:val="24"/>
          <w:lang w:val="en-US"/>
        </w:rPr>
        <w:t xml:space="preserve">Marina </w:t>
      </w:r>
      <w:proofErr w:type="spellStart"/>
      <w:r w:rsidRPr="00A6728C">
        <w:rPr>
          <w:rFonts w:eastAsia="Times New Roman"/>
          <w:sz w:val="24"/>
          <w:szCs w:val="24"/>
          <w:lang w:val="en-US"/>
        </w:rPr>
        <w:t>Saetta</w:t>
      </w:r>
      <w:proofErr w:type="spellEnd"/>
      <w:r w:rsidRPr="00A6728C">
        <w:rPr>
          <w:rFonts w:eastAsia="Times New Roman"/>
          <w:sz w:val="24"/>
          <w:szCs w:val="24"/>
          <w:lang w:val="en-US"/>
        </w:rPr>
        <w:t>,</w:t>
      </w:r>
    </w:p>
    <w:p w14:paraId="0B587C3E" w14:textId="77777777" w:rsidR="00DD07A8" w:rsidRPr="00A6728C" w:rsidRDefault="00DD07A8" w:rsidP="00FF546F">
      <w:pPr>
        <w:spacing w:line="360" w:lineRule="auto"/>
        <w:jc w:val="both"/>
        <w:rPr>
          <w:rFonts w:eastAsia="Times New Roman"/>
          <w:sz w:val="24"/>
          <w:szCs w:val="24"/>
          <w:lang w:val="en-US"/>
        </w:rPr>
      </w:pPr>
      <w:r w:rsidRPr="00A6728C">
        <w:rPr>
          <w:rFonts w:eastAsia="Times New Roman"/>
          <w:sz w:val="24"/>
          <w:szCs w:val="24"/>
          <w:lang w:val="en-US"/>
        </w:rPr>
        <w:t xml:space="preserve">Department of Cardiac, Thoracic, Vascular Sciences and Public Health, University of Padova, Via </w:t>
      </w:r>
      <w:proofErr w:type="spellStart"/>
      <w:r w:rsidRPr="00A6728C">
        <w:rPr>
          <w:rFonts w:eastAsia="Times New Roman"/>
          <w:sz w:val="24"/>
          <w:szCs w:val="24"/>
          <w:lang w:val="en-US"/>
        </w:rPr>
        <w:t>Giustiniani</w:t>
      </w:r>
      <w:proofErr w:type="spellEnd"/>
      <w:r w:rsidRPr="00A6728C">
        <w:rPr>
          <w:rFonts w:eastAsia="Times New Roman"/>
          <w:sz w:val="24"/>
          <w:szCs w:val="24"/>
          <w:lang w:val="en-US"/>
        </w:rPr>
        <w:t xml:space="preserve"> 3, 35128 Padova, Italy.</w:t>
      </w:r>
    </w:p>
    <w:p w14:paraId="0E2A853F" w14:textId="2C82B2AE" w:rsidR="00DD07A8" w:rsidRPr="00A6728C" w:rsidRDefault="00DD07A8" w:rsidP="00FF546F">
      <w:pPr>
        <w:spacing w:line="360" w:lineRule="auto"/>
        <w:jc w:val="both"/>
        <w:rPr>
          <w:rFonts w:eastAsia="Times New Roman"/>
          <w:sz w:val="24"/>
          <w:szCs w:val="24"/>
          <w:lang w:val="en-US"/>
        </w:rPr>
      </w:pPr>
      <w:r w:rsidRPr="00A6728C">
        <w:rPr>
          <w:rFonts w:eastAsia="Times New Roman"/>
          <w:sz w:val="24"/>
          <w:szCs w:val="24"/>
          <w:lang w:val="en-US"/>
        </w:rPr>
        <w:t>Email: marina.saetta@unipd.it</w:t>
      </w:r>
      <w:r w:rsidRPr="00A6728C">
        <w:rPr>
          <w:rFonts w:eastAsia="Times New Roman"/>
          <w:b/>
          <w:i/>
          <w:iCs/>
          <w:sz w:val="24"/>
          <w:szCs w:val="24"/>
        </w:rPr>
        <w:br w:type="page"/>
      </w:r>
    </w:p>
    <w:p w14:paraId="0000000A" w14:textId="77777777" w:rsidR="00F31659" w:rsidRPr="00A6728C" w:rsidRDefault="00EB4D13" w:rsidP="00FF546F">
      <w:pPr>
        <w:spacing w:line="480" w:lineRule="auto"/>
        <w:jc w:val="both"/>
        <w:rPr>
          <w:rFonts w:eastAsia="Times New Roman"/>
          <w:b/>
          <w:sz w:val="24"/>
          <w:szCs w:val="24"/>
        </w:rPr>
      </w:pPr>
      <w:r w:rsidRPr="00A6728C">
        <w:rPr>
          <w:rFonts w:eastAsia="Times New Roman"/>
          <w:b/>
          <w:sz w:val="24"/>
          <w:szCs w:val="24"/>
        </w:rPr>
        <w:lastRenderedPageBreak/>
        <w:t>METHODS</w:t>
      </w:r>
    </w:p>
    <w:p w14:paraId="0000000B" w14:textId="77777777" w:rsidR="00F31659" w:rsidRPr="00A6728C" w:rsidRDefault="00EB4D13" w:rsidP="00FF546F">
      <w:pPr>
        <w:spacing w:line="480" w:lineRule="auto"/>
        <w:jc w:val="both"/>
        <w:rPr>
          <w:rFonts w:eastAsia="Times New Roman"/>
          <w:b/>
          <w:color w:val="231F20"/>
          <w:sz w:val="24"/>
          <w:szCs w:val="24"/>
        </w:rPr>
      </w:pPr>
      <w:r w:rsidRPr="00A6728C">
        <w:rPr>
          <w:rFonts w:eastAsia="Times New Roman"/>
          <w:b/>
          <w:color w:val="231F20"/>
          <w:sz w:val="24"/>
          <w:szCs w:val="24"/>
        </w:rPr>
        <w:t>Patient population</w:t>
      </w:r>
    </w:p>
    <w:p w14:paraId="6A40FDC2" w14:textId="77368C89" w:rsidR="00733AAE" w:rsidRPr="00A6728C" w:rsidRDefault="00733AAE" w:rsidP="00FF546F">
      <w:pPr>
        <w:spacing w:line="480" w:lineRule="auto"/>
        <w:jc w:val="both"/>
        <w:rPr>
          <w:sz w:val="24"/>
          <w:szCs w:val="24"/>
        </w:rPr>
      </w:pPr>
      <w:r w:rsidRPr="00A6728C">
        <w:rPr>
          <w:rFonts w:eastAsia="Times New Roman"/>
          <w:sz w:val="24"/>
          <w:szCs w:val="24"/>
        </w:rPr>
        <w:t>Participants were recruited consecu</w:t>
      </w:r>
      <w:r w:rsidR="0044218B" w:rsidRPr="00A6728C">
        <w:rPr>
          <w:rFonts w:eastAsia="Times New Roman"/>
          <w:sz w:val="24"/>
          <w:szCs w:val="24"/>
        </w:rPr>
        <w:t>tively among smokers (&gt;10 pack/</w:t>
      </w:r>
      <w:r w:rsidRPr="00A6728C">
        <w:rPr>
          <w:rFonts w:eastAsia="Times New Roman"/>
          <w:sz w:val="24"/>
          <w:szCs w:val="24"/>
        </w:rPr>
        <w:t>year</w:t>
      </w:r>
      <w:r w:rsidR="0044218B" w:rsidRPr="00A6728C">
        <w:rPr>
          <w:rFonts w:eastAsia="Times New Roman"/>
          <w:sz w:val="24"/>
          <w:szCs w:val="24"/>
        </w:rPr>
        <w:t>s</w:t>
      </w:r>
      <w:r w:rsidRPr="00A6728C">
        <w:rPr>
          <w:rFonts w:eastAsia="Times New Roman"/>
          <w:sz w:val="24"/>
          <w:szCs w:val="24"/>
        </w:rPr>
        <w:t>) who first attended the Pulmonary Clinic at the Hospital Universitario Miguel Servet (Zaragoza, Spain) between</w:t>
      </w:r>
      <w:r w:rsidR="00794D4B" w:rsidRPr="00A6728C">
        <w:rPr>
          <w:rFonts w:eastAsia="Times New Roman"/>
          <w:sz w:val="24"/>
          <w:szCs w:val="24"/>
        </w:rPr>
        <w:t xml:space="preserve"> </w:t>
      </w:r>
      <w:r w:rsidR="00D67042" w:rsidRPr="00A6728C">
        <w:rPr>
          <w:rFonts w:eastAsia="Times New Roman"/>
          <w:sz w:val="24"/>
          <w:szCs w:val="24"/>
        </w:rPr>
        <w:t xml:space="preserve">October </w:t>
      </w:r>
      <w:r w:rsidR="00794D4B" w:rsidRPr="00A6728C">
        <w:rPr>
          <w:rFonts w:eastAsia="Times New Roman"/>
          <w:sz w:val="24"/>
          <w:szCs w:val="24"/>
        </w:rPr>
        <w:t xml:space="preserve">2010 </w:t>
      </w:r>
      <w:r w:rsidRPr="00A6728C">
        <w:rPr>
          <w:rFonts w:eastAsia="Times New Roman"/>
          <w:sz w:val="24"/>
          <w:szCs w:val="24"/>
        </w:rPr>
        <w:t>and</w:t>
      </w:r>
      <w:r w:rsidR="00794D4B" w:rsidRPr="00A6728C">
        <w:rPr>
          <w:rFonts w:eastAsia="Times New Roman"/>
          <w:sz w:val="24"/>
          <w:szCs w:val="24"/>
        </w:rPr>
        <w:t xml:space="preserve"> </w:t>
      </w:r>
      <w:r w:rsidR="00D67042" w:rsidRPr="00A6728C">
        <w:rPr>
          <w:rFonts w:eastAsia="Times New Roman"/>
          <w:sz w:val="24"/>
          <w:szCs w:val="24"/>
        </w:rPr>
        <w:t xml:space="preserve">April </w:t>
      </w:r>
      <w:r w:rsidRPr="00A6728C">
        <w:rPr>
          <w:rFonts w:eastAsia="Times New Roman"/>
          <w:sz w:val="24"/>
          <w:szCs w:val="24"/>
        </w:rPr>
        <w:t xml:space="preserve">2014. </w:t>
      </w:r>
      <w:r w:rsidR="00C55AF9" w:rsidRPr="00A6728C">
        <w:rPr>
          <w:rFonts w:eastAsia="Times New Roman"/>
          <w:sz w:val="24"/>
          <w:szCs w:val="24"/>
        </w:rPr>
        <w:t>T</w:t>
      </w:r>
      <w:r w:rsidRPr="00A6728C">
        <w:rPr>
          <w:rFonts w:eastAsia="Times New Roman"/>
          <w:sz w:val="24"/>
          <w:szCs w:val="24"/>
        </w:rPr>
        <w:t xml:space="preserve">he objective of constituting this cohort was to determine health related outcomes in smokers with </w:t>
      </w:r>
      <w:r w:rsidR="0044218B" w:rsidRPr="00A6728C">
        <w:rPr>
          <w:rFonts w:eastAsia="Times New Roman"/>
          <w:sz w:val="24"/>
          <w:szCs w:val="24"/>
        </w:rPr>
        <w:t>and</w:t>
      </w:r>
      <w:r w:rsidRPr="00A6728C">
        <w:rPr>
          <w:rFonts w:eastAsia="Times New Roman"/>
          <w:sz w:val="24"/>
          <w:szCs w:val="24"/>
        </w:rPr>
        <w:t xml:space="preserve"> without COPD</w:t>
      </w:r>
      <w:r w:rsidR="0044218B" w:rsidRPr="00A6728C">
        <w:rPr>
          <w:rFonts w:eastAsia="Times New Roman"/>
          <w:sz w:val="24"/>
          <w:szCs w:val="24"/>
        </w:rPr>
        <w:t>,</w:t>
      </w:r>
      <w:r w:rsidRPr="00A6728C">
        <w:rPr>
          <w:rFonts w:eastAsia="Times New Roman"/>
          <w:sz w:val="24"/>
          <w:szCs w:val="24"/>
        </w:rPr>
        <w:t xml:space="preserve"> free of major comorbidities</w:t>
      </w:r>
      <w:r w:rsidR="002F26A5">
        <w:rPr>
          <w:rFonts w:eastAsia="Times New Roman"/>
          <w:sz w:val="24"/>
          <w:szCs w:val="24"/>
        </w:rPr>
        <w:t xml:space="preserve"> at recruitment</w:t>
      </w:r>
      <w:r w:rsidRPr="00A6728C">
        <w:rPr>
          <w:rFonts w:eastAsia="Times New Roman"/>
          <w:sz w:val="24"/>
          <w:szCs w:val="24"/>
        </w:rPr>
        <w:t>. Eligible individuals were &gt;40 years old smokers who came to the clinic requesting to be included in our smoking cessation program or referred by other doctors to assess their respiratory health. At baseline, all subjects were clinically stable (free of exacerbation</w:t>
      </w:r>
      <w:r w:rsidR="00AD7669">
        <w:rPr>
          <w:rFonts w:eastAsia="Times New Roman"/>
          <w:sz w:val="24"/>
          <w:szCs w:val="24"/>
        </w:rPr>
        <w:t xml:space="preserve">s and </w:t>
      </w:r>
      <w:r w:rsidR="000C4252">
        <w:rPr>
          <w:rFonts w:eastAsia="Times New Roman"/>
          <w:sz w:val="24"/>
          <w:szCs w:val="24"/>
        </w:rPr>
        <w:t xml:space="preserve">not treated with </w:t>
      </w:r>
      <w:r w:rsidR="00AD7669">
        <w:rPr>
          <w:rFonts w:eastAsia="Times New Roman"/>
          <w:sz w:val="24"/>
          <w:szCs w:val="24"/>
        </w:rPr>
        <w:t>oral corticosteroids and antibiotics</w:t>
      </w:r>
      <w:r w:rsidRPr="00A6728C">
        <w:rPr>
          <w:rFonts w:eastAsia="Times New Roman"/>
          <w:sz w:val="24"/>
          <w:szCs w:val="24"/>
        </w:rPr>
        <w:t xml:space="preserve"> for at least 8 w</w:t>
      </w:r>
      <w:r w:rsidR="005E4085" w:rsidRPr="00A6728C">
        <w:rPr>
          <w:rFonts w:eastAsia="Times New Roman"/>
          <w:sz w:val="24"/>
          <w:szCs w:val="24"/>
        </w:rPr>
        <w:t>ee</w:t>
      </w:r>
      <w:r w:rsidRPr="00A6728C">
        <w:rPr>
          <w:rFonts w:eastAsia="Times New Roman"/>
          <w:sz w:val="24"/>
          <w:szCs w:val="24"/>
        </w:rPr>
        <w:t>k</w:t>
      </w:r>
      <w:r w:rsidR="005E4085" w:rsidRPr="00A6728C">
        <w:rPr>
          <w:rFonts w:eastAsia="Times New Roman"/>
          <w:sz w:val="24"/>
          <w:szCs w:val="24"/>
        </w:rPr>
        <w:t>s</w:t>
      </w:r>
      <w:r w:rsidRPr="00A6728C">
        <w:rPr>
          <w:rFonts w:eastAsia="Times New Roman"/>
          <w:sz w:val="24"/>
          <w:szCs w:val="24"/>
        </w:rPr>
        <w:t>) and they were offered to be included in a smoking cessation program if they were active smokers. All COPD patients received standard treatment at first visit according with current guideline</w:t>
      </w:r>
      <w:r w:rsidR="00D227B8">
        <w:rPr>
          <w:rFonts w:eastAsia="Times New Roman"/>
          <w:sz w:val="24"/>
          <w:szCs w:val="24"/>
        </w:rPr>
        <w:t>s</w:t>
      </w:r>
      <w:r w:rsidR="008D2CE8">
        <w:rPr>
          <w:rFonts w:eastAsia="Times New Roman"/>
          <w:sz w:val="24"/>
          <w:szCs w:val="24"/>
        </w:rPr>
        <w:t xml:space="preserve"> </w:t>
      </w:r>
      <w:r w:rsidR="004A5B42">
        <w:rPr>
          <w:rFonts w:eastAsia="Times New Roman"/>
          <w:sz w:val="24"/>
          <w:szCs w:val="24"/>
        </w:rPr>
        <w:t>[</w:t>
      </w:r>
      <w:r w:rsidR="00D227B8">
        <w:rPr>
          <w:rFonts w:eastAsia="Times New Roman"/>
          <w:sz w:val="24"/>
          <w:szCs w:val="24"/>
        </w:rPr>
        <w:t>E</w:t>
      </w:r>
      <w:r w:rsidRPr="00D227B8">
        <w:rPr>
          <w:rFonts w:eastAsia="Times New Roman"/>
          <w:sz w:val="24"/>
          <w:szCs w:val="24"/>
        </w:rPr>
        <w:t>1</w:t>
      </w:r>
      <w:r w:rsidR="004A5B42">
        <w:rPr>
          <w:rFonts w:eastAsia="Times New Roman"/>
          <w:sz w:val="24"/>
          <w:szCs w:val="24"/>
        </w:rPr>
        <w:t>]</w:t>
      </w:r>
      <w:r w:rsidR="00D227B8">
        <w:rPr>
          <w:rFonts w:eastAsia="Times New Roman"/>
          <w:sz w:val="24"/>
          <w:szCs w:val="24"/>
        </w:rPr>
        <w:t>.</w:t>
      </w:r>
      <w:r w:rsidRPr="00A6728C">
        <w:rPr>
          <w:rFonts w:eastAsia="Times New Roman"/>
          <w:sz w:val="24"/>
          <w:szCs w:val="24"/>
        </w:rPr>
        <w:t xml:space="preserve"> </w:t>
      </w:r>
      <w:r w:rsidR="00A02C9E" w:rsidRPr="00A6728C">
        <w:rPr>
          <w:rFonts w:eastAsia="Times New Roman"/>
          <w:sz w:val="24"/>
          <w:szCs w:val="24"/>
        </w:rPr>
        <w:t xml:space="preserve">One lung function test and one CBCs done prior to study entry were available in all subjects. </w:t>
      </w:r>
      <w:r w:rsidRPr="00A6728C">
        <w:rPr>
          <w:rFonts w:eastAsia="Times New Roman"/>
          <w:sz w:val="24"/>
          <w:szCs w:val="24"/>
        </w:rPr>
        <w:t>Patients who agreed to be included in the cohort signed an informed consent before any procedure was performed.</w:t>
      </w:r>
    </w:p>
    <w:p w14:paraId="5A86806D" w14:textId="44B36560" w:rsidR="00994DAB" w:rsidRPr="00A6728C" w:rsidRDefault="00994DAB" w:rsidP="00FF546F">
      <w:pPr>
        <w:spacing w:line="480" w:lineRule="auto"/>
        <w:jc w:val="both"/>
        <w:rPr>
          <w:rFonts w:eastAsia="Times New Roman"/>
          <w:sz w:val="24"/>
          <w:szCs w:val="24"/>
        </w:rPr>
      </w:pPr>
      <w:r w:rsidRPr="00A6728C">
        <w:rPr>
          <w:rFonts w:eastAsia="Times New Roman"/>
          <w:sz w:val="24"/>
          <w:szCs w:val="24"/>
        </w:rPr>
        <w:t xml:space="preserve">Of the </w:t>
      </w:r>
      <w:r w:rsidR="00C34162" w:rsidRPr="00A6728C">
        <w:rPr>
          <w:rFonts w:eastAsia="Times New Roman"/>
          <w:sz w:val="24"/>
          <w:szCs w:val="24"/>
        </w:rPr>
        <w:t xml:space="preserve">2453 </w:t>
      </w:r>
      <w:r w:rsidRPr="00A6728C">
        <w:rPr>
          <w:rFonts w:eastAsia="Times New Roman"/>
          <w:sz w:val="24"/>
          <w:szCs w:val="24"/>
        </w:rPr>
        <w:t>smokers who came to the outpatient respiratory clinic dur</w:t>
      </w:r>
      <w:r w:rsidR="00837202" w:rsidRPr="00A6728C">
        <w:rPr>
          <w:rFonts w:eastAsia="Times New Roman"/>
          <w:sz w:val="24"/>
          <w:szCs w:val="24"/>
        </w:rPr>
        <w:t>ing the recruiting period, 1</w:t>
      </w:r>
      <w:r w:rsidR="00C34162" w:rsidRPr="00A6728C">
        <w:rPr>
          <w:rFonts w:eastAsia="Times New Roman"/>
          <w:sz w:val="24"/>
          <w:szCs w:val="24"/>
        </w:rPr>
        <w:t>130</w:t>
      </w:r>
      <w:r w:rsidRPr="00A6728C">
        <w:rPr>
          <w:rFonts w:eastAsia="Times New Roman"/>
          <w:sz w:val="24"/>
          <w:szCs w:val="24"/>
        </w:rPr>
        <w:t xml:space="preserve"> subjects </w:t>
      </w:r>
      <w:r w:rsidR="00C34162" w:rsidRPr="00A6728C">
        <w:rPr>
          <w:rFonts w:eastAsia="Times New Roman"/>
          <w:sz w:val="24"/>
          <w:szCs w:val="24"/>
        </w:rPr>
        <w:t xml:space="preserve">did not </w:t>
      </w:r>
      <w:r w:rsidR="00794D4B" w:rsidRPr="00A6728C">
        <w:rPr>
          <w:rFonts w:eastAsia="Times New Roman"/>
          <w:sz w:val="24"/>
          <w:szCs w:val="24"/>
        </w:rPr>
        <w:t xml:space="preserve">meet </w:t>
      </w:r>
      <w:r w:rsidR="00C34162" w:rsidRPr="00A6728C">
        <w:rPr>
          <w:rFonts w:eastAsia="Times New Roman"/>
          <w:sz w:val="24"/>
          <w:szCs w:val="24"/>
        </w:rPr>
        <w:t>the inclusion</w:t>
      </w:r>
      <w:r w:rsidRPr="00A6728C">
        <w:rPr>
          <w:rFonts w:eastAsia="Times New Roman"/>
          <w:sz w:val="24"/>
          <w:szCs w:val="24"/>
        </w:rPr>
        <w:t xml:space="preserve"> criteria</w:t>
      </w:r>
      <w:r w:rsidR="00C34162" w:rsidRPr="00A6728C">
        <w:rPr>
          <w:rFonts w:eastAsia="Times New Roman"/>
          <w:sz w:val="24"/>
          <w:szCs w:val="24"/>
        </w:rPr>
        <w:t xml:space="preserve"> (&gt;40 years, &gt;10 pack/year</w:t>
      </w:r>
      <w:r w:rsidR="00837202" w:rsidRPr="00A6728C">
        <w:rPr>
          <w:rFonts w:eastAsia="Times New Roman"/>
          <w:sz w:val="24"/>
          <w:szCs w:val="24"/>
        </w:rPr>
        <w:t>s</w:t>
      </w:r>
      <w:r w:rsidR="00C34162" w:rsidRPr="00A6728C">
        <w:rPr>
          <w:rFonts w:eastAsia="Times New Roman"/>
          <w:sz w:val="24"/>
          <w:szCs w:val="24"/>
        </w:rPr>
        <w:t>), and 802 were excluded because of concomitant comorbidities</w:t>
      </w:r>
      <w:r w:rsidRPr="00A6728C">
        <w:rPr>
          <w:rFonts w:eastAsia="Times New Roman"/>
          <w:sz w:val="24"/>
          <w:szCs w:val="24"/>
        </w:rPr>
        <w:t>. Among the rema</w:t>
      </w:r>
      <w:r w:rsidR="00C34162" w:rsidRPr="00A6728C">
        <w:rPr>
          <w:rFonts w:eastAsia="Times New Roman"/>
          <w:sz w:val="24"/>
          <w:szCs w:val="24"/>
        </w:rPr>
        <w:t>i</w:t>
      </w:r>
      <w:r w:rsidR="00EB35E3" w:rsidRPr="00A6728C">
        <w:rPr>
          <w:rFonts w:eastAsia="Times New Roman"/>
          <w:sz w:val="24"/>
          <w:szCs w:val="24"/>
        </w:rPr>
        <w:t>ning 52</w:t>
      </w:r>
      <w:r w:rsidRPr="00A6728C">
        <w:rPr>
          <w:rFonts w:eastAsia="Times New Roman"/>
          <w:sz w:val="24"/>
          <w:szCs w:val="24"/>
        </w:rPr>
        <w:t>1</w:t>
      </w:r>
      <w:r w:rsidR="00EB35E3" w:rsidRPr="00A6728C">
        <w:rPr>
          <w:rFonts w:eastAsia="Times New Roman"/>
          <w:sz w:val="24"/>
          <w:szCs w:val="24"/>
        </w:rPr>
        <w:t>, 10 subjects were lost during follow-up, and 511</w:t>
      </w:r>
      <w:r w:rsidRPr="00A6728C">
        <w:rPr>
          <w:rFonts w:eastAsia="Times New Roman"/>
          <w:sz w:val="24"/>
          <w:szCs w:val="24"/>
        </w:rPr>
        <w:t xml:space="preserve"> participants </w:t>
      </w:r>
      <w:r w:rsidR="00EB35E3" w:rsidRPr="00A6728C">
        <w:rPr>
          <w:rFonts w:eastAsia="Times New Roman"/>
          <w:sz w:val="24"/>
          <w:szCs w:val="24"/>
        </w:rPr>
        <w:t>were included in the analysis;</w:t>
      </w:r>
      <w:r w:rsidRPr="00A6728C">
        <w:rPr>
          <w:rFonts w:eastAsia="Times New Roman"/>
          <w:sz w:val="24"/>
          <w:szCs w:val="24"/>
        </w:rPr>
        <w:t xml:space="preserve"> 302 </w:t>
      </w:r>
      <w:r w:rsidR="00EB35E3" w:rsidRPr="00A6728C">
        <w:rPr>
          <w:rFonts w:eastAsia="Times New Roman"/>
          <w:sz w:val="24"/>
          <w:szCs w:val="24"/>
        </w:rPr>
        <w:t>with</w:t>
      </w:r>
      <w:r w:rsidRPr="00A6728C">
        <w:rPr>
          <w:rFonts w:eastAsia="Times New Roman"/>
          <w:sz w:val="24"/>
          <w:szCs w:val="24"/>
        </w:rPr>
        <w:t xml:space="preserve"> COPD and 209 </w:t>
      </w:r>
      <w:r w:rsidR="00EB35E3" w:rsidRPr="00A6728C">
        <w:rPr>
          <w:rFonts w:eastAsia="Times New Roman"/>
          <w:sz w:val="24"/>
          <w:szCs w:val="24"/>
        </w:rPr>
        <w:t>without</w:t>
      </w:r>
      <w:r w:rsidRPr="00A6728C">
        <w:rPr>
          <w:rFonts w:eastAsia="Times New Roman"/>
          <w:sz w:val="24"/>
          <w:szCs w:val="24"/>
        </w:rPr>
        <w:t xml:space="preserve"> COPD </w:t>
      </w:r>
      <w:r w:rsidR="00EB35E3" w:rsidRPr="00A6728C">
        <w:rPr>
          <w:rFonts w:eastAsia="Times New Roman"/>
          <w:sz w:val="24"/>
          <w:szCs w:val="24"/>
        </w:rPr>
        <w:t>(</w:t>
      </w:r>
      <w:r w:rsidRPr="00A6728C">
        <w:rPr>
          <w:rFonts w:eastAsia="Times New Roman"/>
          <w:sz w:val="24"/>
          <w:szCs w:val="24"/>
        </w:rPr>
        <w:t>noCOPD</w:t>
      </w:r>
      <w:r w:rsidR="00EB35E3" w:rsidRPr="00A6728C">
        <w:rPr>
          <w:rFonts w:eastAsia="Times New Roman"/>
          <w:sz w:val="24"/>
          <w:szCs w:val="24"/>
        </w:rPr>
        <w:t>)</w:t>
      </w:r>
      <w:r w:rsidR="008D2CE8">
        <w:rPr>
          <w:rFonts w:eastAsia="Times New Roman"/>
          <w:sz w:val="24"/>
          <w:szCs w:val="24"/>
        </w:rPr>
        <w:t xml:space="preserve"> (Fig.E</w:t>
      </w:r>
      <w:r w:rsidR="00A246FE" w:rsidRPr="00A6728C">
        <w:rPr>
          <w:rFonts w:eastAsia="Times New Roman"/>
          <w:sz w:val="24"/>
          <w:szCs w:val="24"/>
        </w:rPr>
        <w:t>1</w:t>
      </w:r>
      <w:r w:rsidRPr="00A6728C">
        <w:rPr>
          <w:rFonts w:eastAsia="Times New Roman"/>
          <w:sz w:val="24"/>
          <w:szCs w:val="24"/>
        </w:rPr>
        <w:t>).</w:t>
      </w:r>
    </w:p>
    <w:p w14:paraId="18FA9E78" w14:textId="05CEDC44" w:rsidR="00D27651" w:rsidRPr="00A6728C" w:rsidRDefault="0073219B" w:rsidP="00FF546F">
      <w:pPr>
        <w:spacing w:line="480" w:lineRule="auto"/>
        <w:jc w:val="both"/>
        <w:rPr>
          <w:sz w:val="24"/>
          <w:szCs w:val="24"/>
        </w:rPr>
      </w:pPr>
      <w:r w:rsidRPr="00A6728C">
        <w:rPr>
          <w:rFonts w:eastAsia="Times New Roman"/>
          <w:sz w:val="24"/>
          <w:szCs w:val="24"/>
        </w:rPr>
        <w:t>A</w:t>
      </w:r>
      <w:r w:rsidR="00F949E9" w:rsidRPr="00A6728C">
        <w:rPr>
          <w:rFonts w:eastAsia="Times New Roman"/>
          <w:sz w:val="24"/>
          <w:szCs w:val="24"/>
        </w:rPr>
        <w:t xml:space="preserve">ll subjects underwent </w:t>
      </w:r>
      <w:r w:rsidR="00327255" w:rsidRPr="00A6728C">
        <w:rPr>
          <w:rFonts w:eastAsia="Times New Roman"/>
          <w:sz w:val="24"/>
          <w:szCs w:val="24"/>
        </w:rPr>
        <w:t>functional</w:t>
      </w:r>
      <w:r w:rsidR="00261FE5" w:rsidRPr="00A6728C">
        <w:rPr>
          <w:rFonts w:eastAsia="Times New Roman"/>
          <w:sz w:val="24"/>
          <w:szCs w:val="24"/>
        </w:rPr>
        <w:t xml:space="preserve"> and </w:t>
      </w:r>
      <w:r w:rsidR="00F949E9" w:rsidRPr="00A6728C">
        <w:rPr>
          <w:rFonts w:eastAsia="Times New Roman"/>
          <w:sz w:val="24"/>
          <w:szCs w:val="24"/>
        </w:rPr>
        <w:t xml:space="preserve">clinical examination including </w:t>
      </w:r>
      <w:r w:rsidR="00261FE5" w:rsidRPr="00A6728C">
        <w:rPr>
          <w:rFonts w:eastAsia="Times New Roman"/>
          <w:sz w:val="24"/>
          <w:szCs w:val="24"/>
        </w:rPr>
        <w:t>pul</w:t>
      </w:r>
      <w:r w:rsidR="00E71BDE" w:rsidRPr="00A6728C">
        <w:rPr>
          <w:rFonts w:eastAsia="Times New Roman"/>
          <w:sz w:val="24"/>
          <w:szCs w:val="24"/>
        </w:rPr>
        <w:t>monary function tests,</w:t>
      </w:r>
      <w:r w:rsidR="00261FE5" w:rsidRPr="00A6728C">
        <w:rPr>
          <w:rFonts w:eastAsia="Times New Roman"/>
          <w:sz w:val="24"/>
          <w:szCs w:val="24"/>
        </w:rPr>
        <w:t xml:space="preserve"> </w:t>
      </w:r>
      <w:r w:rsidR="00BA709A" w:rsidRPr="00A6728C">
        <w:rPr>
          <w:rFonts w:eastAsia="Times New Roman"/>
          <w:sz w:val="24"/>
          <w:szCs w:val="24"/>
        </w:rPr>
        <w:t>modified Medical Research C</w:t>
      </w:r>
      <w:r w:rsidR="009C44F2" w:rsidRPr="00A6728C">
        <w:rPr>
          <w:rFonts w:eastAsia="Times New Roman"/>
          <w:sz w:val="24"/>
          <w:szCs w:val="24"/>
        </w:rPr>
        <w:t>ouncil (</w:t>
      </w:r>
      <w:r w:rsidR="00497D1C" w:rsidRPr="00A6728C">
        <w:rPr>
          <w:rFonts w:eastAsia="Times New Roman"/>
          <w:sz w:val="24"/>
          <w:szCs w:val="24"/>
        </w:rPr>
        <w:t>m</w:t>
      </w:r>
      <w:r w:rsidR="00F949E9" w:rsidRPr="00A6728C">
        <w:rPr>
          <w:rFonts w:eastAsia="Times New Roman"/>
          <w:sz w:val="24"/>
          <w:szCs w:val="24"/>
        </w:rPr>
        <w:t>MRC</w:t>
      </w:r>
      <w:r w:rsidR="009C44F2" w:rsidRPr="00A6728C">
        <w:rPr>
          <w:rFonts w:eastAsia="Times New Roman"/>
          <w:sz w:val="24"/>
          <w:szCs w:val="24"/>
        </w:rPr>
        <w:t>)</w:t>
      </w:r>
      <w:r w:rsidR="00F949E9" w:rsidRPr="00A6728C">
        <w:rPr>
          <w:rFonts w:eastAsia="Times New Roman"/>
          <w:sz w:val="24"/>
          <w:szCs w:val="24"/>
        </w:rPr>
        <w:t xml:space="preserve"> dyspnea and </w:t>
      </w:r>
      <w:r w:rsidR="00BA709A" w:rsidRPr="00A6728C">
        <w:rPr>
          <w:rFonts w:eastAsia="Times New Roman"/>
          <w:sz w:val="24"/>
          <w:szCs w:val="24"/>
        </w:rPr>
        <w:t>COPD Assessment T</w:t>
      </w:r>
      <w:r w:rsidR="009C44F2" w:rsidRPr="00A6728C">
        <w:rPr>
          <w:rFonts w:eastAsia="Times New Roman"/>
          <w:sz w:val="24"/>
          <w:szCs w:val="24"/>
        </w:rPr>
        <w:t>est (</w:t>
      </w:r>
      <w:r w:rsidR="00F949E9" w:rsidRPr="00A6728C">
        <w:rPr>
          <w:rFonts w:eastAsia="Times New Roman"/>
          <w:sz w:val="24"/>
          <w:szCs w:val="24"/>
        </w:rPr>
        <w:t>CAT</w:t>
      </w:r>
      <w:r w:rsidR="009C44F2" w:rsidRPr="00A6728C">
        <w:rPr>
          <w:rFonts w:eastAsia="Times New Roman"/>
          <w:sz w:val="24"/>
          <w:szCs w:val="24"/>
        </w:rPr>
        <w:t>)</w:t>
      </w:r>
      <w:r w:rsidR="00F949E9" w:rsidRPr="00A6728C">
        <w:rPr>
          <w:rFonts w:eastAsia="Times New Roman"/>
          <w:sz w:val="24"/>
          <w:szCs w:val="24"/>
        </w:rPr>
        <w:t xml:space="preserve"> scores</w:t>
      </w:r>
      <w:r w:rsidR="00261FE5" w:rsidRPr="00A6728C">
        <w:rPr>
          <w:rFonts w:eastAsia="Times New Roman"/>
          <w:sz w:val="24"/>
          <w:szCs w:val="24"/>
        </w:rPr>
        <w:t xml:space="preserve"> evaluation</w:t>
      </w:r>
      <w:r w:rsidR="00F949E9" w:rsidRPr="00A6728C">
        <w:rPr>
          <w:rFonts w:eastAsia="Times New Roman"/>
          <w:sz w:val="24"/>
          <w:szCs w:val="24"/>
        </w:rPr>
        <w:t xml:space="preserve">. </w:t>
      </w:r>
      <w:r w:rsidR="00837202" w:rsidRPr="00A6728C">
        <w:rPr>
          <w:rFonts w:eastAsia="Times New Roman"/>
          <w:sz w:val="24"/>
          <w:szCs w:val="24"/>
        </w:rPr>
        <w:t>In COPD subjects FEV</w:t>
      </w:r>
      <w:r w:rsidR="00837202" w:rsidRPr="00A6728C">
        <w:rPr>
          <w:rFonts w:eastAsia="Times New Roman"/>
          <w:sz w:val="24"/>
          <w:szCs w:val="24"/>
          <w:vertAlign w:val="subscript"/>
        </w:rPr>
        <w:t>1</w:t>
      </w:r>
      <w:r w:rsidR="00837202" w:rsidRPr="00A6728C">
        <w:rPr>
          <w:rFonts w:eastAsia="Times New Roman"/>
          <w:sz w:val="24"/>
          <w:szCs w:val="24"/>
        </w:rPr>
        <w:t>, body mass index, 6MWD and mMRC values were</w:t>
      </w:r>
      <w:r w:rsidR="00D227B8">
        <w:rPr>
          <w:rFonts w:eastAsia="Times New Roman"/>
          <w:sz w:val="24"/>
          <w:szCs w:val="24"/>
        </w:rPr>
        <w:t xml:space="preserve"> integrated into the BODE index</w:t>
      </w:r>
      <w:r w:rsidR="008D2CE8">
        <w:rPr>
          <w:rFonts w:eastAsia="Times New Roman"/>
          <w:sz w:val="24"/>
          <w:szCs w:val="24"/>
        </w:rPr>
        <w:t xml:space="preserve"> </w:t>
      </w:r>
      <w:r w:rsidR="004A5B42">
        <w:rPr>
          <w:rFonts w:eastAsia="Times New Roman"/>
          <w:sz w:val="24"/>
          <w:szCs w:val="24"/>
        </w:rPr>
        <w:t>[</w:t>
      </w:r>
      <w:r w:rsidR="00D227B8">
        <w:rPr>
          <w:rFonts w:eastAsia="Times New Roman"/>
          <w:sz w:val="24"/>
          <w:szCs w:val="24"/>
        </w:rPr>
        <w:t>E</w:t>
      </w:r>
      <w:r w:rsidR="00D621E1" w:rsidRPr="00D227B8">
        <w:rPr>
          <w:rFonts w:eastAsia="Times New Roman"/>
          <w:sz w:val="24"/>
          <w:szCs w:val="24"/>
        </w:rPr>
        <w:t>2</w:t>
      </w:r>
      <w:r w:rsidR="004A5B42">
        <w:rPr>
          <w:rFonts w:eastAsia="Times New Roman"/>
          <w:sz w:val="24"/>
          <w:szCs w:val="24"/>
        </w:rPr>
        <w:t>]</w:t>
      </w:r>
      <w:r w:rsidR="00D227B8">
        <w:rPr>
          <w:rFonts w:eastAsia="Times New Roman"/>
          <w:sz w:val="24"/>
          <w:szCs w:val="24"/>
        </w:rPr>
        <w:t>.</w:t>
      </w:r>
      <w:r w:rsidR="00837202" w:rsidRPr="00A6728C">
        <w:rPr>
          <w:rFonts w:eastAsia="Times New Roman"/>
          <w:sz w:val="24"/>
          <w:szCs w:val="24"/>
        </w:rPr>
        <w:t xml:space="preserve"> </w:t>
      </w:r>
      <w:r w:rsidR="00EB4D13" w:rsidRPr="00A6728C">
        <w:rPr>
          <w:rFonts w:eastAsia="Times New Roman"/>
          <w:sz w:val="24"/>
          <w:szCs w:val="24"/>
        </w:rPr>
        <w:t>Exacerbations were</w:t>
      </w:r>
      <w:r w:rsidR="00261FE5" w:rsidRPr="00A6728C">
        <w:rPr>
          <w:rFonts w:eastAsia="Times New Roman"/>
          <w:sz w:val="24"/>
          <w:szCs w:val="24"/>
        </w:rPr>
        <w:t xml:space="preserve"> collected and</w:t>
      </w:r>
      <w:r w:rsidR="00EB4D13" w:rsidRPr="00A6728C">
        <w:rPr>
          <w:rFonts w:eastAsia="Times New Roman"/>
          <w:sz w:val="24"/>
          <w:szCs w:val="24"/>
        </w:rPr>
        <w:t xml:space="preserve"> defined as acute </w:t>
      </w:r>
      <w:r w:rsidR="007F0CDB" w:rsidRPr="00A6728C">
        <w:rPr>
          <w:rFonts w:eastAsia="Times New Roman"/>
          <w:sz w:val="24"/>
          <w:szCs w:val="24"/>
        </w:rPr>
        <w:lastRenderedPageBreak/>
        <w:t xml:space="preserve">worsening of </w:t>
      </w:r>
      <w:r w:rsidR="00EB4D13" w:rsidRPr="00A6728C">
        <w:rPr>
          <w:rFonts w:eastAsia="Times New Roman"/>
          <w:sz w:val="24"/>
          <w:szCs w:val="24"/>
        </w:rPr>
        <w:t xml:space="preserve">respiratory symptoms </w:t>
      </w:r>
      <w:r w:rsidR="007F0CDB" w:rsidRPr="00A6728C">
        <w:rPr>
          <w:rFonts w:eastAsia="Times New Roman"/>
          <w:sz w:val="24"/>
          <w:szCs w:val="24"/>
        </w:rPr>
        <w:t xml:space="preserve">that required </w:t>
      </w:r>
      <w:r w:rsidR="00EB4D13" w:rsidRPr="00A6728C">
        <w:rPr>
          <w:rFonts w:eastAsia="Times New Roman"/>
          <w:sz w:val="24"/>
          <w:szCs w:val="24"/>
        </w:rPr>
        <w:t xml:space="preserve">antibiotics </w:t>
      </w:r>
      <w:r w:rsidR="007F0CDB" w:rsidRPr="00A6728C">
        <w:rPr>
          <w:rFonts w:eastAsia="Times New Roman"/>
          <w:sz w:val="24"/>
          <w:szCs w:val="24"/>
        </w:rPr>
        <w:t>and/</w:t>
      </w:r>
      <w:r w:rsidR="00EB4D13" w:rsidRPr="00A6728C">
        <w:rPr>
          <w:rFonts w:eastAsia="Times New Roman"/>
          <w:sz w:val="24"/>
          <w:szCs w:val="24"/>
        </w:rPr>
        <w:t xml:space="preserve">or </w:t>
      </w:r>
      <w:r w:rsidR="007F0CDB" w:rsidRPr="00A6728C">
        <w:rPr>
          <w:rFonts w:eastAsia="Times New Roman"/>
          <w:sz w:val="24"/>
          <w:szCs w:val="24"/>
        </w:rPr>
        <w:t>oral</w:t>
      </w:r>
      <w:r w:rsidR="00EB4D13" w:rsidRPr="00A6728C">
        <w:rPr>
          <w:rFonts w:eastAsia="Times New Roman"/>
          <w:sz w:val="24"/>
          <w:szCs w:val="24"/>
        </w:rPr>
        <w:t xml:space="preserve"> </w:t>
      </w:r>
      <w:r w:rsidR="007F0CDB" w:rsidRPr="00A6728C">
        <w:rPr>
          <w:rFonts w:eastAsia="Times New Roman"/>
          <w:sz w:val="24"/>
          <w:szCs w:val="24"/>
        </w:rPr>
        <w:t>cortico</w:t>
      </w:r>
      <w:r w:rsidR="00EB4D13" w:rsidRPr="00A6728C">
        <w:rPr>
          <w:rFonts w:eastAsia="Times New Roman"/>
          <w:sz w:val="24"/>
          <w:szCs w:val="24"/>
        </w:rPr>
        <w:t xml:space="preserve">steroids </w:t>
      </w:r>
      <w:r w:rsidR="007F0CDB" w:rsidRPr="00A6728C">
        <w:rPr>
          <w:rFonts w:eastAsia="Times New Roman"/>
          <w:sz w:val="24"/>
          <w:szCs w:val="24"/>
        </w:rPr>
        <w:t>(moderate) by medical prescription, or hospitalization/visit at the emergency room (severe</w:t>
      </w:r>
      <w:r w:rsidR="00D227B8">
        <w:rPr>
          <w:rFonts w:eastAsia="Times New Roman"/>
          <w:sz w:val="24"/>
          <w:szCs w:val="24"/>
        </w:rPr>
        <w:t>)</w:t>
      </w:r>
      <w:r w:rsidR="008D2CE8">
        <w:rPr>
          <w:rFonts w:eastAsia="Times New Roman"/>
          <w:sz w:val="24"/>
          <w:szCs w:val="24"/>
        </w:rPr>
        <w:t xml:space="preserve"> </w:t>
      </w:r>
      <w:r w:rsidR="004A5B42">
        <w:rPr>
          <w:rFonts w:eastAsia="Times New Roman"/>
          <w:sz w:val="24"/>
          <w:szCs w:val="24"/>
        </w:rPr>
        <w:t>[</w:t>
      </w:r>
      <w:r w:rsidR="00D227B8">
        <w:rPr>
          <w:rFonts w:eastAsia="Times New Roman"/>
          <w:sz w:val="24"/>
          <w:szCs w:val="24"/>
        </w:rPr>
        <w:t>E</w:t>
      </w:r>
      <w:r w:rsidR="007F0CDB" w:rsidRPr="00D227B8">
        <w:rPr>
          <w:rFonts w:eastAsia="Times New Roman"/>
          <w:sz w:val="24"/>
          <w:szCs w:val="24"/>
        </w:rPr>
        <w:t>1</w:t>
      </w:r>
      <w:r w:rsidR="004A5B42">
        <w:rPr>
          <w:rFonts w:eastAsia="Times New Roman"/>
          <w:sz w:val="24"/>
          <w:szCs w:val="24"/>
        </w:rPr>
        <w:t>]</w:t>
      </w:r>
      <w:r w:rsidR="00D227B8">
        <w:rPr>
          <w:rFonts w:eastAsia="Times New Roman"/>
          <w:sz w:val="24"/>
          <w:szCs w:val="24"/>
        </w:rPr>
        <w:t>.</w:t>
      </w:r>
    </w:p>
    <w:p w14:paraId="03E947BD" w14:textId="77777777" w:rsidR="00D27651" w:rsidRPr="00A6728C" w:rsidRDefault="00D27651" w:rsidP="00FF546F">
      <w:pPr>
        <w:spacing w:line="480" w:lineRule="auto"/>
        <w:jc w:val="both"/>
        <w:rPr>
          <w:rFonts w:eastAsia="Times New Roman"/>
          <w:b/>
          <w:sz w:val="24"/>
          <w:szCs w:val="24"/>
        </w:rPr>
      </w:pPr>
      <w:r w:rsidRPr="00A6728C">
        <w:rPr>
          <w:rFonts w:eastAsia="Times New Roman"/>
          <w:b/>
          <w:sz w:val="24"/>
          <w:szCs w:val="24"/>
        </w:rPr>
        <w:t>Peripheral blood cell analysis</w:t>
      </w:r>
    </w:p>
    <w:p w14:paraId="2080E7CA" w14:textId="1F24EF44" w:rsidR="00B03068" w:rsidRPr="00A6728C" w:rsidRDefault="0087257C" w:rsidP="00FF546F">
      <w:pPr>
        <w:spacing w:line="480" w:lineRule="auto"/>
        <w:jc w:val="both"/>
        <w:rPr>
          <w:rFonts w:eastAsia="Times New Roman"/>
          <w:sz w:val="24"/>
          <w:szCs w:val="24"/>
        </w:rPr>
      </w:pPr>
      <w:r w:rsidRPr="00A6728C">
        <w:rPr>
          <w:rFonts w:eastAsia="Times New Roman"/>
          <w:sz w:val="24"/>
          <w:szCs w:val="24"/>
        </w:rPr>
        <w:t>Complete blood</w:t>
      </w:r>
      <w:r w:rsidR="001B62BA" w:rsidRPr="00A6728C">
        <w:rPr>
          <w:rFonts w:eastAsia="Times New Roman"/>
          <w:sz w:val="24"/>
          <w:szCs w:val="24"/>
        </w:rPr>
        <w:t xml:space="preserve"> </w:t>
      </w:r>
      <w:r w:rsidRPr="00A6728C">
        <w:rPr>
          <w:rFonts w:eastAsia="Times New Roman"/>
          <w:sz w:val="24"/>
          <w:szCs w:val="24"/>
        </w:rPr>
        <w:t>counts (CBCs) were measured at baseline and at every follow-up visit which was done in stable conditions (&gt;3 months af</w:t>
      </w:r>
      <w:r w:rsidR="00327308" w:rsidRPr="00A6728C">
        <w:rPr>
          <w:rFonts w:eastAsia="Times New Roman"/>
          <w:sz w:val="24"/>
          <w:szCs w:val="24"/>
        </w:rPr>
        <w:t>t</w:t>
      </w:r>
      <w:r w:rsidRPr="00A6728C">
        <w:rPr>
          <w:rFonts w:eastAsia="Times New Roman"/>
          <w:sz w:val="24"/>
          <w:szCs w:val="24"/>
        </w:rPr>
        <w:t>er exacerbation) approximately every year</w:t>
      </w:r>
      <w:r w:rsidR="001B62BA" w:rsidRPr="00A6728C">
        <w:rPr>
          <w:rFonts w:eastAsia="Times New Roman"/>
          <w:sz w:val="24"/>
          <w:szCs w:val="24"/>
        </w:rPr>
        <w:t xml:space="preserve"> during four years</w:t>
      </w:r>
      <w:r w:rsidRPr="00A6728C">
        <w:rPr>
          <w:rFonts w:eastAsia="Times New Roman"/>
          <w:sz w:val="24"/>
          <w:szCs w:val="24"/>
        </w:rPr>
        <w:t xml:space="preserve">. </w:t>
      </w:r>
      <w:r w:rsidR="00693864" w:rsidRPr="00A6728C">
        <w:rPr>
          <w:rFonts w:eastAsia="Times New Roman"/>
          <w:sz w:val="24"/>
          <w:szCs w:val="24"/>
        </w:rPr>
        <w:t>T</w:t>
      </w:r>
      <w:r w:rsidR="0083764E" w:rsidRPr="00A6728C">
        <w:rPr>
          <w:rFonts w:eastAsia="Times New Roman"/>
          <w:sz w:val="24"/>
          <w:szCs w:val="24"/>
        </w:rPr>
        <w:t>he</w:t>
      </w:r>
      <w:r w:rsidR="00693864" w:rsidRPr="00A6728C">
        <w:rPr>
          <w:rFonts w:eastAsia="Times New Roman"/>
          <w:sz w:val="24"/>
          <w:szCs w:val="24"/>
        </w:rPr>
        <w:t xml:space="preserve"> lymphocyte value of 1800 cells/µL was used </w:t>
      </w:r>
      <w:r w:rsidR="00794D4B" w:rsidRPr="00A6728C">
        <w:rPr>
          <w:rFonts w:eastAsia="Times New Roman"/>
          <w:sz w:val="24"/>
          <w:szCs w:val="24"/>
        </w:rPr>
        <w:t xml:space="preserve">as cut off </w:t>
      </w:r>
      <w:r w:rsidR="00693864" w:rsidRPr="00A6728C">
        <w:rPr>
          <w:rFonts w:eastAsia="Times New Roman"/>
          <w:sz w:val="24"/>
          <w:szCs w:val="24"/>
        </w:rPr>
        <w:t xml:space="preserve">to </w:t>
      </w:r>
      <w:r w:rsidR="00794D4B" w:rsidRPr="00A6728C">
        <w:rPr>
          <w:rFonts w:eastAsia="Times New Roman"/>
          <w:sz w:val="24"/>
          <w:szCs w:val="24"/>
        </w:rPr>
        <w:t>define</w:t>
      </w:r>
      <w:r w:rsidR="00327308" w:rsidRPr="00A6728C">
        <w:rPr>
          <w:rFonts w:eastAsia="Times New Roman"/>
          <w:sz w:val="24"/>
          <w:szCs w:val="24"/>
        </w:rPr>
        <w:t xml:space="preserve"> </w:t>
      </w:r>
      <w:r w:rsidR="00693864" w:rsidRPr="00A6728C">
        <w:rPr>
          <w:rFonts w:eastAsia="Times New Roman"/>
          <w:sz w:val="24"/>
          <w:szCs w:val="24"/>
        </w:rPr>
        <w:t>smokers with high (≥1800 cells/µL) or low (&lt;1800 cells/</w:t>
      </w:r>
      <w:bookmarkStart w:id="0" w:name="_Hlk33526963"/>
      <w:r w:rsidR="00693864" w:rsidRPr="00A6728C">
        <w:rPr>
          <w:rFonts w:eastAsia="Times New Roman"/>
          <w:sz w:val="24"/>
          <w:szCs w:val="24"/>
        </w:rPr>
        <w:t>µL</w:t>
      </w:r>
      <w:bookmarkEnd w:id="0"/>
      <w:r w:rsidR="00693864" w:rsidRPr="00A6728C">
        <w:rPr>
          <w:rFonts w:eastAsia="Times New Roman"/>
          <w:sz w:val="24"/>
          <w:szCs w:val="24"/>
        </w:rPr>
        <w:t xml:space="preserve">) </w:t>
      </w:r>
      <w:r w:rsidR="00327308" w:rsidRPr="00A6728C">
        <w:rPr>
          <w:rFonts w:eastAsia="Times New Roman"/>
          <w:sz w:val="24"/>
          <w:szCs w:val="24"/>
        </w:rPr>
        <w:t>blood lymphocytes (</w:t>
      </w:r>
      <w:r w:rsidR="00693864" w:rsidRPr="00A6728C">
        <w:rPr>
          <w:rFonts w:eastAsia="Times New Roman"/>
          <w:sz w:val="24"/>
          <w:szCs w:val="24"/>
        </w:rPr>
        <w:t>BL</w:t>
      </w:r>
      <w:r w:rsidR="009E5D7D" w:rsidRPr="00A6728C">
        <w:rPr>
          <w:rFonts w:eastAsia="Times New Roman"/>
          <w:sz w:val="24"/>
          <w:szCs w:val="24"/>
        </w:rPr>
        <w:t>) as described in lit</w:t>
      </w:r>
      <w:r w:rsidR="00925F94" w:rsidRPr="00A6728C">
        <w:rPr>
          <w:rFonts w:eastAsia="Times New Roman"/>
          <w:sz w:val="24"/>
          <w:szCs w:val="24"/>
        </w:rPr>
        <w:t>erature</w:t>
      </w:r>
      <w:r w:rsidR="008D2CE8">
        <w:rPr>
          <w:rFonts w:eastAsia="Times New Roman"/>
          <w:sz w:val="24"/>
          <w:szCs w:val="24"/>
        </w:rPr>
        <w:t xml:space="preserve"> </w:t>
      </w:r>
      <w:r w:rsidR="004A5B42">
        <w:rPr>
          <w:rFonts w:eastAsia="Times New Roman"/>
          <w:sz w:val="24"/>
          <w:szCs w:val="24"/>
        </w:rPr>
        <w:t>[</w:t>
      </w:r>
      <w:r w:rsidR="00D227B8">
        <w:rPr>
          <w:rFonts w:eastAsia="Times New Roman"/>
          <w:sz w:val="24"/>
          <w:szCs w:val="24"/>
        </w:rPr>
        <w:t>E</w:t>
      </w:r>
      <w:r w:rsidR="00D621E1" w:rsidRPr="00D227B8">
        <w:rPr>
          <w:rFonts w:eastAsia="Times New Roman"/>
          <w:sz w:val="24"/>
          <w:szCs w:val="24"/>
        </w:rPr>
        <w:t>3</w:t>
      </w:r>
      <w:r w:rsidR="004A5B42">
        <w:rPr>
          <w:rFonts w:eastAsia="Times New Roman"/>
          <w:sz w:val="24"/>
          <w:szCs w:val="24"/>
        </w:rPr>
        <w:t>]</w:t>
      </w:r>
      <w:r w:rsidR="00D227B8">
        <w:rPr>
          <w:rFonts w:eastAsia="Times New Roman"/>
          <w:sz w:val="24"/>
          <w:szCs w:val="24"/>
        </w:rPr>
        <w:t>.</w:t>
      </w:r>
      <w:r w:rsidR="00693864" w:rsidRPr="00A6728C">
        <w:rPr>
          <w:rFonts w:eastAsia="Times New Roman"/>
          <w:sz w:val="24"/>
          <w:szCs w:val="24"/>
        </w:rPr>
        <w:t xml:space="preserve"> </w:t>
      </w:r>
      <w:r w:rsidR="00327308" w:rsidRPr="008D2CE8">
        <w:rPr>
          <w:rFonts w:eastAsia="Times New Roman"/>
          <w:sz w:val="24"/>
          <w:szCs w:val="24"/>
        </w:rPr>
        <w:t>T</w:t>
      </w:r>
      <w:r w:rsidR="00222591" w:rsidRPr="008D2CE8">
        <w:rPr>
          <w:rFonts w:eastAsia="Times New Roman"/>
          <w:sz w:val="24"/>
          <w:szCs w:val="24"/>
        </w:rPr>
        <w:t xml:space="preserve">he </w:t>
      </w:r>
      <w:r w:rsidR="00693864" w:rsidRPr="008D2CE8">
        <w:rPr>
          <w:rFonts w:eastAsia="Times New Roman"/>
          <w:sz w:val="24"/>
          <w:szCs w:val="24"/>
        </w:rPr>
        <w:t>difference</w:t>
      </w:r>
      <w:r w:rsidR="00222591" w:rsidRPr="008D2CE8">
        <w:rPr>
          <w:rFonts w:eastAsia="Times New Roman"/>
          <w:sz w:val="24"/>
          <w:szCs w:val="24"/>
        </w:rPr>
        <w:t xml:space="preserve"> in</w:t>
      </w:r>
      <w:r w:rsidR="009F090D" w:rsidRPr="008D2CE8">
        <w:rPr>
          <w:rFonts w:eastAsia="Times New Roman"/>
          <w:sz w:val="24"/>
          <w:szCs w:val="24"/>
        </w:rPr>
        <w:t xml:space="preserve"> </w:t>
      </w:r>
      <w:r w:rsidR="00222591" w:rsidRPr="008D2CE8">
        <w:rPr>
          <w:rFonts w:eastAsia="Times New Roman"/>
          <w:sz w:val="24"/>
          <w:szCs w:val="24"/>
        </w:rPr>
        <w:t>BL</w:t>
      </w:r>
      <w:r w:rsidR="009F090D" w:rsidRPr="008D2CE8">
        <w:rPr>
          <w:rFonts w:eastAsia="Times New Roman"/>
          <w:sz w:val="24"/>
          <w:szCs w:val="24"/>
        </w:rPr>
        <w:t xml:space="preserve"> </w:t>
      </w:r>
      <w:r w:rsidR="00222591" w:rsidRPr="008D2CE8">
        <w:rPr>
          <w:rFonts w:eastAsia="Times New Roman"/>
          <w:sz w:val="24"/>
          <w:szCs w:val="24"/>
        </w:rPr>
        <w:t xml:space="preserve">between the first and </w:t>
      </w:r>
      <w:r w:rsidR="000A23EB" w:rsidRPr="008D2CE8">
        <w:rPr>
          <w:rFonts w:eastAsia="Times New Roman"/>
          <w:sz w:val="24"/>
          <w:szCs w:val="24"/>
        </w:rPr>
        <w:t>the last</w:t>
      </w:r>
      <w:r w:rsidR="00222591" w:rsidRPr="008D2CE8">
        <w:rPr>
          <w:rFonts w:eastAsia="Times New Roman"/>
          <w:sz w:val="24"/>
          <w:szCs w:val="24"/>
        </w:rPr>
        <w:t xml:space="preserve"> blood sample</w:t>
      </w:r>
      <w:r w:rsidR="00693864" w:rsidRPr="008D2CE8">
        <w:rPr>
          <w:rFonts w:eastAsia="Times New Roman"/>
          <w:sz w:val="24"/>
          <w:szCs w:val="24"/>
        </w:rPr>
        <w:t xml:space="preserve"> drawn</w:t>
      </w:r>
      <w:r w:rsidR="009F090D" w:rsidRPr="008D2CE8">
        <w:rPr>
          <w:rFonts w:eastAsia="Times New Roman"/>
          <w:sz w:val="24"/>
          <w:szCs w:val="24"/>
        </w:rPr>
        <w:t xml:space="preserve"> was used to calculate the change in BL</w:t>
      </w:r>
      <w:r w:rsidR="00693864" w:rsidRPr="008D2CE8">
        <w:rPr>
          <w:rFonts w:eastAsia="Times New Roman"/>
          <w:sz w:val="24"/>
          <w:szCs w:val="24"/>
        </w:rPr>
        <w:t xml:space="preserve"> over time</w:t>
      </w:r>
      <w:r w:rsidR="00E91AD2" w:rsidRPr="008D2CE8">
        <w:rPr>
          <w:rFonts w:eastAsia="Times New Roman"/>
          <w:sz w:val="24"/>
          <w:szCs w:val="24"/>
        </w:rPr>
        <w:t xml:space="preserve">. </w:t>
      </w:r>
      <w:r w:rsidR="008D2CE8" w:rsidRPr="008D2CE8">
        <w:rPr>
          <w:rFonts w:eastAsia="Times New Roman"/>
          <w:sz w:val="24"/>
          <w:szCs w:val="24"/>
        </w:rPr>
        <w:t>Decliners were defined as subjects whose BL count were decreased by at least 1% per year (compared to the initial value) in at least 3 years of follow-up.</w:t>
      </w:r>
    </w:p>
    <w:p w14:paraId="0D802134" w14:textId="22884FE1" w:rsidR="00777483" w:rsidRPr="00A6728C" w:rsidRDefault="00BF185B" w:rsidP="00FF546F">
      <w:pPr>
        <w:spacing w:line="480" w:lineRule="auto"/>
        <w:jc w:val="both"/>
        <w:rPr>
          <w:rFonts w:eastAsia="Times New Roman"/>
          <w:b/>
          <w:sz w:val="24"/>
          <w:szCs w:val="24"/>
        </w:rPr>
      </w:pPr>
      <w:r w:rsidRPr="00A6728C">
        <w:rPr>
          <w:rFonts w:eastAsia="Times New Roman"/>
          <w:b/>
          <w:sz w:val="24"/>
          <w:szCs w:val="24"/>
        </w:rPr>
        <w:t>Fluorescence-activated cell sorting (FACS) analysis</w:t>
      </w:r>
    </w:p>
    <w:p w14:paraId="2730A8F8" w14:textId="2B29B758" w:rsidR="00640796" w:rsidRPr="00A6728C" w:rsidRDefault="00640796" w:rsidP="00FF546F">
      <w:pPr>
        <w:spacing w:line="480" w:lineRule="auto"/>
        <w:jc w:val="both"/>
        <w:rPr>
          <w:rFonts w:eastAsia="Times New Roman"/>
          <w:color w:val="000000" w:themeColor="text1"/>
          <w:sz w:val="24"/>
          <w:szCs w:val="24"/>
        </w:rPr>
      </w:pPr>
      <w:r w:rsidRPr="00A6728C">
        <w:rPr>
          <w:rFonts w:eastAsia="Times New Roman"/>
          <w:color w:val="000000" w:themeColor="text1"/>
          <w:sz w:val="24"/>
          <w:szCs w:val="24"/>
        </w:rPr>
        <w:t xml:space="preserve">In a </w:t>
      </w:r>
      <w:r w:rsidR="00F9636A">
        <w:rPr>
          <w:rFonts w:eastAsia="Times New Roman"/>
          <w:color w:val="000000" w:themeColor="text1"/>
          <w:sz w:val="24"/>
          <w:szCs w:val="24"/>
        </w:rPr>
        <w:t>subgroup of patients lymphocyte</w:t>
      </w:r>
      <w:r w:rsidRPr="00A6728C">
        <w:rPr>
          <w:rFonts w:eastAsia="Times New Roman"/>
          <w:color w:val="000000" w:themeColor="text1"/>
          <w:sz w:val="24"/>
          <w:szCs w:val="24"/>
        </w:rPr>
        <w:t xml:space="preserve"> subpopulation</w:t>
      </w:r>
      <w:r w:rsidR="00F9636A">
        <w:rPr>
          <w:rFonts w:eastAsia="Times New Roman"/>
          <w:color w:val="000000" w:themeColor="text1"/>
          <w:sz w:val="24"/>
          <w:szCs w:val="24"/>
        </w:rPr>
        <w:t>s</w:t>
      </w:r>
      <w:r w:rsidRPr="00A6728C">
        <w:rPr>
          <w:rFonts w:eastAsia="Times New Roman"/>
          <w:color w:val="000000" w:themeColor="text1"/>
          <w:sz w:val="24"/>
          <w:szCs w:val="24"/>
        </w:rPr>
        <w:t xml:space="preserve"> of T (CD3</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 T</w:t>
      </w:r>
      <w:r w:rsidR="00327308" w:rsidRPr="00A6728C">
        <w:rPr>
          <w:rFonts w:eastAsia="Times New Roman"/>
          <w:color w:val="000000" w:themeColor="text1"/>
          <w:sz w:val="24"/>
          <w:szCs w:val="24"/>
        </w:rPr>
        <w:t>-</w:t>
      </w:r>
      <w:r w:rsidRPr="00A6728C">
        <w:rPr>
          <w:rFonts w:eastAsia="Times New Roman"/>
          <w:color w:val="000000" w:themeColor="text1"/>
          <w:sz w:val="24"/>
          <w:szCs w:val="24"/>
        </w:rPr>
        <w:t>helper (CD3</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CD4</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w:t>
      </w:r>
      <w:r w:rsidR="00576C90" w:rsidRPr="00A6728C">
        <w:rPr>
          <w:rFonts w:eastAsia="Times New Roman"/>
          <w:color w:val="000000" w:themeColor="text1"/>
          <w:sz w:val="24"/>
          <w:szCs w:val="24"/>
        </w:rPr>
        <w:t>,</w:t>
      </w:r>
      <w:r w:rsidR="002C0EED" w:rsidRPr="00A6728C">
        <w:rPr>
          <w:rFonts w:eastAsia="Times New Roman"/>
          <w:color w:val="000000" w:themeColor="text1"/>
          <w:sz w:val="24"/>
          <w:szCs w:val="24"/>
        </w:rPr>
        <w:t xml:space="preserve"> T</w:t>
      </w:r>
      <w:r w:rsidR="00327308" w:rsidRPr="00A6728C">
        <w:rPr>
          <w:rFonts w:eastAsia="Times New Roman"/>
          <w:color w:val="000000" w:themeColor="text1"/>
          <w:sz w:val="24"/>
          <w:szCs w:val="24"/>
        </w:rPr>
        <w:t>-</w:t>
      </w:r>
      <w:r w:rsidR="002C0EED" w:rsidRPr="00A6728C">
        <w:rPr>
          <w:rFonts w:eastAsia="Times New Roman"/>
          <w:color w:val="000000" w:themeColor="text1"/>
          <w:sz w:val="24"/>
          <w:szCs w:val="24"/>
        </w:rPr>
        <w:t>cytotoxic</w:t>
      </w:r>
      <w:r w:rsidRPr="00A6728C">
        <w:rPr>
          <w:rFonts w:eastAsia="Times New Roman"/>
          <w:color w:val="000000" w:themeColor="text1"/>
          <w:sz w:val="24"/>
          <w:szCs w:val="24"/>
        </w:rPr>
        <w:t xml:space="preserve"> (CD3</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CD8</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w:t>
      </w:r>
      <w:r w:rsidR="00576C90" w:rsidRPr="00A6728C">
        <w:rPr>
          <w:rFonts w:eastAsia="Times New Roman"/>
          <w:color w:val="000000" w:themeColor="text1"/>
          <w:sz w:val="24"/>
          <w:szCs w:val="24"/>
        </w:rPr>
        <w:t>,</w:t>
      </w:r>
      <w:r w:rsidRPr="00A6728C">
        <w:rPr>
          <w:rFonts w:eastAsia="Times New Roman"/>
          <w:color w:val="000000" w:themeColor="text1"/>
          <w:sz w:val="24"/>
          <w:szCs w:val="24"/>
        </w:rPr>
        <w:t xml:space="preserve"> B (CD3</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CD19</w:t>
      </w:r>
      <w:r w:rsidRPr="00A6728C">
        <w:rPr>
          <w:rFonts w:eastAsia="Times New Roman"/>
          <w:color w:val="000000" w:themeColor="text1"/>
          <w:sz w:val="24"/>
          <w:szCs w:val="24"/>
          <w:vertAlign w:val="superscript"/>
        </w:rPr>
        <w:t>+</w:t>
      </w:r>
      <w:r w:rsidRPr="00A6728C">
        <w:rPr>
          <w:rFonts w:eastAsia="Times New Roman"/>
          <w:color w:val="000000" w:themeColor="text1"/>
          <w:sz w:val="24"/>
          <w:szCs w:val="24"/>
        </w:rPr>
        <w:t xml:space="preserve">) and NK </w:t>
      </w:r>
      <w:r w:rsidR="00576C90" w:rsidRPr="00A6728C">
        <w:rPr>
          <w:rFonts w:eastAsia="Times New Roman"/>
          <w:color w:val="000000" w:themeColor="text1"/>
          <w:sz w:val="24"/>
          <w:szCs w:val="24"/>
        </w:rPr>
        <w:t>cells</w:t>
      </w:r>
      <w:r w:rsidR="00601EF3" w:rsidRPr="00A6728C">
        <w:rPr>
          <w:rFonts w:eastAsia="Times New Roman"/>
          <w:color w:val="000000" w:themeColor="text1"/>
          <w:sz w:val="24"/>
          <w:szCs w:val="24"/>
        </w:rPr>
        <w:t xml:space="preserve"> (CD3</w:t>
      </w:r>
      <w:r w:rsidR="00601EF3" w:rsidRPr="00A6728C">
        <w:rPr>
          <w:rFonts w:eastAsia="Times New Roman"/>
          <w:color w:val="000000" w:themeColor="text1"/>
          <w:sz w:val="24"/>
          <w:szCs w:val="24"/>
          <w:vertAlign w:val="superscript"/>
        </w:rPr>
        <w:t>-</w:t>
      </w:r>
      <w:r w:rsidR="00601EF3" w:rsidRPr="00A6728C">
        <w:rPr>
          <w:rFonts w:eastAsia="Times New Roman"/>
          <w:color w:val="000000" w:themeColor="text1"/>
          <w:sz w:val="24"/>
          <w:szCs w:val="24"/>
        </w:rPr>
        <w:t>CD16</w:t>
      </w:r>
      <w:r w:rsidR="00601EF3" w:rsidRPr="00A6728C">
        <w:rPr>
          <w:rFonts w:eastAsia="Times New Roman"/>
          <w:color w:val="000000" w:themeColor="text1"/>
          <w:sz w:val="24"/>
          <w:szCs w:val="24"/>
          <w:vertAlign w:val="superscript"/>
        </w:rPr>
        <w:t>+</w:t>
      </w:r>
      <w:r w:rsidR="00601EF3" w:rsidRPr="00A6728C">
        <w:rPr>
          <w:rFonts w:eastAsia="Times New Roman"/>
          <w:color w:val="000000" w:themeColor="text1"/>
          <w:sz w:val="24"/>
          <w:szCs w:val="24"/>
        </w:rPr>
        <w:t>CD56</w:t>
      </w:r>
      <w:r w:rsidR="00601EF3" w:rsidRPr="00A6728C">
        <w:rPr>
          <w:rFonts w:eastAsia="Times New Roman"/>
          <w:color w:val="000000" w:themeColor="text1"/>
          <w:sz w:val="24"/>
          <w:szCs w:val="24"/>
          <w:vertAlign w:val="superscript"/>
        </w:rPr>
        <w:t>+</w:t>
      </w:r>
      <w:r w:rsidR="00601EF3" w:rsidRPr="00A6728C">
        <w:rPr>
          <w:rFonts w:eastAsia="Times New Roman"/>
          <w:color w:val="000000" w:themeColor="text1"/>
          <w:sz w:val="24"/>
          <w:szCs w:val="24"/>
        </w:rPr>
        <w:t>)</w:t>
      </w:r>
      <w:r w:rsidR="00576C90" w:rsidRPr="00A6728C">
        <w:rPr>
          <w:rFonts w:eastAsia="Times New Roman"/>
          <w:color w:val="000000" w:themeColor="text1"/>
          <w:sz w:val="24"/>
          <w:szCs w:val="24"/>
        </w:rPr>
        <w:t xml:space="preserve"> </w:t>
      </w:r>
      <w:r w:rsidRPr="00A6728C">
        <w:rPr>
          <w:rFonts w:eastAsia="Times New Roman"/>
          <w:color w:val="000000" w:themeColor="text1"/>
          <w:sz w:val="24"/>
          <w:szCs w:val="24"/>
        </w:rPr>
        <w:t>were determined by FACS analysis in 50</w:t>
      </w:r>
      <w:r w:rsidR="00327308" w:rsidRPr="00A6728C">
        <w:rPr>
          <w:rFonts w:eastAsia="Times New Roman"/>
          <w:color w:val="000000" w:themeColor="text1"/>
          <w:sz w:val="24"/>
          <w:szCs w:val="24"/>
        </w:rPr>
        <w:t>-</w:t>
      </w:r>
      <w:r w:rsidRPr="00A6728C">
        <w:rPr>
          <w:rFonts w:eastAsia="Times New Roman"/>
          <w:color w:val="000000" w:themeColor="text1"/>
          <w:sz w:val="24"/>
          <w:szCs w:val="24"/>
        </w:rPr>
        <w:t>100 µL aliquots of blood</w:t>
      </w:r>
      <w:r w:rsidR="00B561BB" w:rsidRPr="00A6728C">
        <w:rPr>
          <w:rFonts w:eastAsia="Times New Roman"/>
          <w:color w:val="000000" w:themeColor="text1"/>
          <w:sz w:val="24"/>
          <w:szCs w:val="24"/>
        </w:rPr>
        <w:t xml:space="preserve"> </w:t>
      </w:r>
      <w:r w:rsidRPr="00A6728C">
        <w:rPr>
          <w:rFonts w:eastAsia="Times New Roman"/>
          <w:color w:val="000000" w:themeColor="text1"/>
          <w:sz w:val="24"/>
          <w:szCs w:val="24"/>
        </w:rPr>
        <w:t>incubated at room temperature with CD45</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FITC, CD3</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PECY5, CD4</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PE, CD8</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ECD, CD56/16</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PE, CD19</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CD fluorochrome-conjugated monoclonal antibodies (Beckman</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Coulter). Then the different lymphocyte subpopulations were identified by immunophenotype markers.</w:t>
      </w:r>
    </w:p>
    <w:p w14:paraId="6C529119" w14:textId="11D4BDEB" w:rsidR="00640796" w:rsidRPr="00A6728C" w:rsidRDefault="00640796" w:rsidP="00FF546F">
      <w:pPr>
        <w:spacing w:line="480" w:lineRule="auto"/>
        <w:jc w:val="both"/>
        <w:rPr>
          <w:rFonts w:eastAsia="Times New Roman"/>
          <w:color w:val="000000" w:themeColor="text1"/>
          <w:sz w:val="24"/>
          <w:szCs w:val="24"/>
        </w:rPr>
      </w:pPr>
      <w:r w:rsidRPr="00A6728C">
        <w:rPr>
          <w:rFonts w:eastAsia="Times New Roman"/>
          <w:color w:val="000000" w:themeColor="text1"/>
          <w:sz w:val="24"/>
          <w:szCs w:val="24"/>
        </w:rPr>
        <w:t>Sample preparation was performed according to the CLSI (H42</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A2) guideline</w:t>
      </w:r>
      <w:r w:rsidR="008D2CE8">
        <w:rPr>
          <w:rFonts w:eastAsia="Times New Roman"/>
          <w:color w:val="000000" w:themeColor="text1"/>
          <w:sz w:val="24"/>
          <w:szCs w:val="24"/>
        </w:rPr>
        <w:t xml:space="preserve"> </w:t>
      </w:r>
      <w:r w:rsidR="004A5B42">
        <w:rPr>
          <w:rFonts w:eastAsia="Times New Roman"/>
          <w:color w:val="000000" w:themeColor="text1"/>
          <w:sz w:val="24"/>
          <w:szCs w:val="24"/>
        </w:rPr>
        <w:t>[</w:t>
      </w:r>
      <w:r w:rsidR="00D227B8">
        <w:rPr>
          <w:rFonts w:eastAsia="Times New Roman"/>
          <w:color w:val="000000" w:themeColor="text1"/>
          <w:sz w:val="24"/>
          <w:szCs w:val="24"/>
        </w:rPr>
        <w:t>E</w:t>
      </w:r>
      <w:r w:rsidR="00D621E1" w:rsidRPr="00D227B8">
        <w:rPr>
          <w:rFonts w:eastAsia="Times New Roman"/>
          <w:color w:val="000000" w:themeColor="text1"/>
          <w:sz w:val="24"/>
          <w:szCs w:val="24"/>
        </w:rPr>
        <w:t>4</w:t>
      </w:r>
      <w:r w:rsidR="004A5B42">
        <w:rPr>
          <w:rFonts w:eastAsia="Times New Roman"/>
          <w:color w:val="000000" w:themeColor="text1"/>
          <w:sz w:val="24"/>
          <w:szCs w:val="24"/>
        </w:rPr>
        <w:t>]</w:t>
      </w:r>
      <w:bookmarkStart w:id="1" w:name="_GoBack"/>
      <w:bookmarkEnd w:id="1"/>
      <w:r w:rsidR="00D227B8">
        <w:rPr>
          <w:rFonts w:eastAsia="Times New Roman"/>
          <w:color w:val="000000" w:themeColor="text1"/>
          <w:sz w:val="24"/>
          <w:szCs w:val="24"/>
        </w:rPr>
        <w:t>.</w:t>
      </w:r>
      <w:r w:rsidRPr="00A6728C">
        <w:rPr>
          <w:rFonts w:eastAsia="Times New Roman"/>
          <w:color w:val="000000" w:themeColor="text1"/>
          <w:sz w:val="24"/>
          <w:szCs w:val="24"/>
        </w:rPr>
        <w:t xml:space="preserve"> In particular, for 15 min</w:t>
      </w:r>
      <w:r w:rsidR="00D27651" w:rsidRPr="00A6728C">
        <w:rPr>
          <w:rFonts w:eastAsia="Times New Roman"/>
          <w:color w:val="000000" w:themeColor="text1"/>
          <w:sz w:val="24"/>
          <w:szCs w:val="24"/>
        </w:rPr>
        <w:t xml:space="preserve"> </w:t>
      </w:r>
      <w:r w:rsidR="0019647A" w:rsidRPr="00A6728C">
        <w:rPr>
          <w:rFonts w:eastAsia="Times New Roman"/>
          <w:color w:val="000000" w:themeColor="text1"/>
          <w:sz w:val="24"/>
          <w:szCs w:val="24"/>
        </w:rPr>
        <w:t xml:space="preserve">after </w:t>
      </w:r>
      <w:r w:rsidRPr="00A6728C">
        <w:rPr>
          <w:rFonts w:eastAsia="Times New Roman"/>
          <w:color w:val="000000" w:themeColor="text1"/>
          <w:sz w:val="24"/>
          <w:szCs w:val="24"/>
        </w:rPr>
        <w:t>incubation, cytolysis of erythrocytes was performed by TQ</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prep (Beckman</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Coulter) and the samples were analyzed by flow cytometry.</w:t>
      </w:r>
      <w:r w:rsidR="00D27651" w:rsidRPr="00A6728C">
        <w:rPr>
          <w:rFonts w:eastAsia="Times New Roman"/>
          <w:color w:val="000000" w:themeColor="text1"/>
          <w:sz w:val="24"/>
          <w:szCs w:val="24"/>
        </w:rPr>
        <w:t xml:space="preserve"> </w:t>
      </w:r>
      <w:r w:rsidRPr="00A6728C">
        <w:rPr>
          <w:rFonts w:eastAsia="Times New Roman"/>
          <w:color w:val="000000" w:themeColor="text1"/>
          <w:sz w:val="24"/>
          <w:szCs w:val="24"/>
        </w:rPr>
        <w:t>The immunophenotyping was performed by 10</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colors flow cytometer Navios (Beckman</w:t>
      </w:r>
      <w:r w:rsidRPr="00A6728C">
        <w:rPr>
          <w:rFonts w:ascii="Cambria Math" w:eastAsia="Calibri" w:hAnsi="Cambria Math" w:cs="Cambria Math"/>
          <w:color w:val="000000" w:themeColor="text1"/>
          <w:sz w:val="24"/>
          <w:szCs w:val="24"/>
        </w:rPr>
        <w:t>‐</w:t>
      </w:r>
      <w:r w:rsidRPr="00A6728C">
        <w:rPr>
          <w:rFonts w:eastAsia="Times New Roman"/>
          <w:color w:val="000000" w:themeColor="text1"/>
          <w:sz w:val="24"/>
          <w:szCs w:val="24"/>
        </w:rPr>
        <w:t>Coulter). Acquisition was run until 25000 events were detected.</w:t>
      </w:r>
      <w:r w:rsidR="00D27651" w:rsidRPr="00A6728C">
        <w:rPr>
          <w:rFonts w:eastAsia="Times New Roman"/>
          <w:color w:val="000000" w:themeColor="text1"/>
          <w:sz w:val="24"/>
          <w:szCs w:val="24"/>
        </w:rPr>
        <w:t xml:space="preserve"> </w:t>
      </w:r>
      <w:r w:rsidRPr="00A6728C">
        <w:rPr>
          <w:rFonts w:eastAsia="Times New Roman"/>
          <w:color w:val="000000" w:themeColor="text1"/>
          <w:sz w:val="24"/>
          <w:szCs w:val="24"/>
        </w:rPr>
        <w:t xml:space="preserve">First the viable part of the sample was </w:t>
      </w:r>
      <w:r w:rsidRPr="00A6728C">
        <w:rPr>
          <w:rFonts w:eastAsia="Times New Roman"/>
          <w:color w:val="000000" w:themeColor="text1"/>
          <w:sz w:val="24"/>
          <w:szCs w:val="24"/>
        </w:rPr>
        <w:lastRenderedPageBreak/>
        <w:t>selected by physical gating based on forward scatter (FS) and side scatter (SS); the lymphocyte population was identified by the low forward and side scatter and checked for pur</w:t>
      </w:r>
      <w:r w:rsidR="007B473F" w:rsidRPr="00A6728C">
        <w:rPr>
          <w:rFonts w:eastAsia="Times New Roman"/>
          <w:color w:val="000000" w:themeColor="text1"/>
          <w:sz w:val="24"/>
          <w:szCs w:val="24"/>
        </w:rPr>
        <w:t>ity by the positivity for CD45.</w:t>
      </w:r>
    </w:p>
    <w:p w14:paraId="00000015" w14:textId="7241EC5F" w:rsidR="00F31659" w:rsidRPr="00A6728C" w:rsidRDefault="00EB4D13" w:rsidP="00FF546F">
      <w:pPr>
        <w:spacing w:line="480" w:lineRule="auto"/>
        <w:jc w:val="both"/>
        <w:rPr>
          <w:rFonts w:eastAsia="Times New Roman"/>
          <w:b/>
          <w:sz w:val="24"/>
          <w:szCs w:val="24"/>
        </w:rPr>
      </w:pPr>
      <w:r w:rsidRPr="00A6728C">
        <w:rPr>
          <w:rFonts w:eastAsia="Times New Roman"/>
          <w:b/>
          <w:sz w:val="24"/>
          <w:szCs w:val="24"/>
        </w:rPr>
        <w:t>Statistical analysis</w:t>
      </w:r>
      <w:r w:rsidR="00640796" w:rsidRPr="00A6728C">
        <w:rPr>
          <w:rFonts w:eastAsia="Times New Roman"/>
          <w:b/>
          <w:sz w:val="24"/>
          <w:szCs w:val="24"/>
        </w:rPr>
        <w:t xml:space="preserve"> </w:t>
      </w:r>
    </w:p>
    <w:p w14:paraId="073646F2" w14:textId="2EFFA1DF" w:rsidR="00502E23" w:rsidRPr="00A6728C" w:rsidRDefault="00502E23" w:rsidP="00FF546F">
      <w:pPr>
        <w:spacing w:line="480" w:lineRule="auto"/>
        <w:jc w:val="both"/>
        <w:rPr>
          <w:rFonts w:eastAsia="Times New Roman"/>
          <w:color w:val="222222"/>
          <w:sz w:val="24"/>
          <w:szCs w:val="24"/>
          <w:shd w:val="clear" w:color="auto" w:fill="FFFFFF"/>
          <w:lang w:val="en-US"/>
        </w:rPr>
      </w:pPr>
      <w:r w:rsidRPr="00A6728C">
        <w:rPr>
          <w:rFonts w:eastAsia="Times New Roman"/>
          <w:color w:val="222222"/>
          <w:sz w:val="24"/>
          <w:szCs w:val="24"/>
          <w:shd w:val="clear" w:color="auto" w:fill="FFFFFF"/>
          <w:lang w:val="en-US"/>
        </w:rPr>
        <w:t xml:space="preserve">Patients characteristics were </w:t>
      </w:r>
      <w:r w:rsidR="00BE2BAC" w:rsidRPr="00A6728C">
        <w:rPr>
          <w:rFonts w:eastAsia="Times New Roman"/>
          <w:color w:val="222222"/>
          <w:sz w:val="24"/>
          <w:szCs w:val="24"/>
          <w:shd w:val="clear" w:color="auto" w:fill="FFFFFF"/>
          <w:lang w:val="en-US"/>
        </w:rPr>
        <w:t>described</w:t>
      </w:r>
      <w:r w:rsidRPr="00A6728C">
        <w:rPr>
          <w:rFonts w:eastAsia="Times New Roman"/>
          <w:color w:val="222222"/>
          <w:sz w:val="24"/>
          <w:szCs w:val="24"/>
          <w:shd w:val="clear" w:color="auto" w:fill="FFFFFF"/>
          <w:lang w:val="en-US"/>
        </w:rPr>
        <w:t xml:space="preserve"> using </w:t>
      </w:r>
      <w:proofErr w:type="spellStart"/>
      <w:r w:rsidRPr="00A6728C">
        <w:rPr>
          <w:rFonts w:eastAsia="Times New Roman"/>
          <w:color w:val="222222"/>
          <w:sz w:val="24"/>
          <w:szCs w:val="24"/>
          <w:shd w:val="clear" w:color="auto" w:fill="FFFFFF"/>
          <w:lang w:val="en-US"/>
        </w:rPr>
        <w:t>mean±SD</w:t>
      </w:r>
      <w:proofErr w:type="spellEnd"/>
      <w:r w:rsidRPr="00A6728C">
        <w:rPr>
          <w:rFonts w:eastAsia="Times New Roman"/>
          <w:color w:val="222222"/>
          <w:sz w:val="24"/>
          <w:szCs w:val="24"/>
          <w:shd w:val="clear" w:color="auto" w:fill="FFFFFF"/>
          <w:lang w:val="en-US"/>
        </w:rPr>
        <w:t xml:space="preserve"> or median</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[range] for continuous variables and counts and percentages for</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categorical variables. For continuous variables, normal distributions</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 xml:space="preserve">were tested using the Shapiro-Wilk test. </w:t>
      </w:r>
      <w:r w:rsidRPr="00A6728C">
        <w:rPr>
          <w:rFonts w:eastAsia="Times New Roman"/>
          <w:sz w:val="24"/>
          <w:szCs w:val="24"/>
        </w:rPr>
        <w:t>Comparisons among</w:t>
      </w:r>
      <w:r w:rsidRPr="00A6728C">
        <w:rPr>
          <w:rFonts w:eastAsia="Times New Roman"/>
          <w:b/>
          <w:sz w:val="24"/>
          <w:szCs w:val="24"/>
        </w:rPr>
        <w:t xml:space="preserve"> </w:t>
      </w:r>
      <w:r w:rsidRPr="00A6728C">
        <w:rPr>
          <w:rFonts w:eastAsia="Times New Roman"/>
          <w:sz w:val="24"/>
          <w:szCs w:val="24"/>
        </w:rPr>
        <w:t xml:space="preserve">groups were evaluated with Kruskal-Wallis and Mann-Whitney U tests. </w:t>
      </w:r>
      <w:r w:rsidRPr="00A6728C">
        <w:rPr>
          <w:rFonts w:eastAsia="Times New Roman"/>
          <w:color w:val="222222"/>
          <w:sz w:val="24"/>
          <w:szCs w:val="24"/>
          <w:shd w:val="clear" w:color="auto" w:fill="FFFFFF"/>
          <w:lang w:val="en-US"/>
        </w:rPr>
        <w:t xml:space="preserve">Distributions of categorical variables were compared with the </w:t>
      </w:r>
      <w:r w:rsidRPr="00A6728C">
        <w:rPr>
          <w:rFonts w:eastAsia="Times New Roman"/>
          <w:color w:val="222222"/>
          <w:sz w:val="24"/>
          <w:szCs w:val="24"/>
          <w:shd w:val="clear" w:color="auto" w:fill="FFFFFF"/>
          <w:lang w:val="it-IT"/>
        </w:rPr>
        <w:t>χ</w:t>
      </w:r>
      <w:r w:rsidRPr="00A6728C">
        <w:rPr>
          <w:rFonts w:eastAsia="Times New Roman"/>
          <w:color w:val="222222"/>
          <w:sz w:val="24"/>
          <w:szCs w:val="24"/>
          <w:shd w:val="clear" w:color="auto" w:fill="FFFFFF"/>
          <w:vertAlign w:val="superscript"/>
          <w:lang w:val="en-US"/>
        </w:rPr>
        <w:t>2</w:t>
      </w:r>
      <w:r w:rsidRPr="00A6728C">
        <w:rPr>
          <w:rFonts w:eastAsia="Times New Roman"/>
          <w:color w:val="222222"/>
          <w:sz w:val="24"/>
          <w:szCs w:val="24"/>
          <w:shd w:val="clear" w:color="auto" w:fill="FFFFFF"/>
          <w:lang w:val="en-US"/>
        </w:rPr>
        <w:t>-test</w:t>
      </w:r>
      <w:r w:rsidRPr="006E2F21">
        <w:rPr>
          <w:rFonts w:eastAsia="Times New Roman"/>
          <w:color w:val="222222"/>
          <w:sz w:val="24"/>
          <w:szCs w:val="24"/>
          <w:shd w:val="clear" w:color="auto" w:fill="FFFFFF"/>
          <w:lang w:val="en-US"/>
        </w:rPr>
        <w:t>.</w:t>
      </w:r>
      <w:r w:rsidR="00250067" w:rsidRPr="006E2F21">
        <w:rPr>
          <w:rFonts w:eastAsia="Times New Roman"/>
          <w:sz w:val="24"/>
          <w:szCs w:val="24"/>
          <w:lang w:val="en-US"/>
        </w:rPr>
        <w:t xml:space="preserve"> In order to confirm BL </w:t>
      </w:r>
      <w:proofErr w:type="gramStart"/>
      <w:r w:rsidR="00250067" w:rsidRPr="006E2F21">
        <w:rPr>
          <w:rFonts w:eastAsia="Times New Roman"/>
          <w:sz w:val="24"/>
          <w:szCs w:val="24"/>
          <w:lang w:val="en-US"/>
        </w:rPr>
        <w:t>lymphocytes</w:t>
      </w:r>
      <w:proofErr w:type="gramEnd"/>
      <w:r w:rsidR="00250067" w:rsidRPr="006E2F21">
        <w:rPr>
          <w:rFonts w:eastAsia="Times New Roman"/>
          <w:sz w:val="24"/>
          <w:szCs w:val="24"/>
          <w:lang w:val="en-US"/>
        </w:rPr>
        <w:t xml:space="preserve"> decline from baseline to every follow-up visit, differences in lymphocytes count were evaluated by </w:t>
      </w:r>
      <w:r w:rsidR="000C4252" w:rsidRPr="006E2F21">
        <w:rPr>
          <w:rFonts w:eastAsia="Times New Roman"/>
          <w:sz w:val="24"/>
          <w:szCs w:val="24"/>
          <w:lang w:val="en-US"/>
        </w:rPr>
        <w:t xml:space="preserve">the </w:t>
      </w:r>
      <w:r w:rsidR="004937D2" w:rsidRPr="006E2F21">
        <w:rPr>
          <w:rFonts w:eastAsia="Times New Roman"/>
          <w:sz w:val="24"/>
          <w:szCs w:val="24"/>
          <w:lang w:val="en-US"/>
        </w:rPr>
        <w:t xml:space="preserve">non-parametric </w:t>
      </w:r>
      <w:r w:rsidR="00C55A1A" w:rsidRPr="006E2F21">
        <w:rPr>
          <w:rFonts w:eastAsia="Times New Roman"/>
          <w:sz w:val="24"/>
          <w:szCs w:val="24"/>
          <w:lang w:val="en-US"/>
        </w:rPr>
        <w:t xml:space="preserve">test for repeated measures </w:t>
      </w:r>
      <w:r w:rsidR="00250067" w:rsidRPr="006E2F21">
        <w:rPr>
          <w:rFonts w:eastAsia="Times New Roman"/>
          <w:sz w:val="24"/>
          <w:szCs w:val="24"/>
          <w:lang w:val="en-US"/>
        </w:rPr>
        <w:t>Friedman's</w:t>
      </w:r>
      <w:r w:rsidR="00C55A1A" w:rsidRPr="006E2F21">
        <w:rPr>
          <w:rFonts w:eastAsia="Times New Roman"/>
          <w:sz w:val="24"/>
          <w:szCs w:val="24"/>
          <w:lang w:val="en-US"/>
        </w:rPr>
        <w:t xml:space="preserve"> </w:t>
      </w:r>
      <w:r w:rsidR="000C4252" w:rsidRPr="006E2F21">
        <w:rPr>
          <w:rFonts w:eastAsia="Times New Roman"/>
          <w:sz w:val="24"/>
          <w:szCs w:val="24"/>
          <w:lang w:val="en-US"/>
        </w:rPr>
        <w:t>two-way</w:t>
      </w:r>
      <w:r w:rsidR="00C55A1A" w:rsidRPr="006E2F21">
        <w:rPr>
          <w:rFonts w:eastAsia="Times New Roman"/>
          <w:sz w:val="24"/>
          <w:szCs w:val="24"/>
          <w:lang w:val="en-US"/>
        </w:rPr>
        <w:t xml:space="preserve"> analysis of variance by ranks</w:t>
      </w:r>
      <w:r w:rsidR="00250067" w:rsidRPr="006E2F21">
        <w:rPr>
          <w:rFonts w:eastAsia="Times New Roman"/>
          <w:sz w:val="24"/>
          <w:szCs w:val="24"/>
          <w:lang w:val="en-US"/>
        </w:rPr>
        <w:t xml:space="preserve"> </w:t>
      </w:r>
      <w:r w:rsidR="004937D2" w:rsidRPr="006E2F21">
        <w:rPr>
          <w:rFonts w:eastAsia="Times New Roman"/>
          <w:sz w:val="24"/>
          <w:szCs w:val="24"/>
          <w:lang w:val="en-US"/>
        </w:rPr>
        <w:t>(E5)</w:t>
      </w:r>
      <w:r w:rsidR="00250067" w:rsidRPr="006E2F21">
        <w:rPr>
          <w:rFonts w:eastAsia="Times New Roman"/>
          <w:sz w:val="24"/>
          <w:szCs w:val="24"/>
          <w:lang w:val="en-US"/>
        </w:rPr>
        <w:t xml:space="preserve">. </w:t>
      </w:r>
      <w:r w:rsidRPr="006E2F21">
        <w:rPr>
          <w:rFonts w:eastAsia="Times New Roman"/>
          <w:sz w:val="24"/>
          <w:szCs w:val="24"/>
        </w:rPr>
        <w:t xml:space="preserve">Analyses of overall survival were performed </w:t>
      </w:r>
      <w:r w:rsidR="00BE2BAC" w:rsidRPr="006E2F21">
        <w:rPr>
          <w:rFonts w:eastAsia="Times New Roman"/>
          <w:sz w:val="24"/>
          <w:szCs w:val="24"/>
        </w:rPr>
        <w:t>by</w:t>
      </w:r>
      <w:r w:rsidRPr="006E2F21">
        <w:rPr>
          <w:rFonts w:eastAsia="Times New Roman"/>
          <w:sz w:val="24"/>
          <w:szCs w:val="24"/>
        </w:rPr>
        <w:t xml:space="preserve"> Kaplan-Meier survival</w:t>
      </w:r>
      <w:r w:rsidRPr="00A6728C">
        <w:rPr>
          <w:rFonts w:eastAsia="Times New Roman"/>
          <w:sz w:val="24"/>
          <w:szCs w:val="24"/>
        </w:rPr>
        <w:t xml:space="preserve"> curves.</w:t>
      </w:r>
      <w:r w:rsidR="005305C1">
        <w:rPr>
          <w:rFonts w:eastAsia="Times New Roman"/>
          <w:sz w:val="24"/>
          <w:szCs w:val="24"/>
        </w:rPr>
        <w:t xml:space="preserve"> </w:t>
      </w:r>
      <w:r w:rsidR="005305C1" w:rsidRPr="005305C1">
        <w:rPr>
          <w:rFonts w:eastAsia="Times New Roman"/>
          <w:sz w:val="24"/>
          <w:szCs w:val="24"/>
        </w:rPr>
        <w:t>Multivariate Cox</w:t>
      </w:r>
      <w:r w:rsidR="005305C1">
        <w:rPr>
          <w:rFonts w:eastAsia="Times New Roman"/>
          <w:sz w:val="24"/>
          <w:szCs w:val="24"/>
        </w:rPr>
        <w:t xml:space="preserve"> </w:t>
      </w:r>
      <w:r w:rsidR="005305C1" w:rsidRPr="005305C1">
        <w:rPr>
          <w:rFonts w:eastAsia="Times New Roman"/>
          <w:sz w:val="24"/>
          <w:szCs w:val="24"/>
        </w:rPr>
        <w:t>proportional hazard regression model was used to evaluate independent</w:t>
      </w:r>
      <w:r w:rsidR="005305C1">
        <w:rPr>
          <w:rFonts w:eastAsia="Times New Roman"/>
          <w:sz w:val="24"/>
          <w:szCs w:val="24"/>
        </w:rPr>
        <w:t xml:space="preserve"> </w:t>
      </w:r>
      <w:r w:rsidR="005305C1" w:rsidRPr="005305C1">
        <w:rPr>
          <w:rFonts w:eastAsia="Times New Roman"/>
          <w:sz w:val="24"/>
          <w:szCs w:val="24"/>
        </w:rPr>
        <w:t>prognostic factors, after adjusting for all non-time-dependent and time-dependent covariates</w:t>
      </w:r>
      <w:r w:rsidR="005305C1">
        <w:rPr>
          <w:rFonts w:eastAsia="Times New Roman"/>
          <w:sz w:val="24"/>
          <w:szCs w:val="24"/>
        </w:rPr>
        <w:t>.</w:t>
      </w:r>
      <w:r w:rsidR="005305C1" w:rsidRPr="005305C1">
        <w:rPr>
          <w:rFonts w:eastAsia="Times New Roman"/>
          <w:sz w:val="24"/>
          <w:szCs w:val="24"/>
        </w:rPr>
        <w:t xml:space="preserve"> </w:t>
      </w:r>
      <w:r w:rsidRPr="00A6728C">
        <w:rPr>
          <w:rFonts w:eastAsia="Times New Roman"/>
          <w:color w:val="222222"/>
          <w:sz w:val="24"/>
          <w:szCs w:val="24"/>
          <w:shd w:val="clear" w:color="auto" w:fill="FFFFFF"/>
          <w:lang w:val="en-US"/>
        </w:rPr>
        <w:t>Variables included in the Cox regression analysis</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 xml:space="preserve">had to be significant in the respective univariate analyses. </w:t>
      </w:r>
      <w:r w:rsidR="007A45D3" w:rsidRPr="00A6728C">
        <w:rPr>
          <w:rFonts w:eastAsia="Times New Roman"/>
          <w:color w:val="222222"/>
          <w:sz w:val="24"/>
          <w:szCs w:val="24"/>
          <w:shd w:val="clear" w:color="auto" w:fill="FFFFFF"/>
          <w:lang w:val="en-US"/>
        </w:rPr>
        <w:t>Hazard</w:t>
      </w:r>
      <w:r w:rsidRPr="00A6728C">
        <w:rPr>
          <w:rFonts w:eastAsia="Times New Roman"/>
          <w:color w:val="222222"/>
          <w:sz w:val="24"/>
          <w:szCs w:val="24"/>
          <w:shd w:val="clear" w:color="auto" w:fill="FFFFFF"/>
          <w:lang w:val="en-US"/>
        </w:rPr>
        <w:t xml:space="preserve"> ratios (</w:t>
      </w:r>
      <w:r w:rsidR="007A45D3" w:rsidRPr="00A6728C">
        <w:rPr>
          <w:rFonts w:eastAsia="Times New Roman"/>
          <w:color w:val="222222"/>
          <w:sz w:val="24"/>
          <w:szCs w:val="24"/>
          <w:shd w:val="clear" w:color="auto" w:fill="FFFFFF"/>
          <w:lang w:val="en-US"/>
        </w:rPr>
        <w:t>H</w:t>
      </w:r>
      <w:r w:rsidRPr="00A6728C">
        <w:rPr>
          <w:rFonts w:eastAsia="Times New Roman"/>
          <w:color w:val="222222"/>
          <w:sz w:val="24"/>
          <w:szCs w:val="24"/>
          <w:shd w:val="clear" w:color="auto" w:fill="FFFFFF"/>
          <w:lang w:val="en-US"/>
        </w:rPr>
        <w:t>Rs) and 95% confidence intervals (CIs) were</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estimated for all the variables entered in the final model.</w:t>
      </w:r>
    </w:p>
    <w:p w14:paraId="484C787F" w14:textId="4D3B915F" w:rsidR="00502E23" w:rsidRPr="00A6728C" w:rsidRDefault="00502E23" w:rsidP="00FF546F">
      <w:pPr>
        <w:spacing w:line="480" w:lineRule="auto"/>
        <w:ind w:right="4"/>
        <w:jc w:val="both"/>
        <w:rPr>
          <w:rFonts w:eastAsia="Times New Roman"/>
          <w:color w:val="222222"/>
          <w:sz w:val="24"/>
          <w:szCs w:val="24"/>
          <w:shd w:val="clear" w:color="auto" w:fill="FFFFFF"/>
          <w:lang w:val="en-US"/>
        </w:rPr>
      </w:pPr>
      <w:r w:rsidRPr="00A6728C">
        <w:rPr>
          <w:rFonts w:eastAsia="Times New Roman"/>
          <w:color w:val="222222"/>
          <w:sz w:val="24"/>
          <w:szCs w:val="24"/>
          <w:shd w:val="clear" w:color="auto" w:fill="FFFFFF"/>
          <w:lang w:val="en-US"/>
        </w:rPr>
        <w:t>All</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analyses were performed using SPSS (version 25</w:t>
      </w:r>
      <w:r w:rsidR="00733483" w:rsidRPr="00A6728C">
        <w:rPr>
          <w:rFonts w:eastAsia="Times New Roman"/>
          <w:color w:val="222222"/>
          <w:sz w:val="24"/>
          <w:szCs w:val="24"/>
          <w:shd w:val="clear" w:color="auto" w:fill="FFFFFF"/>
          <w:lang w:val="en-US"/>
        </w:rPr>
        <w:t>.0.0.1</w:t>
      </w:r>
      <w:r w:rsidRPr="00A6728C">
        <w:rPr>
          <w:rFonts w:eastAsia="Times New Roman"/>
          <w:color w:val="222222"/>
          <w:sz w:val="24"/>
          <w:szCs w:val="24"/>
          <w:shd w:val="clear" w:color="auto" w:fill="FFFFFF"/>
          <w:lang w:val="en-US"/>
        </w:rPr>
        <w:t xml:space="preserve"> for</w:t>
      </w:r>
      <w:r w:rsidRPr="00A6728C">
        <w:rPr>
          <w:rFonts w:eastAsia="Times New Roman"/>
          <w:color w:val="222222"/>
          <w:sz w:val="24"/>
          <w:szCs w:val="24"/>
          <w:lang w:val="en-US"/>
        </w:rPr>
        <w:t xml:space="preserve"> </w:t>
      </w:r>
      <w:r w:rsidRPr="00A6728C">
        <w:rPr>
          <w:rFonts w:eastAsia="Times New Roman"/>
          <w:color w:val="222222"/>
          <w:sz w:val="24"/>
          <w:szCs w:val="24"/>
          <w:shd w:val="clear" w:color="auto" w:fill="FFFFFF"/>
          <w:lang w:val="en-US"/>
        </w:rPr>
        <w:t>Windows)</w:t>
      </w:r>
      <w:r w:rsidR="00733483" w:rsidRPr="00A6728C">
        <w:rPr>
          <w:rFonts w:eastAsia="Times New Roman"/>
          <w:color w:val="222222"/>
          <w:sz w:val="24"/>
          <w:szCs w:val="24"/>
          <w:shd w:val="clear" w:color="auto" w:fill="FFFFFF"/>
          <w:lang w:val="en-US"/>
        </w:rPr>
        <w:t xml:space="preserve"> and R software (version 3.5.3)</w:t>
      </w:r>
      <w:r w:rsidRPr="00A6728C">
        <w:rPr>
          <w:rFonts w:eastAsia="Times New Roman"/>
          <w:color w:val="222222"/>
          <w:sz w:val="24"/>
          <w:szCs w:val="24"/>
          <w:shd w:val="clear" w:color="auto" w:fill="FFFFFF"/>
          <w:lang w:val="en-US"/>
        </w:rPr>
        <w:t>. Statistical significance was assumed for a p value &lt;0</w:t>
      </w:r>
      <w:r w:rsidR="00D227B8">
        <w:rPr>
          <w:rFonts w:eastAsia="Times New Roman"/>
          <w:sz w:val="24"/>
          <w:szCs w:val="24"/>
        </w:rPr>
        <w:t>.</w:t>
      </w:r>
      <w:r w:rsidRPr="00A6728C">
        <w:rPr>
          <w:rFonts w:eastAsia="Times New Roman"/>
          <w:color w:val="222222"/>
          <w:sz w:val="24"/>
          <w:szCs w:val="24"/>
          <w:shd w:val="clear" w:color="auto" w:fill="FFFFFF"/>
          <w:lang w:val="en-US"/>
        </w:rPr>
        <w:t>05.</w:t>
      </w:r>
    </w:p>
    <w:p w14:paraId="0FA1C568" w14:textId="77777777" w:rsidR="00A6728C" w:rsidRDefault="00A6728C" w:rsidP="00FF546F">
      <w:pPr>
        <w:jc w:val="both"/>
        <w:rPr>
          <w:rFonts w:eastAsia="Times New Roman"/>
          <w:b/>
          <w:sz w:val="24"/>
          <w:szCs w:val="24"/>
        </w:rPr>
      </w:pPr>
      <w:r>
        <w:rPr>
          <w:rFonts w:eastAsia="Times New Roman"/>
          <w:b/>
          <w:sz w:val="24"/>
          <w:szCs w:val="24"/>
        </w:rPr>
        <w:br w:type="page"/>
      </w:r>
    </w:p>
    <w:p w14:paraId="00000020" w14:textId="5B70C0D0" w:rsidR="00F31659" w:rsidRPr="00A6728C" w:rsidRDefault="00EB4D13" w:rsidP="00FF546F">
      <w:pPr>
        <w:spacing w:line="480" w:lineRule="auto"/>
        <w:jc w:val="both"/>
        <w:rPr>
          <w:rFonts w:eastAsia="Times New Roman"/>
          <w:b/>
          <w:sz w:val="24"/>
          <w:szCs w:val="24"/>
        </w:rPr>
      </w:pPr>
      <w:r w:rsidRPr="00A6728C">
        <w:rPr>
          <w:rFonts w:eastAsia="Times New Roman"/>
          <w:b/>
          <w:sz w:val="24"/>
          <w:szCs w:val="24"/>
        </w:rPr>
        <w:lastRenderedPageBreak/>
        <w:t>RESULTS</w:t>
      </w:r>
    </w:p>
    <w:p w14:paraId="00000021" w14:textId="13F3D766" w:rsidR="00F31659" w:rsidRPr="00A6728C" w:rsidRDefault="00EB4D13" w:rsidP="00FF546F">
      <w:pPr>
        <w:spacing w:line="480" w:lineRule="auto"/>
        <w:jc w:val="both"/>
        <w:rPr>
          <w:rFonts w:eastAsia="Times New Roman"/>
          <w:b/>
          <w:sz w:val="24"/>
          <w:szCs w:val="24"/>
          <w:highlight w:val="yellow"/>
        </w:rPr>
      </w:pPr>
      <w:r w:rsidRPr="00A6728C">
        <w:rPr>
          <w:rFonts w:eastAsia="Times New Roman"/>
          <w:b/>
          <w:sz w:val="24"/>
          <w:szCs w:val="24"/>
        </w:rPr>
        <w:t>Blood lymphocytes</w:t>
      </w:r>
      <w:r w:rsidR="00F15C39" w:rsidRPr="00A6728C">
        <w:rPr>
          <w:rFonts w:eastAsia="Times New Roman"/>
          <w:b/>
          <w:sz w:val="24"/>
          <w:szCs w:val="24"/>
        </w:rPr>
        <w:t xml:space="preserve"> </w:t>
      </w:r>
      <w:r w:rsidR="00DF1DF1" w:rsidRPr="00A6728C">
        <w:rPr>
          <w:rFonts w:eastAsia="Times New Roman"/>
          <w:b/>
          <w:sz w:val="24"/>
          <w:szCs w:val="24"/>
        </w:rPr>
        <w:t>count</w:t>
      </w:r>
    </w:p>
    <w:p w14:paraId="795CDCD1" w14:textId="69E1827F" w:rsidR="008C33A8" w:rsidRPr="00A6728C" w:rsidRDefault="00F1680E" w:rsidP="00FF546F">
      <w:pPr>
        <w:spacing w:line="480" w:lineRule="auto"/>
        <w:jc w:val="both"/>
        <w:rPr>
          <w:rFonts w:eastAsia="Times New Roman"/>
          <w:color w:val="000000" w:themeColor="text1"/>
          <w:sz w:val="24"/>
          <w:szCs w:val="24"/>
        </w:rPr>
      </w:pPr>
      <w:r w:rsidRPr="00A6728C">
        <w:rPr>
          <w:rFonts w:eastAsia="Times New Roman"/>
          <w:color w:val="000000" w:themeColor="text1"/>
          <w:sz w:val="24"/>
          <w:szCs w:val="24"/>
        </w:rPr>
        <w:t>The lymphocyte</w:t>
      </w:r>
      <w:r w:rsidR="002E0A82" w:rsidRPr="00A6728C">
        <w:rPr>
          <w:rFonts w:eastAsia="Times New Roman"/>
          <w:color w:val="000000" w:themeColor="text1"/>
          <w:sz w:val="24"/>
          <w:szCs w:val="24"/>
        </w:rPr>
        <w:t>s count</w:t>
      </w:r>
      <w:r w:rsidRPr="00A6728C">
        <w:rPr>
          <w:rFonts w:eastAsia="Times New Roman"/>
          <w:color w:val="000000" w:themeColor="text1"/>
          <w:sz w:val="24"/>
          <w:szCs w:val="24"/>
        </w:rPr>
        <w:t xml:space="preserve"> in peripheral blood were </w:t>
      </w:r>
      <w:r w:rsidR="00712318" w:rsidRPr="00A6728C">
        <w:rPr>
          <w:rFonts w:eastAsia="Times New Roman"/>
          <w:color w:val="000000" w:themeColor="text1"/>
          <w:sz w:val="24"/>
          <w:szCs w:val="24"/>
        </w:rPr>
        <w:t>not different</w:t>
      </w:r>
      <w:r w:rsidR="00CB4093" w:rsidRPr="00A6728C">
        <w:rPr>
          <w:rFonts w:eastAsia="Times New Roman"/>
          <w:color w:val="000000" w:themeColor="text1"/>
          <w:sz w:val="24"/>
          <w:szCs w:val="24"/>
        </w:rPr>
        <w:t xml:space="preserve"> </w:t>
      </w:r>
      <w:r w:rsidR="008C33A8" w:rsidRPr="00A6728C">
        <w:rPr>
          <w:rFonts w:eastAsia="Times New Roman"/>
          <w:color w:val="000000" w:themeColor="text1"/>
          <w:sz w:val="24"/>
          <w:szCs w:val="24"/>
        </w:rPr>
        <w:t xml:space="preserve">between </w:t>
      </w:r>
      <w:r w:rsidR="00CB4093" w:rsidRPr="00A6728C">
        <w:rPr>
          <w:rFonts w:eastAsia="Times New Roman"/>
          <w:color w:val="000000" w:themeColor="text1"/>
          <w:sz w:val="24"/>
          <w:szCs w:val="24"/>
        </w:rPr>
        <w:t xml:space="preserve">active smokers and former </w:t>
      </w:r>
      <w:r w:rsidRPr="00A6728C">
        <w:rPr>
          <w:rFonts w:eastAsia="Times New Roman"/>
          <w:color w:val="000000" w:themeColor="text1"/>
          <w:sz w:val="24"/>
          <w:szCs w:val="24"/>
        </w:rPr>
        <w:t>smokers in the whole population</w:t>
      </w:r>
      <w:r w:rsidR="00F6061B" w:rsidRPr="00A6728C">
        <w:rPr>
          <w:rFonts w:eastAsia="Times New Roman"/>
          <w:color w:val="000000" w:themeColor="text1"/>
          <w:sz w:val="24"/>
          <w:szCs w:val="24"/>
        </w:rPr>
        <w:t xml:space="preserve"> (p=0</w:t>
      </w:r>
      <w:r w:rsidR="00D227B8">
        <w:rPr>
          <w:rFonts w:eastAsia="Times New Roman"/>
          <w:sz w:val="24"/>
          <w:szCs w:val="24"/>
        </w:rPr>
        <w:t>.</w:t>
      </w:r>
      <w:r w:rsidR="00F6061B" w:rsidRPr="00A6728C">
        <w:rPr>
          <w:rFonts w:eastAsia="Times New Roman"/>
          <w:color w:val="000000" w:themeColor="text1"/>
          <w:sz w:val="24"/>
          <w:szCs w:val="24"/>
        </w:rPr>
        <w:t>195)</w:t>
      </w:r>
      <w:r w:rsidR="008C33A8" w:rsidRPr="00A6728C">
        <w:rPr>
          <w:rFonts w:eastAsia="Times New Roman"/>
          <w:color w:val="000000" w:themeColor="text1"/>
          <w:sz w:val="24"/>
          <w:szCs w:val="24"/>
        </w:rPr>
        <w:t xml:space="preserve">. Similar results were observed </w:t>
      </w:r>
      <w:r w:rsidR="00CB4093" w:rsidRPr="00A6728C">
        <w:rPr>
          <w:rFonts w:eastAsia="Times New Roman"/>
          <w:color w:val="000000" w:themeColor="text1"/>
          <w:sz w:val="24"/>
          <w:szCs w:val="24"/>
        </w:rPr>
        <w:t xml:space="preserve">also </w:t>
      </w:r>
      <w:r w:rsidRPr="00A6728C">
        <w:rPr>
          <w:rFonts w:eastAsia="Times New Roman"/>
          <w:color w:val="000000" w:themeColor="text1"/>
          <w:sz w:val="24"/>
          <w:szCs w:val="24"/>
        </w:rPr>
        <w:t xml:space="preserve">in </w:t>
      </w:r>
      <w:r w:rsidR="008C33A8" w:rsidRPr="00A6728C">
        <w:rPr>
          <w:rFonts w:eastAsia="Times New Roman"/>
          <w:color w:val="000000" w:themeColor="text1"/>
          <w:sz w:val="24"/>
          <w:szCs w:val="24"/>
        </w:rPr>
        <w:t xml:space="preserve">noCOPD and </w:t>
      </w:r>
      <w:r w:rsidRPr="00A6728C">
        <w:rPr>
          <w:rFonts w:eastAsia="Times New Roman"/>
          <w:color w:val="000000" w:themeColor="text1"/>
          <w:sz w:val="24"/>
          <w:szCs w:val="24"/>
        </w:rPr>
        <w:t>COPD</w:t>
      </w:r>
      <w:r w:rsidR="004F29F5" w:rsidRPr="00A6728C">
        <w:rPr>
          <w:rFonts w:eastAsia="Times New Roman"/>
          <w:color w:val="000000" w:themeColor="text1"/>
          <w:sz w:val="24"/>
          <w:szCs w:val="24"/>
        </w:rPr>
        <w:t>.</w:t>
      </w:r>
    </w:p>
    <w:p w14:paraId="00F75FCD" w14:textId="542C72D2" w:rsidR="008C33A8" w:rsidRPr="00A6728C" w:rsidRDefault="003161FA" w:rsidP="00FF546F">
      <w:pPr>
        <w:spacing w:line="480" w:lineRule="auto"/>
        <w:jc w:val="both"/>
        <w:rPr>
          <w:rFonts w:eastAsia="Times New Roman"/>
          <w:color w:val="000000" w:themeColor="text1"/>
          <w:sz w:val="24"/>
          <w:szCs w:val="24"/>
        </w:rPr>
      </w:pPr>
      <w:r w:rsidRPr="00A6728C">
        <w:rPr>
          <w:rFonts w:eastAsia="Times New Roman"/>
          <w:color w:val="000000" w:themeColor="text1"/>
          <w:sz w:val="24"/>
          <w:szCs w:val="24"/>
        </w:rPr>
        <w:t xml:space="preserve">NoCOPD: BL </w:t>
      </w:r>
      <w:r w:rsidR="00B023E7" w:rsidRPr="00A6728C">
        <w:rPr>
          <w:rFonts w:eastAsia="Times New Roman"/>
          <w:color w:val="000000" w:themeColor="text1"/>
          <w:sz w:val="24"/>
          <w:szCs w:val="24"/>
        </w:rPr>
        <w:t>2250</w:t>
      </w:r>
      <w:r w:rsidRPr="00A6728C">
        <w:rPr>
          <w:rFonts w:eastAsia="Times New Roman"/>
          <w:color w:val="000000" w:themeColor="text1"/>
          <w:sz w:val="24"/>
          <w:szCs w:val="24"/>
        </w:rPr>
        <w:t xml:space="preserve"> (</w:t>
      </w:r>
      <w:r w:rsidR="00B023E7" w:rsidRPr="00A6728C">
        <w:rPr>
          <w:rFonts w:eastAsia="Times New Roman"/>
          <w:color w:val="000000" w:themeColor="text1"/>
          <w:sz w:val="24"/>
          <w:szCs w:val="24"/>
        </w:rPr>
        <w:t>1767</w:t>
      </w:r>
      <w:r w:rsidRPr="00A6728C">
        <w:rPr>
          <w:rFonts w:eastAsia="Times New Roman"/>
          <w:color w:val="000000" w:themeColor="text1"/>
          <w:sz w:val="24"/>
          <w:szCs w:val="24"/>
        </w:rPr>
        <w:t>-2</w:t>
      </w:r>
      <w:r w:rsidR="00B023E7" w:rsidRPr="00A6728C">
        <w:rPr>
          <w:rFonts w:eastAsia="Times New Roman"/>
          <w:color w:val="000000" w:themeColor="text1"/>
          <w:sz w:val="24"/>
          <w:szCs w:val="24"/>
        </w:rPr>
        <w:t>75</w:t>
      </w:r>
      <w:r w:rsidRPr="00A6728C">
        <w:rPr>
          <w:rFonts w:eastAsia="Times New Roman"/>
          <w:color w:val="000000" w:themeColor="text1"/>
          <w:sz w:val="24"/>
          <w:szCs w:val="24"/>
        </w:rPr>
        <w:t>0) cells/µL in former smokers vs 24</w:t>
      </w:r>
      <w:r w:rsidR="00B023E7" w:rsidRPr="00A6728C">
        <w:rPr>
          <w:rFonts w:eastAsia="Times New Roman"/>
          <w:color w:val="000000" w:themeColor="text1"/>
          <w:sz w:val="24"/>
          <w:szCs w:val="24"/>
        </w:rPr>
        <w:t>6</w:t>
      </w:r>
      <w:r w:rsidRPr="00A6728C">
        <w:rPr>
          <w:rFonts w:eastAsia="Times New Roman"/>
          <w:color w:val="000000" w:themeColor="text1"/>
          <w:sz w:val="24"/>
          <w:szCs w:val="24"/>
        </w:rPr>
        <w:t>0 (19</w:t>
      </w:r>
      <w:r w:rsidR="00B023E7" w:rsidRPr="00A6728C">
        <w:rPr>
          <w:rFonts w:eastAsia="Times New Roman"/>
          <w:color w:val="000000" w:themeColor="text1"/>
          <w:sz w:val="24"/>
          <w:szCs w:val="24"/>
        </w:rPr>
        <w:t>70</w:t>
      </w:r>
      <w:r w:rsidRPr="00A6728C">
        <w:rPr>
          <w:rFonts w:eastAsia="Times New Roman"/>
          <w:color w:val="000000" w:themeColor="text1"/>
          <w:sz w:val="24"/>
          <w:szCs w:val="24"/>
        </w:rPr>
        <w:t>-3</w:t>
      </w:r>
      <w:r w:rsidR="00B023E7" w:rsidRPr="00A6728C">
        <w:rPr>
          <w:rFonts w:eastAsia="Times New Roman"/>
          <w:color w:val="000000" w:themeColor="text1"/>
          <w:sz w:val="24"/>
          <w:szCs w:val="24"/>
        </w:rPr>
        <w:t>10</w:t>
      </w:r>
      <w:r w:rsidRPr="00A6728C">
        <w:rPr>
          <w:rFonts w:eastAsia="Times New Roman"/>
          <w:color w:val="000000" w:themeColor="text1"/>
          <w:sz w:val="24"/>
          <w:szCs w:val="24"/>
        </w:rPr>
        <w:t>0) cells/µL in active smokers (p=0</w:t>
      </w:r>
      <w:r w:rsidR="00D227B8">
        <w:rPr>
          <w:rFonts w:eastAsia="Times New Roman"/>
          <w:sz w:val="24"/>
          <w:szCs w:val="24"/>
        </w:rPr>
        <w:t>.</w:t>
      </w:r>
      <w:r w:rsidRPr="00A6728C">
        <w:rPr>
          <w:rFonts w:eastAsia="Times New Roman"/>
          <w:color w:val="000000" w:themeColor="text1"/>
          <w:sz w:val="24"/>
          <w:szCs w:val="24"/>
        </w:rPr>
        <w:t>0</w:t>
      </w:r>
      <w:r w:rsidR="00B023E7" w:rsidRPr="00A6728C">
        <w:rPr>
          <w:rFonts w:eastAsia="Times New Roman"/>
          <w:color w:val="000000" w:themeColor="text1"/>
          <w:sz w:val="24"/>
          <w:szCs w:val="24"/>
        </w:rPr>
        <w:t>69</w:t>
      </w:r>
      <w:r w:rsidR="008C33A8" w:rsidRPr="00A6728C">
        <w:rPr>
          <w:rFonts w:eastAsia="Times New Roman"/>
          <w:color w:val="000000" w:themeColor="text1"/>
          <w:sz w:val="24"/>
          <w:szCs w:val="24"/>
        </w:rPr>
        <w:t>).</w:t>
      </w:r>
    </w:p>
    <w:p w14:paraId="18F14D33" w14:textId="03197328" w:rsidR="001F520E" w:rsidRPr="00A6728C" w:rsidRDefault="003161FA" w:rsidP="00FF546F">
      <w:pPr>
        <w:spacing w:line="480" w:lineRule="auto"/>
        <w:jc w:val="both"/>
        <w:rPr>
          <w:rFonts w:eastAsia="Times New Roman"/>
          <w:color w:val="000000" w:themeColor="text1"/>
          <w:sz w:val="24"/>
          <w:szCs w:val="24"/>
        </w:rPr>
      </w:pPr>
      <w:r w:rsidRPr="00A6728C">
        <w:rPr>
          <w:rFonts w:eastAsia="Times New Roman"/>
          <w:color w:val="000000" w:themeColor="text1"/>
          <w:sz w:val="24"/>
          <w:szCs w:val="24"/>
        </w:rPr>
        <w:t>COPD</w:t>
      </w:r>
      <w:r w:rsidR="004F29F5" w:rsidRPr="00A6728C">
        <w:rPr>
          <w:rFonts w:eastAsia="Times New Roman"/>
          <w:color w:val="000000" w:themeColor="text1"/>
          <w:sz w:val="24"/>
          <w:szCs w:val="24"/>
        </w:rPr>
        <w:t xml:space="preserve">: BL </w:t>
      </w:r>
      <w:r w:rsidR="00B023E7" w:rsidRPr="00A6728C">
        <w:rPr>
          <w:rFonts w:eastAsia="Times New Roman"/>
          <w:color w:val="000000" w:themeColor="text1"/>
          <w:sz w:val="24"/>
          <w:szCs w:val="24"/>
        </w:rPr>
        <w:t xml:space="preserve">1900 </w:t>
      </w:r>
      <w:r w:rsidR="004F29F5" w:rsidRPr="00A6728C">
        <w:rPr>
          <w:rFonts w:eastAsia="Times New Roman"/>
          <w:color w:val="000000" w:themeColor="text1"/>
          <w:sz w:val="24"/>
          <w:szCs w:val="24"/>
        </w:rPr>
        <w:t>(1</w:t>
      </w:r>
      <w:r w:rsidR="00B023E7" w:rsidRPr="00A6728C">
        <w:rPr>
          <w:rFonts w:eastAsia="Times New Roman"/>
          <w:color w:val="000000" w:themeColor="text1"/>
          <w:sz w:val="24"/>
          <w:szCs w:val="24"/>
        </w:rPr>
        <w:t>510</w:t>
      </w:r>
      <w:r w:rsidR="004F29F5" w:rsidRPr="00A6728C">
        <w:rPr>
          <w:rFonts w:eastAsia="Times New Roman"/>
          <w:color w:val="000000" w:themeColor="text1"/>
          <w:sz w:val="24"/>
          <w:szCs w:val="24"/>
        </w:rPr>
        <w:t>-24</w:t>
      </w:r>
      <w:r w:rsidR="00B023E7" w:rsidRPr="00A6728C">
        <w:rPr>
          <w:rFonts w:eastAsia="Times New Roman"/>
          <w:color w:val="000000" w:themeColor="text1"/>
          <w:sz w:val="24"/>
          <w:szCs w:val="24"/>
        </w:rPr>
        <w:t>8</w:t>
      </w:r>
      <w:r w:rsidR="004F29F5" w:rsidRPr="00A6728C">
        <w:rPr>
          <w:rFonts w:eastAsia="Times New Roman"/>
          <w:color w:val="000000" w:themeColor="text1"/>
          <w:sz w:val="24"/>
          <w:szCs w:val="24"/>
        </w:rPr>
        <w:t xml:space="preserve">0) cells/µL in former smokers vs </w:t>
      </w:r>
      <w:r w:rsidR="00B023E7" w:rsidRPr="00A6728C">
        <w:rPr>
          <w:rFonts w:eastAsia="Times New Roman"/>
          <w:color w:val="000000" w:themeColor="text1"/>
          <w:sz w:val="24"/>
          <w:szCs w:val="24"/>
        </w:rPr>
        <w:t>1820</w:t>
      </w:r>
      <w:r w:rsidR="004F29F5" w:rsidRPr="00A6728C">
        <w:rPr>
          <w:rFonts w:eastAsia="Times New Roman"/>
          <w:color w:val="000000" w:themeColor="text1"/>
          <w:sz w:val="24"/>
          <w:szCs w:val="24"/>
        </w:rPr>
        <w:t xml:space="preserve"> (1</w:t>
      </w:r>
      <w:r w:rsidR="00B023E7" w:rsidRPr="00A6728C">
        <w:rPr>
          <w:rFonts w:eastAsia="Times New Roman"/>
          <w:color w:val="000000" w:themeColor="text1"/>
          <w:sz w:val="24"/>
          <w:szCs w:val="24"/>
        </w:rPr>
        <w:t>465</w:t>
      </w:r>
      <w:r w:rsidR="004F29F5" w:rsidRPr="00A6728C">
        <w:rPr>
          <w:rFonts w:eastAsia="Times New Roman"/>
          <w:color w:val="000000" w:themeColor="text1"/>
          <w:sz w:val="24"/>
          <w:szCs w:val="24"/>
        </w:rPr>
        <w:t>-</w:t>
      </w:r>
      <w:r w:rsidR="00B023E7" w:rsidRPr="00A6728C">
        <w:rPr>
          <w:rFonts w:eastAsia="Times New Roman"/>
          <w:color w:val="000000" w:themeColor="text1"/>
          <w:sz w:val="24"/>
          <w:szCs w:val="24"/>
        </w:rPr>
        <w:t>2300</w:t>
      </w:r>
      <w:r w:rsidR="004F29F5" w:rsidRPr="00A6728C">
        <w:rPr>
          <w:rFonts w:eastAsia="Times New Roman"/>
          <w:color w:val="000000" w:themeColor="text1"/>
          <w:sz w:val="24"/>
          <w:szCs w:val="24"/>
        </w:rPr>
        <w:t>) cells/µL in active smokers (p=0</w:t>
      </w:r>
      <w:r w:rsidR="00D227B8">
        <w:rPr>
          <w:rFonts w:eastAsia="Times New Roman"/>
          <w:sz w:val="24"/>
          <w:szCs w:val="24"/>
        </w:rPr>
        <w:t>.</w:t>
      </w:r>
      <w:r w:rsidR="003E2D3B" w:rsidRPr="00A6728C">
        <w:rPr>
          <w:rFonts w:eastAsia="Times New Roman"/>
          <w:color w:val="000000" w:themeColor="text1"/>
          <w:sz w:val="24"/>
          <w:szCs w:val="24"/>
        </w:rPr>
        <w:t>1</w:t>
      </w:r>
      <w:r w:rsidR="00B023E7" w:rsidRPr="00A6728C">
        <w:rPr>
          <w:rFonts w:eastAsia="Times New Roman"/>
          <w:color w:val="000000" w:themeColor="text1"/>
          <w:sz w:val="24"/>
          <w:szCs w:val="24"/>
        </w:rPr>
        <w:t>22</w:t>
      </w:r>
      <w:r w:rsidR="004F29F5" w:rsidRPr="00A6728C">
        <w:rPr>
          <w:rFonts w:eastAsia="Times New Roman"/>
          <w:color w:val="000000" w:themeColor="text1"/>
          <w:sz w:val="24"/>
          <w:szCs w:val="24"/>
        </w:rPr>
        <w:t xml:space="preserve">). </w:t>
      </w:r>
    </w:p>
    <w:p w14:paraId="00000035" w14:textId="316B02CD" w:rsidR="00F31659" w:rsidRPr="00A6728C" w:rsidRDefault="00C37F86" w:rsidP="00FF546F">
      <w:pPr>
        <w:spacing w:line="480" w:lineRule="auto"/>
        <w:jc w:val="both"/>
        <w:rPr>
          <w:rFonts w:eastAsia="Times New Roman"/>
          <w:b/>
          <w:sz w:val="24"/>
          <w:szCs w:val="24"/>
        </w:rPr>
      </w:pPr>
      <w:r w:rsidRPr="00A6728C">
        <w:rPr>
          <w:rFonts w:eastAsia="Times New Roman"/>
          <w:b/>
          <w:sz w:val="24"/>
          <w:szCs w:val="24"/>
        </w:rPr>
        <w:t>B</w:t>
      </w:r>
      <w:r w:rsidR="00EB4D13" w:rsidRPr="00A6728C">
        <w:rPr>
          <w:rFonts w:eastAsia="Times New Roman"/>
          <w:b/>
          <w:sz w:val="24"/>
          <w:szCs w:val="24"/>
        </w:rPr>
        <w:t xml:space="preserve">lood </w:t>
      </w:r>
      <w:r w:rsidRPr="00A6728C">
        <w:rPr>
          <w:rFonts w:eastAsia="Times New Roman"/>
          <w:b/>
          <w:sz w:val="24"/>
          <w:szCs w:val="24"/>
        </w:rPr>
        <w:t xml:space="preserve">lymphocytes </w:t>
      </w:r>
      <w:r w:rsidR="00AC1D47" w:rsidRPr="00A6728C">
        <w:rPr>
          <w:rFonts w:eastAsia="Times New Roman"/>
          <w:b/>
          <w:sz w:val="24"/>
          <w:szCs w:val="24"/>
        </w:rPr>
        <w:t>count</w:t>
      </w:r>
      <w:r w:rsidRPr="00A6728C">
        <w:rPr>
          <w:rFonts w:eastAsia="Times New Roman"/>
          <w:b/>
          <w:sz w:val="24"/>
          <w:szCs w:val="24"/>
        </w:rPr>
        <w:t xml:space="preserve"> and</w:t>
      </w:r>
      <w:r w:rsidR="00EB4D13" w:rsidRPr="00A6728C">
        <w:rPr>
          <w:rFonts w:eastAsia="Times New Roman"/>
          <w:b/>
          <w:sz w:val="24"/>
          <w:szCs w:val="24"/>
        </w:rPr>
        <w:t xml:space="preserve"> </w:t>
      </w:r>
      <w:r w:rsidR="006B71F6" w:rsidRPr="00A6728C">
        <w:rPr>
          <w:rFonts w:eastAsia="Times New Roman"/>
          <w:b/>
          <w:sz w:val="24"/>
          <w:szCs w:val="24"/>
        </w:rPr>
        <w:t>comorbidities</w:t>
      </w:r>
    </w:p>
    <w:p w14:paraId="57AD7D8F" w14:textId="3C823AC6" w:rsidR="005F6425" w:rsidRPr="00A6728C" w:rsidRDefault="006B71F6" w:rsidP="00FF546F">
      <w:pPr>
        <w:spacing w:line="480" w:lineRule="auto"/>
        <w:jc w:val="both"/>
        <w:rPr>
          <w:rFonts w:eastAsia="Times New Roman"/>
          <w:sz w:val="24"/>
          <w:szCs w:val="24"/>
        </w:rPr>
      </w:pPr>
      <w:r w:rsidRPr="00A6728C">
        <w:rPr>
          <w:rFonts w:eastAsia="Times New Roman"/>
          <w:sz w:val="24"/>
          <w:szCs w:val="24"/>
        </w:rPr>
        <w:t>A higher number of subjects with COPD developed at least one comorbidity</w:t>
      </w:r>
      <w:r w:rsidR="005F6425" w:rsidRPr="00A6728C">
        <w:rPr>
          <w:rFonts w:eastAsia="Times New Roman"/>
          <w:sz w:val="24"/>
          <w:szCs w:val="24"/>
        </w:rPr>
        <w:t xml:space="preserve"> (</w:t>
      </w:r>
      <w:r w:rsidR="008C33A8" w:rsidRPr="00A6728C">
        <w:rPr>
          <w:rFonts w:eastAsia="Times New Roman"/>
          <w:sz w:val="24"/>
          <w:szCs w:val="24"/>
        </w:rPr>
        <w:t>other than</w:t>
      </w:r>
      <w:r w:rsidR="005F6425" w:rsidRPr="00A6728C">
        <w:rPr>
          <w:rFonts w:eastAsia="Times New Roman"/>
          <w:sz w:val="24"/>
          <w:szCs w:val="24"/>
        </w:rPr>
        <w:t xml:space="preserve"> cancer)</w:t>
      </w:r>
      <w:r w:rsidRPr="00A6728C">
        <w:rPr>
          <w:rFonts w:eastAsia="Times New Roman"/>
          <w:sz w:val="24"/>
          <w:szCs w:val="24"/>
        </w:rPr>
        <w:t xml:space="preserve"> during the follow-up period</w:t>
      </w:r>
      <w:r w:rsidR="00821579" w:rsidRPr="00A6728C">
        <w:rPr>
          <w:rFonts w:eastAsia="Times New Roman"/>
          <w:sz w:val="24"/>
          <w:szCs w:val="24"/>
        </w:rPr>
        <w:t xml:space="preserve"> </w:t>
      </w:r>
      <w:r w:rsidRPr="00A6728C">
        <w:rPr>
          <w:rFonts w:eastAsia="Times New Roman"/>
          <w:sz w:val="24"/>
          <w:szCs w:val="24"/>
        </w:rPr>
        <w:t>compare</w:t>
      </w:r>
      <w:r w:rsidR="00202DE6" w:rsidRPr="00A6728C">
        <w:rPr>
          <w:rFonts w:eastAsia="Times New Roman"/>
          <w:sz w:val="24"/>
          <w:szCs w:val="24"/>
        </w:rPr>
        <w:t>d</w:t>
      </w:r>
      <w:r w:rsidRPr="00A6728C">
        <w:rPr>
          <w:rFonts w:eastAsia="Times New Roman"/>
          <w:sz w:val="24"/>
          <w:szCs w:val="24"/>
        </w:rPr>
        <w:t xml:space="preserve"> to </w:t>
      </w:r>
      <w:r w:rsidR="00F45377" w:rsidRPr="00A6728C">
        <w:rPr>
          <w:rFonts w:eastAsia="Times New Roman"/>
          <w:sz w:val="24"/>
          <w:szCs w:val="24"/>
        </w:rPr>
        <w:t>no</w:t>
      </w:r>
      <w:r w:rsidRPr="00A6728C">
        <w:rPr>
          <w:rFonts w:eastAsia="Times New Roman"/>
          <w:sz w:val="24"/>
          <w:szCs w:val="24"/>
        </w:rPr>
        <w:t>COPD</w:t>
      </w:r>
      <w:r w:rsidR="00821579" w:rsidRPr="00A6728C">
        <w:rPr>
          <w:rFonts w:eastAsia="Times New Roman"/>
          <w:sz w:val="24"/>
          <w:szCs w:val="24"/>
        </w:rPr>
        <w:t xml:space="preserve"> (</w:t>
      </w:r>
      <w:r w:rsidR="008C33A8" w:rsidRPr="00A6728C">
        <w:rPr>
          <w:rFonts w:eastAsia="Times New Roman"/>
          <w:sz w:val="24"/>
          <w:szCs w:val="24"/>
        </w:rPr>
        <w:t xml:space="preserve">85% vs 77%; </w:t>
      </w:r>
      <w:r w:rsidRPr="00A6728C">
        <w:rPr>
          <w:rFonts w:eastAsia="Times New Roman"/>
          <w:sz w:val="24"/>
          <w:szCs w:val="24"/>
        </w:rPr>
        <w:t>p&lt;0</w:t>
      </w:r>
      <w:r w:rsidR="00D227B8">
        <w:rPr>
          <w:rFonts w:eastAsia="Times New Roman"/>
          <w:sz w:val="24"/>
          <w:szCs w:val="24"/>
        </w:rPr>
        <w:t>.</w:t>
      </w:r>
      <w:r w:rsidRPr="00A6728C">
        <w:rPr>
          <w:rFonts w:eastAsia="Times New Roman"/>
          <w:sz w:val="24"/>
          <w:szCs w:val="24"/>
        </w:rPr>
        <w:t>0</w:t>
      </w:r>
      <w:r w:rsidR="00F45377" w:rsidRPr="00A6728C">
        <w:rPr>
          <w:rFonts w:eastAsia="Times New Roman"/>
          <w:sz w:val="24"/>
          <w:szCs w:val="24"/>
        </w:rPr>
        <w:t>0</w:t>
      </w:r>
      <w:r w:rsidRPr="00A6728C">
        <w:rPr>
          <w:rFonts w:eastAsia="Times New Roman"/>
          <w:sz w:val="24"/>
          <w:szCs w:val="24"/>
        </w:rPr>
        <w:t>1). The incidence of comorbidities</w:t>
      </w:r>
      <w:r w:rsidR="005F6425" w:rsidRPr="00A6728C">
        <w:rPr>
          <w:rFonts w:eastAsia="Times New Roman"/>
          <w:sz w:val="24"/>
          <w:szCs w:val="24"/>
        </w:rPr>
        <w:t xml:space="preserve">, </w:t>
      </w:r>
      <w:r w:rsidR="008C33A8" w:rsidRPr="00A6728C">
        <w:rPr>
          <w:rFonts w:eastAsia="Times New Roman"/>
          <w:sz w:val="24"/>
          <w:szCs w:val="24"/>
        </w:rPr>
        <w:t>other than</w:t>
      </w:r>
      <w:r w:rsidR="005F6425" w:rsidRPr="00A6728C">
        <w:rPr>
          <w:rFonts w:eastAsia="Times New Roman"/>
          <w:sz w:val="24"/>
          <w:szCs w:val="24"/>
        </w:rPr>
        <w:t xml:space="preserve"> cancer,</w:t>
      </w:r>
      <w:r w:rsidRPr="00A6728C">
        <w:rPr>
          <w:rFonts w:eastAsia="Times New Roman"/>
          <w:sz w:val="24"/>
          <w:szCs w:val="24"/>
        </w:rPr>
        <w:t xml:space="preserve"> </w:t>
      </w:r>
      <w:r w:rsidR="005F6425" w:rsidRPr="00A6728C">
        <w:rPr>
          <w:rFonts w:eastAsia="Times New Roman"/>
          <w:sz w:val="24"/>
          <w:szCs w:val="24"/>
        </w:rPr>
        <w:t>was not influenced by neither the BL count nor the BL decline</w:t>
      </w:r>
      <w:r w:rsidR="00F4069A" w:rsidRPr="00A6728C">
        <w:rPr>
          <w:rFonts w:eastAsia="Times New Roman"/>
          <w:sz w:val="24"/>
          <w:szCs w:val="24"/>
        </w:rPr>
        <w:t xml:space="preserve"> in both noCOPD and COPD (Table 2 on the main manuscript)</w:t>
      </w:r>
      <w:r w:rsidR="005F6425" w:rsidRPr="00A6728C">
        <w:rPr>
          <w:rFonts w:eastAsia="Times New Roman"/>
          <w:sz w:val="24"/>
          <w:szCs w:val="24"/>
        </w:rPr>
        <w:t>.</w:t>
      </w:r>
      <w:r w:rsidR="00B73E37" w:rsidRPr="00A6728C">
        <w:rPr>
          <w:rFonts w:eastAsia="Times New Roman"/>
          <w:sz w:val="24"/>
          <w:szCs w:val="24"/>
        </w:rPr>
        <w:t xml:space="preserve"> </w:t>
      </w:r>
    </w:p>
    <w:p w14:paraId="7455630F" w14:textId="77777777" w:rsidR="008C33A8" w:rsidRPr="00A6728C" w:rsidRDefault="008C33A8" w:rsidP="00FF546F">
      <w:pPr>
        <w:jc w:val="both"/>
        <w:rPr>
          <w:rFonts w:eastAsia="Times New Roman"/>
          <w:sz w:val="24"/>
          <w:szCs w:val="24"/>
        </w:rPr>
      </w:pPr>
      <w:r w:rsidRPr="00A6728C">
        <w:rPr>
          <w:rFonts w:eastAsia="Times New Roman"/>
          <w:sz w:val="24"/>
          <w:szCs w:val="24"/>
        </w:rPr>
        <w:br w:type="page"/>
      </w:r>
    </w:p>
    <w:p w14:paraId="5960E427" w14:textId="5A77ED84" w:rsidR="00A246FE" w:rsidRPr="00A6728C" w:rsidRDefault="005B03C3" w:rsidP="00FF546F">
      <w:pPr>
        <w:spacing w:line="480" w:lineRule="auto"/>
        <w:jc w:val="both"/>
        <w:rPr>
          <w:rFonts w:eastAsia="Times New Roman"/>
          <w:b/>
          <w:sz w:val="24"/>
          <w:szCs w:val="24"/>
          <w:lang w:val="en-US"/>
        </w:rPr>
      </w:pPr>
      <w:r w:rsidRPr="00A6728C">
        <w:rPr>
          <w:rFonts w:eastAsia="Times New Roman"/>
          <w:b/>
          <w:sz w:val="24"/>
          <w:szCs w:val="24"/>
          <w:lang w:val="en-US"/>
        </w:rPr>
        <w:lastRenderedPageBreak/>
        <w:t>SUPPLEMENTARY FIGURES</w:t>
      </w:r>
    </w:p>
    <w:p w14:paraId="478F87E9" w14:textId="16298A33" w:rsidR="00643C93" w:rsidRPr="00A6728C" w:rsidRDefault="00B62641" w:rsidP="00FF546F">
      <w:pPr>
        <w:spacing w:after="200" w:line="480" w:lineRule="auto"/>
        <w:jc w:val="both"/>
        <w:rPr>
          <w:rFonts w:eastAsia="Times New Roman"/>
          <w:b/>
          <w:sz w:val="24"/>
          <w:szCs w:val="24"/>
        </w:rPr>
      </w:pPr>
      <w:r w:rsidRPr="00A6728C">
        <w:rPr>
          <w:rFonts w:eastAsia="Times New Roman"/>
          <w:b/>
          <w:sz w:val="24"/>
          <w:szCs w:val="24"/>
        </w:rPr>
        <w:t xml:space="preserve">Figure </w:t>
      </w:r>
      <w:r w:rsidR="008D2CE8">
        <w:rPr>
          <w:rFonts w:eastAsia="Times New Roman"/>
          <w:b/>
          <w:sz w:val="24"/>
          <w:szCs w:val="24"/>
        </w:rPr>
        <w:t>E</w:t>
      </w:r>
      <w:r w:rsidRPr="00A6728C">
        <w:rPr>
          <w:rFonts w:eastAsia="Times New Roman"/>
          <w:b/>
          <w:sz w:val="24"/>
          <w:szCs w:val="24"/>
        </w:rPr>
        <w:t xml:space="preserve">1: </w:t>
      </w:r>
      <w:r w:rsidR="008C33A8" w:rsidRPr="00A6728C">
        <w:rPr>
          <w:rFonts w:eastAsia="Times New Roman"/>
          <w:b/>
          <w:sz w:val="24"/>
          <w:szCs w:val="24"/>
        </w:rPr>
        <w:t xml:space="preserve">CONSORT </w:t>
      </w:r>
      <w:r w:rsidR="00242561" w:rsidRPr="00A6728C">
        <w:rPr>
          <w:rFonts w:eastAsia="Times New Roman"/>
          <w:b/>
          <w:sz w:val="24"/>
          <w:szCs w:val="24"/>
        </w:rPr>
        <w:t>diagram</w:t>
      </w:r>
      <w:r w:rsidR="0055736F" w:rsidRPr="00A6728C">
        <w:rPr>
          <w:rFonts w:eastAsia="Times New Roman"/>
          <w:b/>
          <w:sz w:val="24"/>
          <w:szCs w:val="24"/>
        </w:rPr>
        <w:t>.</w:t>
      </w:r>
      <w:r w:rsidR="00242561" w:rsidRPr="00A6728C">
        <w:rPr>
          <w:rFonts w:eastAsia="Times New Roman"/>
          <w:b/>
          <w:sz w:val="24"/>
          <w:szCs w:val="24"/>
        </w:rPr>
        <w:t xml:space="preserve"> </w:t>
      </w:r>
      <w:r w:rsidR="00643C93" w:rsidRPr="00A6728C">
        <w:rPr>
          <w:rFonts w:eastAsia="Times New Roman"/>
          <w:b/>
          <w:sz w:val="24"/>
          <w:szCs w:val="24"/>
        </w:rPr>
        <w:t>Flow chart of the study design.</w:t>
      </w:r>
    </w:p>
    <w:p w14:paraId="685DD5ED" w14:textId="12422DB5" w:rsidR="00643C93" w:rsidRPr="00A6728C" w:rsidRDefault="008C33A8" w:rsidP="00FF546F">
      <w:pPr>
        <w:spacing w:after="200" w:line="480" w:lineRule="auto"/>
        <w:jc w:val="both"/>
        <w:rPr>
          <w:rFonts w:ascii="Times New Roman" w:eastAsia="Times New Roman" w:hAnsi="Times New Roman" w:cs="Times New Roman"/>
          <w:b/>
          <w:sz w:val="24"/>
          <w:szCs w:val="24"/>
          <w:vertAlign w:val="superscript"/>
        </w:rPr>
      </w:pPr>
      <w:r w:rsidRPr="00A6728C">
        <w:rPr>
          <w:noProof/>
          <w:sz w:val="24"/>
          <w:szCs w:val="24"/>
          <w:lang w:val="en-US" w:eastAsia="en-US"/>
        </w:rPr>
        <w:drawing>
          <wp:inline distT="0" distB="0" distL="0" distR="0" wp14:anchorId="150A7DB1" wp14:editId="35390E04">
            <wp:extent cx="5943600" cy="471621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16217"/>
                    </a:xfrm>
                    <a:prstGeom prst="rect">
                      <a:avLst/>
                    </a:prstGeom>
                    <a:noFill/>
                    <a:ln>
                      <a:noFill/>
                    </a:ln>
                  </pic:spPr>
                </pic:pic>
              </a:graphicData>
            </a:graphic>
          </wp:inline>
        </w:drawing>
      </w:r>
    </w:p>
    <w:p w14:paraId="01060C8C" w14:textId="77777777" w:rsidR="005A2F02" w:rsidRPr="00A6728C" w:rsidRDefault="005A2F02" w:rsidP="00FF546F">
      <w:pPr>
        <w:jc w:val="both"/>
        <w:rPr>
          <w:rFonts w:ascii="Times New Roman" w:eastAsia="Times New Roman" w:hAnsi="Times New Roman" w:cs="Times New Roman"/>
          <w:b/>
          <w:sz w:val="24"/>
          <w:szCs w:val="24"/>
        </w:rPr>
      </w:pPr>
      <w:r w:rsidRPr="00A6728C">
        <w:rPr>
          <w:rFonts w:ascii="Times New Roman" w:eastAsia="Times New Roman" w:hAnsi="Times New Roman" w:cs="Times New Roman"/>
          <w:b/>
          <w:sz w:val="24"/>
          <w:szCs w:val="24"/>
        </w:rPr>
        <w:br w:type="page"/>
      </w:r>
    </w:p>
    <w:p w14:paraId="1D870368" w14:textId="4A95617D" w:rsidR="006207CE" w:rsidRPr="00A6728C" w:rsidRDefault="00643C93" w:rsidP="00FF546F">
      <w:pPr>
        <w:spacing w:after="200" w:line="360" w:lineRule="auto"/>
        <w:contextualSpacing/>
        <w:jc w:val="both"/>
        <w:rPr>
          <w:rFonts w:eastAsia="Times New Roman"/>
          <w:sz w:val="24"/>
          <w:szCs w:val="24"/>
        </w:rPr>
      </w:pPr>
      <w:r w:rsidRPr="00A6728C">
        <w:rPr>
          <w:rFonts w:eastAsia="Times New Roman"/>
          <w:b/>
          <w:sz w:val="24"/>
          <w:szCs w:val="24"/>
        </w:rPr>
        <w:lastRenderedPageBreak/>
        <w:t xml:space="preserve">Figure </w:t>
      </w:r>
      <w:r w:rsidR="008D2CE8">
        <w:rPr>
          <w:rFonts w:eastAsia="Times New Roman"/>
          <w:b/>
          <w:sz w:val="24"/>
          <w:szCs w:val="24"/>
        </w:rPr>
        <w:t>E</w:t>
      </w:r>
      <w:r w:rsidRPr="00A6728C">
        <w:rPr>
          <w:rFonts w:eastAsia="Times New Roman"/>
          <w:b/>
          <w:sz w:val="24"/>
          <w:szCs w:val="24"/>
        </w:rPr>
        <w:t xml:space="preserve">2: </w:t>
      </w:r>
      <w:r w:rsidR="00B62641" w:rsidRPr="00A6728C">
        <w:rPr>
          <w:rFonts w:eastAsia="Times New Roman"/>
          <w:b/>
          <w:sz w:val="24"/>
          <w:szCs w:val="24"/>
        </w:rPr>
        <w:t>Distribution of blood lymphocytes.</w:t>
      </w:r>
      <w:r w:rsidR="005E4085" w:rsidRPr="00A6728C">
        <w:rPr>
          <w:rFonts w:eastAsia="Times New Roman"/>
          <w:sz w:val="24"/>
          <w:szCs w:val="24"/>
        </w:rPr>
        <w:t xml:space="preserve"> </w:t>
      </w:r>
      <w:r w:rsidR="00FF282E" w:rsidRPr="00A6728C">
        <w:rPr>
          <w:rFonts w:eastAsia="Times New Roman"/>
          <w:sz w:val="24"/>
          <w:szCs w:val="24"/>
        </w:rPr>
        <w:t>Mean</w:t>
      </w:r>
      <w:r w:rsidR="00B62641" w:rsidRPr="00A6728C">
        <w:rPr>
          <w:rFonts w:eastAsia="Times New Roman"/>
          <w:sz w:val="24"/>
          <w:szCs w:val="24"/>
        </w:rPr>
        <w:t xml:space="preserve"> blood lymphocytes distri</w:t>
      </w:r>
      <w:r w:rsidR="00B11AA7" w:rsidRPr="00A6728C">
        <w:rPr>
          <w:rFonts w:eastAsia="Times New Roman"/>
          <w:sz w:val="24"/>
          <w:szCs w:val="24"/>
        </w:rPr>
        <w:t>butions in</w:t>
      </w:r>
      <w:r w:rsidR="002A5544" w:rsidRPr="00A6728C">
        <w:rPr>
          <w:rFonts w:eastAsia="Times New Roman"/>
          <w:sz w:val="24"/>
          <w:szCs w:val="24"/>
        </w:rPr>
        <w:t>:</w:t>
      </w:r>
    </w:p>
    <w:p w14:paraId="2594F555" w14:textId="23279372" w:rsidR="006207CE" w:rsidRPr="00A6728C" w:rsidRDefault="006207CE" w:rsidP="00FF546F">
      <w:pPr>
        <w:spacing w:after="200" w:line="360" w:lineRule="auto"/>
        <w:contextualSpacing/>
        <w:jc w:val="both"/>
        <w:rPr>
          <w:rFonts w:eastAsia="Times New Roman"/>
          <w:sz w:val="24"/>
          <w:szCs w:val="24"/>
        </w:rPr>
      </w:pPr>
      <w:r w:rsidRPr="00A6728C">
        <w:rPr>
          <w:rFonts w:eastAsia="Times New Roman"/>
          <w:b/>
          <w:sz w:val="24"/>
          <w:szCs w:val="24"/>
        </w:rPr>
        <w:t>Panel</w:t>
      </w:r>
      <w:r w:rsidR="002A5544" w:rsidRPr="00A6728C">
        <w:rPr>
          <w:rFonts w:eastAsia="Times New Roman"/>
          <w:b/>
          <w:sz w:val="24"/>
          <w:szCs w:val="24"/>
        </w:rPr>
        <w:t xml:space="preserve"> </w:t>
      </w:r>
      <w:r w:rsidR="00854623" w:rsidRPr="00A6728C">
        <w:rPr>
          <w:rFonts w:eastAsia="Times New Roman"/>
          <w:b/>
          <w:sz w:val="24"/>
          <w:szCs w:val="24"/>
        </w:rPr>
        <w:t>A)</w:t>
      </w:r>
      <w:r w:rsidR="00854623" w:rsidRPr="00A6728C">
        <w:rPr>
          <w:rFonts w:eastAsia="Times New Roman"/>
          <w:sz w:val="24"/>
          <w:szCs w:val="24"/>
        </w:rPr>
        <w:t xml:space="preserve"> subjects without COPD (noCOPD) (median, interquartile range: 2300, 1827-2920 cells/</w:t>
      </w:r>
      <w:r w:rsidR="00854623" w:rsidRPr="00A6728C">
        <w:rPr>
          <w:rFonts w:eastAsia="Calibri"/>
          <w:sz w:val="24"/>
          <w:szCs w:val="24"/>
        </w:rPr>
        <w:t>μ</w:t>
      </w:r>
      <w:r w:rsidR="00854623" w:rsidRPr="00A6728C">
        <w:rPr>
          <w:rFonts w:eastAsia="Times New Roman"/>
          <w:sz w:val="24"/>
          <w:szCs w:val="24"/>
        </w:rPr>
        <w:t>L).</w:t>
      </w:r>
    </w:p>
    <w:p w14:paraId="3445265B" w14:textId="2DB4A95D" w:rsidR="002C12A2" w:rsidRPr="00A6728C" w:rsidRDefault="006207CE" w:rsidP="00FF546F">
      <w:pPr>
        <w:spacing w:after="200" w:line="360" w:lineRule="auto"/>
        <w:contextualSpacing/>
        <w:jc w:val="both"/>
        <w:rPr>
          <w:rFonts w:eastAsia="Times New Roman"/>
          <w:sz w:val="24"/>
          <w:szCs w:val="24"/>
        </w:rPr>
      </w:pPr>
      <w:r w:rsidRPr="00A6728C">
        <w:rPr>
          <w:rFonts w:eastAsia="Times New Roman"/>
          <w:b/>
          <w:sz w:val="24"/>
          <w:szCs w:val="24"/>
        </w:rPr>
        <w:t>Panel</w:t>
      </w:r>
      <w:r w:rsidR="00A6728C" w:rsidRPr="00A6728C">
        <w:rPr>
          <w:rFonts w:eastAsia="Times New Roman"/>
          <w:b/>
          <w:sz w:val="24"/>
          <w:szCs w:val="24"/>
        </w:rPr>
        <w:t xml:space="preserve"> </w:t>
      </w:r>
      <w:r w:rsidR="00854623" w:rsidRPr="00A6728C">
        <w:rPr>
          <w:rFonts w:eastAsia="Times New Roman"/>
          <w:b/>
          <w:sz w:val="24"/>
          <w:szCs w:val="24"/>
        </w:rPr>
        <w:t>B)</w:t>
      </w:r>
      <w:r w:rsidR="00854623" w:rsidRPr="00A6728C">
        <w:rPr>
          <w:rFonts w:eastAsia="Times New Roman"/>
          <w:sz w:val="24"/>
          <w:szCs w:val="24"/>
        </w:rPr>
        <w:t xml:space="preserve"> subjects with COPD (COPD) (median, interquartile range: 1880, 1495-2420 cells/</w:t>
      </w:r>
      <w:r w:rsidR="00854623" w:rsidRPr="00A6728C">
        <w:rPr>
          <w:rFonts w:eastAsia="Calibri"/>
          <w:sz w:val="24"/>
          <w:szCs w:val="24"/>
        </w:rPr>
        <w:t>μ</w:t>
      </w:r>
      <w:r w:rsidR="00854623" w:rsidRPr="00A6728C">
        <w:rPr>
          <w:rFonts w:eastAsia="Times New Roman"/>
          <w:sz w:val="24"/>
          <w:szCs w:val="24"/>
        </w:rPr>
        <w:t>L).</w:t>
      </w:r>
      <w:r w:rsidR="002A5544" w:rsidRPr="00A6728C">
        <w:rPr>
          <w:rFonts w:eastAsia="Times New Roman"/>
          <w:sz w:val="24"/>
          <w:szCs w:val="24"/>
        </w:rPr>
        <w:t xml:space="preserve"> </w:t>
      </w:r>
    </w:p>
    <w:p w14:paraId="50FAB9ED" w14:textId="77777777" w:rsidR="00744FF6" w:rsidRPr="00A6728C" w:rsidRDefault="00744FF6" w:rsidP="00FF546F">
      <w:pPr>
        <w:spacing w:line="480" w:lineRule="auto"/>
        <w:jc w:val="both"/>
        <w:rPr>
          <w:rFonts w:ascii="Times New Roman" w:eastAsia="Times New Roman" w:hAnsi="Times New Roman" w:cs="Times New Roman"/>
          <w:b/>
          <w:sz w:val="24"/>
          <w:szCs w:val="24"/>
          <w:lang w:val="en-US"/>
        </w:rPr>
      </w:pPr>
    </w:p>
    <w:p w14:paraId="3DBB9B08" w14:textId="13830F58" w:rsidR="00744FF6" w:rsidRPr="00A6728C" w:rsidRDefault="00744FF6" w:rsidP="00FF546F">
      <w:pPr>
        <w:spacing w:line="480" w:lineRule="auto"/>
        <w:jc w:val="both"/>
        <w:rPr>
          <w:rFonts w:ascii="Times New Roman" w:eastAsia="Times New Roman" w:hAnsi="Times New Roman" w:cs="Times New Roman"/>
          <w:b/>
          <w:sz w:val="24"/>
          <w:szCs w:val="24"/>
          <w:lang w:val="en-US"/>
        </w:rPr>
      </w:pPr>
    </w:p>
    <w:p w14:paraId="613744E4" w14:textId="25F04C8E" w:rsidR="00744FF6" w:rsidRPr="00A6728C" w:rsidRDefault="006B188E" w:rsidP="00FF546F">
      <w:pPr>
        <w:spacing w:line="480" w:lineRule="auto"/>
        <w:jc w:val="both"/>
        <w:rPr>
          <w:rFonts w:ascii="Times New Roman" w:eastAsia="Times New Roman" w:hAnsi="Times New Roman" w:cs="Times New Roman"/>
          <w:b/>
          <w:sz w:val="24"/>
          <w:szCs w:val="24"/>
          <w:lang w:val="en-US"/>
        </w:rPr>
      </w:pPr>
      <w:r w:rsidRPr="00A6728C">
        <w:rPr>
          <w:noProof/>
          <w:sz w:val="24"/>
          <w:szCs w:val="24"/>
          <w:lang w:val="en-US" w:eastAsia="en-US"/>
        </w:rPr>
        <w:drawing>
          <wp:anchor distT="0" distB="0" distL="114300" distR="114300" simplePos="0" relativeHeight="251658752" behindDoc="0" locked="0" layoutInCell="1" allowOverlap="1" wp14:anchorId="63DDFC5E" wp14:editId="7CBD50A0">
            <wp:simplePos x="0" y="0"/>
            <wp:positionH relativeFrom="column">
              <wp:posOffset>514350</wp:posOffset>
            </wp:positionH>
            <wp:positionV relativeFrom="paragraph">
              <wp:posOffset>289560</wp:posOffset>
            </wp:positionV>
            <wp:extent cx="4711700" cy="233680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2983" t="27112" r="43733" b="34644"/>
                    <a:stretch/>
                  </pic:blipFill>
                  <pic:spPr bwMode="auto">
                    <a:xfrm>
                      <a:off x="0" y="0"/>
                      <a:ext cx="4711700" cy="2336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05AC781" w14:textId="31DD3874" w:rsidR="00744FF6" w:rsidRPr="00A6728C" w:rsidRDefault="00744FF6" w:rsidP="00FF546F">
      <w:pPr>
        <w:spacing w:line="480" w:lineRule="auto"/>
        <w:jc w:val="both"/>
        <w:rPr>
          <w:rFonts w:ascii="Times New Roman" w:eastAsia="Times New Roman" w:hAnsi="Times New Roman" w:cs="Times New Roman"/>
          <w:b/>
          <w:sz w:val="24"/>
          <w:szCs w:val="24"/>
          <w:lang w:val="en-US"/>
        </w:rPr>
      </w:pPr>
    </w:p>
    <w:p w14:paraId="55A4702F" w14:textId="3B4AEE20" w:rsidR="00744FF6" w:rsidRPr="00A6728C" w:rsidRDefault="00744FF6" w:rsidP="00FF546F">
      <w:pPr>
        <w:spacing w:line="480" w:lineRule="auto"/>
        <w:jc w:val="both"/>
        <w:rPr>
          <w:rFonts w:ascii="Times New Roman" w:eastAsia="Times New Roman" w:hAnsi="Times New Roman" w:cs="Times New Roman"/>
          <w:b/>
          <w:sz w:val="24"/>
          <w:szCs w:val="24"/>
          <w:lang w:val="en-US"/>
        </w:rPr>
      </w:pPr>
    </w:p>
    <w:p w14:paraId="2070B07D" w14:textId="2A639F0E" w:rsidR="00744FF6" w:rsidRPr="00A6728C" w:rsidRDefault="00744FF6" w:rsidP="00FF546F">
      <w:pPr>
        <w:spacing w:line="480" w:lineRule="auto"/>
        <w:jc w:val="both"/>
        <w:rPr>
          <w:rFonts w:ascii="Times New Roman" w:eastAsia="Times New Roman" w:hAnsi="Times New Roman" w:cs="Times New Roman"/>
          <w:b/>
          <w:sz w:val="24"/>
          <w:szCs w:val="24"/>
          <w:lang w:val="en-US"/>
        </w:rPr>
      </w:pPr>
    </w:p>
    <w:p w14:paraId="1DF8725E" w14:textId="5EB8D9EB" w:rsidR="00744FF6" w:rsidRPr="00A6728C" w:rsidRDefault="00744FF6" w:rsidP="00FF546F">
      <w:pPr>
        <w:spacing w:line="480" w:lineRule="auto"/>
        <w:jc w:val="both"/>
        <w:rPr>
          <w:rFonts w:ascii="Times New Roman" w:eastAsia="Times New Roman" w:hAnsi="Times New Roman" w:cs="Times New Roman"/>
          <w:b/>
          <w:sz w:val="24"/>
          <w:szCs w:val="24"/>
          <w:lang w:val="en-US"/>
        </w:rPr>
      </w:pPr>
    </w:p>
    <w:p w14:paraId="3DFC119B" w14:textId="77777777" w:rsidR="00453CCC" w:rsidRPr="00A6728C" w:rsidRDefault="00453CCC" w:rsidP="00FF546F">
      <w:pPr>
        <w:jc w:val="both"/>
        <w:rPr>
          <w:rFonts w:eastAsia="Times New Roman"/>
          <w:b/>
          <w:color w:val="000000" w:themeColor="text1"/>
          <w:sz w:val="24"/>
          <w:szCs w:val="24"/>
          <w:lang w:val="en-US"/>
        </w:rPr>
      </w:pPr>
      <w:r w:rsidRPr="00A6728C">
        <w:rPr>
          <w:rFonts w:eastAsia="Times New Roman"/>
          <w:b/>
          <w:color w:val="000000" w:themeColor="text1"/>
          <w:sz w:val="24"/>
          <w:szCs w:val="24"/>
          <w:lang w:val="en-US"/>
        </w:rPr>
        <w:br w:type="page"/>
      </w:r>
    </w:p>
    <w:p w14:paraId="1335EC17" w14:textId="58F3E738" w:rsidR="00744FF6" w:rsidRPr="00A6728C" w:rsidRDefault="008D2CE8" w:rsidP="00FF546F">
      <w:pPr>
        <w:spacing w:line="360" w:lineRule="auto"/>
        <w:jc w:val="both"/>
        <w:rPr>
          <w:rFonts w:eastAsia="Times New Roman"/>
          <w:color w:val="000000" w:themeColor="text1"/>
          <w:sz w:val="24"/>
          <w:szCs w:val="24"/>
          <w:lang w:val="en-US"/>
        </w:rPr>
      </w:pPr>
      <w:r>
        <w:rPr>
          <w:rFonts w:eastAsia="Times New Roman"/>
          <w:b/>
          <w:color w:val="000000" w:themeColor="text1"/>
          <w:sz w:val="24"/>
          <w:szCs w:val="24"/>
          <w:lang w:val="en-US"/>
        </w:rPr>
        <w:lastRenderedPageBreak/>
        <w:t>Figure E</w:t>
      </w:r>
      <w:r w:rsidR="00643C93" w:rsidRPr="00A6728C">
        <w:rPr>
          <w:rFonts w:eastAsia="Times New Roman"/>
          <w:b/>
          <w:color w:val="000000" w:themeColor="text1"/>
          <w:sz w:val="24"/>
          <w:szCs w:val="24"/>
          <w:lang w:val="en-US"/>
        </w:rPr>
        <w:t>3</w:t>
      </w:r>
      <w:r w:rsidR="00B62641" w:rsidRPr="00A6728C">
        <w:rPr>
          <w:rFonts w:eastAsia="Times New Roman"/>
          <w:b/>
          <w:color w:val="000000" w:themeColor="text1"/>
          <w:sz w:val="24"/>
          <w:szCs w:val="24"/>
          <w:lang w:val="en-US"/>
        </w:rPr>
        <w:t xml:space="preserve">. </w:t>
      </w:r>
      <w:r w:rsidR="00BA46DB" w:rsidRPr="00A6728C">
        <w:rPr>
          <w:rFonts w:eastAsia="Times New Roman"/>
          <w:b/>
          <w:color w:val="000000" w:themeColor="text1"/>
          <w:sz w:val="24"/>
          <w:szCs w:val="24"/>
          <w:lang w:val="en-US"/>
        </w:rPr>
        <w:t xml:space="preserve">FACS analysis of lymphocyte </w:t>
      </w:r>
      <w:r w:rsidR="007C50D3" w:rsidRPr="00A6728C">
        <w:rPr>
          <w:rFonts w:eastAsia="Times New Roman"/>
          <w:b/>
          <w:color w:val="000000" w:themeColor="text1"/>
          <w:sz w:val="24"/>
          <w:szCs w:val="24"/>
          <w:lang w:val="en-US"/>
        </w:rPr>
        <w:t>subsets</w:t>
      </w:r>
      <w:r w:rsidR="00AD66EF" w:rsidRPr="00A6728C">
        <w:rPr>
          <w:rFonts w:eastAsia="Times New Roman"/>
          <w:b/>
          <w:color w:val="000000" w:themeColor="text1"/>
          <w:sz w:val="24"/>
          <w:szCs w:val="24"/>
          <w:lang w:val="en-US"/>
        </w:rPr>
        <w:t xml:space="preserve"> and NK cells</w:t>
      </w:r>
      <w:r w:rsidR="002A4308" w:rsidRPr="00A6728C">
        <w:rPr>
          <w:rFonts w:eastAsia="Times New Roman"/>
          <w:b/>
          <w:color w:val="000000" w:themeColor="text1"/>
          <w:sz w:val="24"/>
          <w:szCs w:val="24"/>
          <w:lang w:val="en-US"/>
        </w:rPr>
        <w:t>.</w:t>
      </w:r>
      <w:r w:rsidR="0030637F" w:rsidRPr="00A6728C">
        <w:rPr>
          <w:rFonts w:eastAsia="Times New Roman"/>
          <w:b/>
          <w:color w:val="000000" w:themeColor="text1"/>
          <w:sz w:val="24"/>
          <w:szCs w:val="24"/>
          <w:lang w:val="en-US"/>
        </w:rPr>
        <w:t xml:space="preserve"> </w:t>
      </w:r>
      <w:r w:rsidR="00AD66EF" w:rsidRPr="00A6728C">
        <w:rPr>
          <w:rFonts w:eastAsia="Times New Roman"/>
          <w:color w:val="000000" w:themeColor="text1"/>
          <w:sz w:val="24"/>
          <w:szCs w:val="24"/>
          <w:lang w:val="en-US"/>
        </w:rPr>
        <w:t>FACS analysis</w:t>
      </w:r>
      <w:r w:rsidR="00AD66EF" w:rsidRPr="00A6728C">
        <w:rPr>
          <w:rFonts w:eastAsia="Times New Roman"/>
          <w:b/>
          <w:color w:val="000000" w:themeColor="text1"/>
          <w:sz w:val="24"/>
          <w:szCs w:val="24"/>
          <w:lang w:val="en-US"/>
        </w:rPr>
        <w:t xml:space="preserve"> </w:t>
      </w:r>
      <w:r w:rsidR="00B62641" w:rsidRPr="00A6728C">
        <w:rPr>
          <w:rFonts w:eastAsia="Times New Roman"/>
          <w:color w:val="000000" w:themeColor="text1"/>
          <w:sz w:val="24"/>
          <w:szCs w:val="24"/>
          <w:lang w:val="en-US"/>
        </w:rPr>
        <w:t>in</w:t>
      </w:r>
      <w:r w:rsidR="00AD66EF" w:rsidRPr="00A6728C">
        <w:rPr>
          <w:rFonts w:eastAsia="Times New Roman"/>
          <w:color w:val="000000" w:themeColor="text1"/>
          <w:sz w:val="24"/>
          <w:szCs w:val="24"/>
          <w:lang w:val="en-US"/>
        </w:rPr>
        <w:t xml:space="preserve"> subjects without </w:t>
      </w:r>
      <w:r w:rsidR="00B62641" w:rsidRPr="00A6728C">
        <w:rPr>
          <w:rFonts w:eastAsia="Times New Roman"/>
          <w:color w:val="000000" w:themeColor="text1"/>
          <w:sz w:val="24"/>
          <w:szCs w:val="24"/>
          <w:lang w:val="en-US"/>
        </w:rPr>
        <w:t>COPD</w:t>
      </w:r>
      <w:r w:rsidR="00AD66EF" w:rsidRPr="00A6728C">
        <w:rPr>
          <w:rFonts w:eastAsia="Times New Roman"/>
          <w:color w:val="000000" w:themeColor="text1"/>
          <w:sz w:val="24"/>
          <w:szCs w:val="24"/>
          <w:lang w:val="en-US"/>
        </w:rPr>
        <w:t xml:space="preserve"> (Panel A) and subjects with COPD (Panel B) divided in subgroups according</w:t>
      </w:r>
      <w:r w:rsidR="00BA709A" w:rsidRPr="00A6728C">
        <w:rPr>
          <w:rFonts w:eastAsia="Times New Roman"/>
          <w:color w:val="000000" w:themeColor="text1"/>
          <w:sz w:val="24"/>
          <w:szCs w:val="24"/>
          <w:lang w:val="en-US"/>
        </w:rPr>
        <w:t xml:space="preserve"> </w:t>
      </w:r>
      <w:r w:rsidR="00AD66EF" w:rsidRPr="00A6728C">
        <w:rPr>
          <w:rFonts w:eastAsia="Times New Roman"/>
          <w:color w:val="000000" w:themeColor="text1"/>
          <w:sz w:val="24"/>
          <w:szCs w:val="24"/>
          <w:lang w:val="en-US"/>
        </w:rPr>
        <w:t>to</w:t>
      </w:r>
      <w:r w:rsidR="00B11AA7" w:rsidRPr="00A6728C">
        <w:rPr>
          <w:rFonts w:eastAsia="Times New Roman"/>
          <w:color w:val="000000" w:themeColor="text1"/>
          <w:sz w:val="24"/>
          <w:szCs w:val="24"/>
          <w:lang w:val="en-US"/>
        </w:rPr>
        <w:t xml:space="preserve"> </w:t>
      </w:r>
      <w:r w:rsidR="00AD66EF" w:rsidRPr="00A6728C">
        <w:rPr>
          <w:rFonts w:eastAsia="Times New Roman"/>
          <w:color w:val="000000" w:themeColor="text1"/>
          <w:sz w:val="24"/>
          <w:szCs w:val="24"/>
          <w:lang w:val="en-US"/>
        </w:rPr>
        <w:t xml:space="preserve">high and low BL. </w:t>
      </w:r>
      <w:r w:rsidR="00A6728C" w:rsidRPr="00A6728C">
        <w:rPr>
          <w:rFonts w:eastAsia="Times New Roman"/>
          <w:color w:val="000000" w:themeColor="text1"/>
          <w:sz w:val="24"/>
          <w:szCs w:val="24"/>
          <w:lang w:val="en-US"/>
        </w:rPr>
        <w:t>P</w:t>
      </w:r>
      <w:r w:rsidR="00AD66EF" w:rsidRPr="00A6728C">
        <w:rPr>
          <w:rFonts w:eastAsia="Times New Roman"/>
          <w:color w:val="000000" w:themeColor="text1"/>
          <w:sz w:val="24"/>
          <w:szCs w:val="24"/>
          <w:lang w:val="en-US"/>
        </w:rPr>
        <w:t>anel</w:t>
      </w:r>
      <w:r w:rsidR="00A6728C" w:rsidRPr="00A6728C">
        <w:rPr>
          <w:rFonts w:eastAsia="Times New Roman"/>
          <w:color w:val="000000" w:themeColor="text1"/>
          <w:sz w:val="24"/>
          <w:szCs w:val="24"/>
          <w:lang w:val="en-US"/>
        </w:rPr>
        <w:t>s</w:t>
      </w:r>
      <w:r w:rsidR="00AD66EF" w:rsidRPr="00A6728C">
        <w:rPr>
          <w:rFonts w:eastAsia="Times New Roman"/>
          <w:color w:val="000000" w:themeColor="text1"/>
          <w:sz w:val="24"/>
          <w:szCs w:val="24"/>
          <w:lang w:val="en-US"/>
        </w:rPr>
        <w:t xml:space="preserve"> show: </w:t>
      </w:r>
      <w:r w:rsidR="008B7869" w:rsidRPr="00A6728C">
        <w:rPr>
          <w:rFonts w:eastAsia="Times New Roman"/>
          <w:color w:val="000000" w:themeColor="text1"/>
          <w:sz w:val="24"/>
          <w:szCs w:val="24"/>
          <w:lang w:val="en-US"/>
        </w:rPr>
        <w:t>a</w:t>
      </w:r>
      <w:r w:rsidR="00940E9C" w:rsidRPr="00A6728C">
        <w:rPr>
          <w:rFonts w:eastAsia="Times New Roman"/>
          <w:color w:val="000000" w:themeColor="text1"/>
          <w:sz w:val="24"/>
          <w:szCs w:val="24"/>
          <w:lang w:val="en-US"/>
        </w:rPr>
        <w:t>)</w:t>
      </w:r>
      <w:r w:rsidR="00AD66EF" w:rsidRPr="00A6728C">
        <w:rPr>
          <w:rFonts w:eastAsia="Times New Roman"/>
          <w:color w:val="000000" w:themeColor="text1"/>
          <w:sz w:val="24"/>
          <w:szCs w:val="24"/>
          <w:lang w:val="en-US"/>
        </w:rPr>
        <w:t xml:space="preserve"> p</w:t>
      </w:r>
      <w:r w:rsidR="00B62641" w:rsidRPr="00A6728C">
        <w:rPr>
          <w:rFonts w:eastAsia="Times New Roman"/>
          <w:color w:val="000000" w:themeColor="text1"/>
          <w:sz w:val="24"/>
          <w:szCs w:val="24"/>
          <w:lang w:val="en-US"/>
        </w:rPr>
        <w:t xml:space="preserve">ercentage </w:t>
      </w:r>
      <w:r w:rsidR="007C50D3" w:rsidRPr="00A6728C">
        <w:rPr>
          <w:rFonts w:eastAsia="Times New Roman"/>
          <w:color w:val="000000" w:themeColor="text1"/>
          <w:sz w:val="24"/>
          <w:szCs w:val="24"/>
          <w:lang w:val="en-US"/>
        </w:rPr>
        <w:t>of CD</w:t>
      </w:r>
      <w:r w:rsidR="00C349B2" w:rsidRPr="00A6728C">
        <w:rPr>
          <w:rFonts w:eastAsia="Times New Roman"/>
          <w:color w:val="000000" w:themeColor="text1"/>
          <w:sz w:val="24"/>
          <w:szCs w:val="24"/>
          <w:lang w:val="en-US"/>
        </w:rPr>
        <w:t>4</w:t>
      </w:r>
      <w:r w:rsidR="007C50D3" w:rsidRPr="00A6728C">
        <w:rPr>
          <w:rFonts w:eastAsia="Times New Roman"/>
          <w:color w:val="000000" w:themeColor="text1"/>
          <w:sz w:val="24"/>
          <w:szCs w:val="24"/>
          <w:lang w:val="en-US"/>
        </w:rPr>
        <w:t>+ and CD</w:t>
      </w:r>
      <w:r w:rsidR="00C349B2" w:rsidRPr="00A6728C">
        <w:rPr>
          <w:rFonts w:eastAsia="Times New Roman"/>
          <w:color w:val="000000" w:themeColor="text1"/>
          <w:sz w:val="24"/>
          <w:szCs w:val="24"/>
          <w:lang w:val="en-US"/>
        </w:rPr>
        <w:t>8</w:t>
      </w:r>
      <w:r w:rsidR="007C50D3" w:rsidRPr="00A6728C">
        <w:rPr>
          <w:rFonts w:eastAsia="Times New Roman"/>
          <w:color w:val="000000" w:themeColor="text1"/>
          <w:sz w:val="24"/>
          <w:szCs w:val="24"/>
          <w:lang w:val="en-US"/>
        </w:rPr>
        <w:t>+ cells</w:t>
      </w:r>
      <w:r w:rsidR="00940E9C" w:rsidRPr="00A6728C">
        <w:rPr>
          <w:rFonts w:eastAsia="Times New Roman"/>
          <w:color w:val="000000" w:themeColor="text1"/>
          <w:sz w:val="24"/>
          <w:szCs w:val="24"/>
          <w:lang w:val="en-US"/>
        </w:rPr>
        <w:t xml:space="preserve">; </w:t>
      </w:r>
      <w:r w:rsidR="008B7869" w:rsidRPr="00A6728C">
        <w:rPr>
          <w:rFonts w:eastAsia="Times New Roman"/>
          <w:color w:val="000000" w:themeColor="text1"/>
          <w:sz w:val="24"/>
          <w:szCs w:val="24"/>
          <w:lang w:val="en-US"/>
        </w:rPr>
        <w:t>b</w:t>
      </w:r>
      <w:r w:rsidR="00940E9C" w:rsidRPr="00A6728C">
        <w:rPr>
          <w:rFonts w:eastAsia="Times New Roman"/>
          <w:color w:val="000000" w:themeColor="text1"/>
          <w:sz w:val="24"/>
          <w:szCs w:val="24"/>
          <w:lang w:val="en-US"/>
        </w:rPr>
        <w:t>)</w:t>
      </w:r>
      <w:r w:rsidR="00D52080" w:rsidRPr="00A6728C">
        <w:rPr>
          <w:rFonts w:eastAsia="Times New Roman"/>
          <w:color w:val="000000" w:themeColor="text1"/>
          <w:sz w:val="24"/>
          <w:szCs w:val="24"/>
          <w:lang w:val="en-US"/>
        </w:rPr>
        <w:t xml:space="preserve"> </w:t>
      </w:r>
      <w:r w:rsidR="00B62641" w:rsidRPr="00A6728C">
        <w:rPr>
          <w:rFonts w:eastAsia="Times New Roman"/>
          <w:color w:val="000000" w:themeColor="text1"/>
          <w:sz w:val="24"/>
          <w:szCs w:val="24"/>
          <w:lang w:val="en-US"/>
        </w:rPr>
        <w:t xml:space="preserve">CD4/CD8 ratio and </w:t>
      </w:r>
      <w:r w:rsidR="008B7869" w:rsidRPr="00A6728C">
        <w:rPr>
          <w:rFonts w:eastAsia="Times New Roman"/>
          <w:color w:val="000000" w:themeColor="text1"/>
          <w:sz w:val="24"/>
          <w:szCs w:val="24"/>
          <w:lang w:val="en-US"/>
        </w:rPr>
        <w:t>c</w:t>
      </w:r>
      <w:r w:rsidR="00940E9C" w:rsidRPr="00A6728C">
        <w:rPr>
          <w:rFonts w:eastAsia="Times New Roman"/>
          <w:color w:val="000000" w:themeColor="text1"/>
          <w:sz w:val="24"/>
          <w:szCs w:val="24"/>
          <w:lang w:val="en-US"/>
        </w:rPr>
        <w:t>)</w:t>
      </w:r>
      <w:r w:rsidR="00D52080" w:rsidRPr="00A6728C">
        <w:rPr>
          <w:rFonts w:eastAsia="Times New Roman"/>
          <w:color w:val="000000" w:themeColor="text1"/>
          <w:sz w:val="24"/>
          <w:szCs w:val="24"/>
          <w:lang w:val="en-US"/>
        </w:rPr>
        <w:t xml:space="preserve"> </w:t>
      </w:r>
      <w:r w:rsidR="00B62641" w:rsidRPr="00A6728C">
        <w:rPr>
          <w:rFonts w:eastAsia="Times New Roman"/>
          <w:color w:val="000000" w:themeColor="text1"/>
          <w:sz w:val="24"/>
          <w:szCs w:val="24"/>
          <w:lang w:val="en-US"/>
        </w:rPr>
        <w:t>percentage of B cells and NK cells</w:t>
      </w:r>
      <w:r w:rsidR="00D52080" w:rsidRPr="00A6728C">
        <w:rPr>
          <w:rFonts w:eastAsia="Times New Roman"/>
          <w:color w:val="000000" w:themeColor="text1"/>
          <w:sz w:val="24"/>
          <w:szCs w:val="24"/>
          <w:lang w:val="en-US"/>
        </w:rPr>
        <w:t>.</w:t>
      </w:r>
      <w:r w:rsidR="005E4085" w:rsidRPr="00A6728C">
        <w:rPr>
          <w:rFonts w:eastAsia="Times New Roman"/>
          <w:color w:val="000000" w:themeColor="text1"/>
          <w:sz w:val="24"/>
          <w:szCs w:val="24"/>
          <w:lang w:val="en-US"/>
        </w:rPr>
        <w:t xml:space="preserve"> </w:t>
      </w:r>
    </w:p>
    <w:p w14:paraId="5F0E4F67" w14:textId="77777777" w:rsidR="00C85DD6" w:rsidRPr="00A6728C" w:rsidRDefault="00C85DD6" w:rsidP="00FF546F">
      <w:pPr>
        <w:spacing w:line="360" w:lineRule="auto"/>
        <w:jc w:val="both"/>
        <w:rPr>
          <w:rFonts w:eastAsia="Times New Roman"/>
          <w:color w:val="000000" w:themeColor="text1"/>
          <w:sz w:val="24"/>
          <w:szCs w:val="24"/>
          <w:lang w:val="en-US"/>
        </w:rPr>
      </w:pPr>
    </w:p>
    <w:p w14:paraId="7BD272EE" w14:textId="70BEB878" w:rsidR="000F6151" w:rsidRPr="00A6728C" w:rsidRDefault="00C404E8" w:rsidP="00FF546F">
      <w:pPr>
        <w:spacing w:line="480" w:lineRule="auto"/>
        <w:jc w:val="both"/>
        <w:rPr>
          <w:rFonts w:ascii="Times New Roman" w:eastAsia="Times New Roman" w:hAnsi="Times New Roman" w:cs="Times New Roman"/>
          <w:b/>
          <w:sz w:val="24"/>
          <w:szCs w:val="24"/>
        </w:rPr>
      </w:pPr>
      <w:r w:rsidRPr="00A6728C">
        <w:rPr>
          <w:noProof/>
          <w:sz w:val="24"/>
          <w:szCs w:val="24"/>
          <w:lang w:val="en-US" w:eastAsia="en-US"/>
        </w:rPr>
        <w:drawing>
          <wp:inline distT="0" distB="0" distL="0" distR="0" wp14:anchorId="15EE69CC" wp14:editId="2ED8EC55">
            <wp:extent cx="4936273" cy="324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273" cy="3240000"/>
                    </a:xfrm>
                    <a:prstGeom prst="rect">
                      <a:avLst/>
                    </a:prstGeom>
                    <a:noFill/>
                    <a:ln>
                      <a:noFill/>
                    </a:ln>
                  </pic:spPr>
                </pic:pic>
              </a:graphicData>
            </a:graphic>
          </wp:inline>
        </w:drawing>
      </w:r>
      <w:r w:rsidRPr="00A6728C">
        <w:rPr>
          <w:noProof/>
          <w:sz w:val="24"/>
          <w:szCs w:val="24"/>
          <w:lang w:val="en-US" w:eastAsia="en-US"/>
        </w:rPr>
        <w:drawing>
          <wp:inline distT="0" distB="0" distL="0" distR="0" wp14:anchorId="08993675" wp14:editId="221EC942">
            <wp:extent cx="5056929" cy="3240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929" cy="3240000"/>
                    </a:xfrm>
                    <a:prstGeom prst="rect">
                      <a:avLst/>
                    </a:prstGeom>
                    <a:noFill/>
                    <a:ln>
                      <a:noFill/>
                    </a:ln>
                  </pic:spPr>
                </pic:pic>
              </a:graphicData>
            </a:graphic>
          </wp:inline>
        </w:drawing>
      </w:r>
    </w:p>
    <w:p w14:paraId="0E0D4503" w14:textId="4E26884A" w:rsidR="00A6728C" w:rsidRDefault="007B443C" w:rsidP="00FF546F">
      <w:pPr>
        <w:spacing w:line="360" w:lineRule="auto"/>
        <w:jc w:val="both"/>
        <w:rPr>
          <w:rFonts w:eastAsia="Times New Roman"/>
          <w:sz w:val="24"/>
          <w:szCs w:val="24"/>
        </w:rPr>
      </w:pPr>
      <w:r w:rsidRPr="00A6728C">
        <w:rPr>
          <w:noProof/>
          <w:sz w:val="24"/>
          <w:szCs w:val="24"/>
          <w:lang w:val="en-US" w:eastAsia="en-US"/>
        </w:rPr>
        <w:lastRenderedPageBreak/>
        <w:drawing>
          <wp:anchor distT="0" distB="0" distL="114300" distR="114300" simplePos="0" relativeHeight="251656192" behindDoc="0" locked="0" layoutInCell="1" allowOverlap="1" wp14:anchorId="2C7097F3" wp14:editId="4C12CF23">
            <wp:simplePos x="0" y="0"/>
            <wp:positionH relativeFrom="column">
              <wp:posOffset>-778007</wp:posOffset>
            </wp:positionH>
            <wp:positionV relativeFrom="paragraph">
              <wp:posOffset>3165475</wp:posOffset>
            </wp:positionV>
            <wp:extent cx="7411894" cy="2527540"/>
            <wp:effectExtent l="0" t="0" r="0" b="635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9065" b="20223"/>
                    <a:stretch/>
                  </pic:blipFill>
                  <pic:spPr bwMode="auto">
                    <a:xfrm>
                      <a:off x="0" y="0"/>
                      <a:ext cx="7411894" cy="25275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62641" w:rsidRPr="00A6728C">
        <w:rPr>
          <w:rFonts w:eastAsia="Times New Roman"/>
          <w:b/>
          <w:sz w:val="24"/>
          <w:szCs w:val="24"/>
        </w:rPr>
        <w:t xml:space="preserve">Figure </w:t>
      </w:r>
      <w:r w:rsidR="008D2CE8">
        <w:rPr>
          <w:rFonts w:eastAsia="Times New Roman"/>
          <w:b/>
          <w:sz w:val="24"/>
          <w:szCs w:val="24"/>
        </w:rPr>
        <w:t>E</w:t>
      </w:r>
      <w:r w:rsidR="00643C93" w:rsidRPr="00A6728C">
        <w:rPr>
          <w:rFonts w:eastAsia="Times New Roman"/>
          <w:b/>
          <w:sz w:val="24"/>
          <w:szCs w:val="24"/>
        </w:rPr>
        <w:t>4</w:t>
      </w:r>
      <w:r w:rsidR="00B62641" w:rsidRPr="00A6728C">
        <w:rPr>
          <w:rFonts w:eastAsia="Times New Roman"/>
          <w:b/>
          <w:sz w:val="24"/>
          <w:szCs w:val="24"/>
        </w:rPr>
        <w:t xml:space="preserve">. Dyspnea in smokers with and without COPD. </w:t>
      </w:r>
      <w:r w:rsidR="00B62641" w:rsidRPr="00A6728C">
        <w:rPr>
          <w:rFonts w:eastAsia="Times New Roman"/>
          <w:sz w:val="24"/>
          <w:szCs w:val="24"/>
        </w:rPr>
        <w:t xml:space="preserve">Percentage of smokers with a dyspnea score (mMRC) </w:t>
      </w:r>
      <w:r w:rsidR="009A3EED" w:rsidRPr="00A6728C">
        <w:rPr>
          <w:rFonts w:eastAsia="Times New Roman"/>
          <w:sz w:val="24"/>
          <w:szCs w:val="24"/>
        </w:rPr>
        <w:t>≥</w:t>
      </w:r>
      <w:r w:rsidR="00EA2783" w:rsidRPr="00A6728C">
        <w:rPr>
          <w:rFonts w:eastAsia="Times New Roman"/>
          <w:sz w:val="24"/>
          <w:szCs w:val="24"/>
        </w:rPr>
        <w:t>2 in</w:t>
      </w:r>
      <w:r w:rsidR="002A5544" w:rsidRPr="00A6728C">
        <w:rPr>
          <w:rFonts w:eastAsia="Times New Roman"/>
          <w:sz w:val="24"/>
          <w:szCs w:val="24"/>
        </w:rPr>
        <w:t>:</w:t>
      </w:r>
    </w:p>
    <w:p w14:paraId="2CBB5FFD" w14:textId="77777777" w:rsidR="00A6728C" w:rsidRDefault="00A6728C" w:rsidP="00FF546F">
      <w:pPr>
        <w:spacing w:line="360" w:lineRule="auto"/>
        <w:jc w:val="both"/>
        <w:rPr>
          <w:rFonts w:eastAsia="Times New Roman"/>
          <w:sz w:val="24"/>
          <w:szCs w:val="24"/>
        </w:rPr>
      </w:pPr>
      <w:r w:rsidRPr="00A6728C">
        <w:rPr>
          <w:rFonts w:eastAsia="Times New Roman"/>
          <w:b/>
          <w:sz w:val="24"/>
          <w:szCs w:val="24"/>
        </w:rPr>
        <w:t xml:space="preserve">Panel </w:t>
      </w:r>
      <w:r w:rsidR="00B62641" w:rsidRPr="00A6728C">
        <w:rPr>
          <w:rFonts w:eastAsia="Times New Roman"/>
          <w:b/>
          <w:sz w:val="24"/>
          <w:szCs w:val="24"/>
        </w:rPr>
        <w:t>A)</w:t>
      </w:r>
      <w:r w:rsidR="00B62641" w:rsidRPr="00A6728C">
        <w:rPr>
          <w:rFonts w:eastAsia="Times New Roman"/>
          <w:sz w:val="24"/>
          <w:szCs w:val="24"/>
        </w:rPr>
        <w:t xml:space="preserve"> smokers with</w:t>
      </w:r>
      <w:r w:rsidR="00F246D5" w:rsidRPr="00A6728C">
        <w:rPr>
          <w:rFonts w:eastAsia="Times New Roman"/>
          <w:sz w:val="24"/>
          <w:szCs w:val="24"/>
        </w:rPr>
        <w:t>out</w:t>
      </w:r>
      <w:r w:rsidR="00B62641" w:rsidRPr="00A6728C">
        <w:rPr>
          <w:rFonts w:eastAsia="Times New Roman"/>
          <w:sz w:val="24"/>
          <w:szCs w:val="24"/>
        </w:rPr>
        <w:t xml:space="preserve"> and </w:t>
      </w:r>
      <w:r w:rsidR="00F246D5" w:rsidRPr="00A6728C">
        <w:rPr>
          <w:rFonts w:eastAsia="Times New Roman"/>
          <w:sz w:val="24"/>
          <w:szCs w:val="24"/>
        </w:rPr>
        <w:t>with</w:t>
      </w:r>
      <w:r w:rsidR="002A5544" w:rsidRPr="00A6728C">
        <w:rPr>
          <w:rFonts w:eastAsia="Times New Roman"/>
          <w:sz w:val="24"/>
          <w:szCs w:val="24"/>
        </w:rPr>
        <w:t xml:space="preserve"> COPD</w:t>
      </w:r>
      <w:r w:rsidR="00B11AA7" w:rsidRPr="00A6728C">
        <w:rPr>
          <w:rFonts w:eastAsia="Times New Roman"/>
          <w:sz w:val="24"/>
          <w:szCs w:val="24"/>
        </w:rPr>
        <w:t>;</w:t>
      </w:r>
    </w:p>
    <w:p w14:paraId="478C705E" w14:textId="46D32190" w:rsidR="002A5544" w:rsidRPr="00A6728C" w:rsidRDefault="00A6728C" w:rsidP="00FF546F">
      <w:pPr>
        <w:spacing w:line="360" w:lineRule="auto"/>
        <w:jc w:val="both"/>
        <w:rPr>
          <w:rFonts w:eastAsia="Times New Roman"/>
          <w:sz w:val="24"/>
          <w:szCs w:val="24"/>
        </w:rPr>
      </w:pPr>
      <w:r w:rsidRPr="00A6728C">
        <w:rPr>
          <w:rFonts w:eastAsia="Times New Roman"/>
          <w:b/>
          <w:sz w:val="24"/>
          <w:szCs w:val="24"/>
        </w:rPr>
        <w:t xml:space="preserve">Panel </w:t>
      </w:r>
      <w:r w:rsidR="00B62641" w:rsidRPr="00A6728C">
        <w:rPr>
          <w:rFonts w:eastAsia="Times New Roman"/>
          <w:b/>
          <w:sz w:val="24"/>
          <w:szCs w:val="24"/>
        </w:rPr>
        <w:t>B)</w:t>
      </w:r>
      <w:r w:rsidR="00B62641" w:rsidRPr="00A6728C">
        <w:rPr>
          <w:rFonts w:eastAsia="Times New Roman"/>
          <w:sz w:val="24"/>
          <w:szCs w:val="24"/>
        </w:rPr>
        <w:t xml:space="preserve"> smokers with</w:t>
      </w:r>
      <w:r w:rsidR="00F246D5" w:rsidRPr="00A6728C">
        <w:rPr>
          <w:rFonts w:eastAsia="Times New Roman"/>
          <w:sz w:val="24"/>
          <w:szCs w:val="24"/>
        </w:rPr>
        <w:t>out and with</w:t>
      </w:r>
      <w:r w:rsidR="00B62641" w:rsidRPr="00A6728C">
        <w:rPr>
          <w:rFonts w:eastAsia="Times New Roman"/>
          <w:sz w:val="24"/>
          <w:szCs w:val="24"/>
        </w:rPr>
        <w:t xml:space="preserve"> COPD divided in subgroup</w:t>
      </w:r>
      <w:r w:rsidR="00F246D5" w:rsidRPr="00A6728C">
        <w:rPr>
          <w:rFonts w:eastAsia="Times New Roman"/>
          <w:sz w:val="24"/>
          <w:szCs w:val="24"/>
        </w:rPr>
        <w:t>s</w:t>
      </w:r>
      <w:r w:rsidR="00B62641" w:rsidRPr="00A6728C">
        <w:rPr>
          <w:rFonts w:eastAsia="Times New Roman"/>
          <w:sz w:val="24"/>
          <w:szCs w:val="24"/>
        </w:rPr>
        <w:t xml:space="preserve"> according to </w:t>
      </w:r>
      <w:r w:rsidR="000D3CFD" w:rsidRPr="00A6728C">
        <w:rPr>
          <w:rFonts w:eastAsia="Times New Roman"/>
          <w:sz w:val="24"/>
          <w:szCs w:val="24"/>
        </w:rPr>
        <w:t>high and low BL</w:t>
      </w:r>
      <w:r w:rsidR="00B62641" w:rsidRPr="00A6728C">
        <w:rPr>
          <w:rFonts w:eastAsia="Times New Roman"/>
          <w:sz w:val="24"/>
          <w:szCs w:val="24"/>
        </w:rPr>
        <w:t>. The percentage of subjects with mMRC</w:t>
      </w:r>
      <w:r w:rsidR="009A3EED" w:rsidRPr="00A6728C">
        <w:rPr>
          <w:rFonts w:eastAsia="Times New Roman"/>
          <w:sz w:val="24"/>
          <w:szCs w:val="24"/>
        </w:rPr>
        <w:t>≥</w:t>
      </w:r>
      <w:r w:rsidR="00B62641" w:rsidRPr="00A6728C">
        <w:rPr>
          <w:rFonts w:eastAsia="Times New Roman"/>
          <w:sz w:val="24"/>
          <w:szCs w:val="24"/>
        </w:rPr>
        <w:t>2 in COPD with low BL was significantly higher compared to COPD with high BL.</w:t>
      </w:r>
      <w:r w:rsidR="00FD6AAA" w:rsidRPr="00A6728C">
        <w:rPr>
          <w:rFonts w:eastAsia="Times New Roman"/>
          <w:sz w:val="24"/>
          <w:szCs w:val="24"/>
        </w:rPr>
        <w:t xml:space="preserve"> </w:t>
      </w:r>
    </w:p>
    <w:p w14:paraId="5AD13AEB" w14:textId="3A89C392" w:rsidR="00B62641" w:rsidRPr="00A6728C" w:rsidRDefault="00FD6AAA" w:rsidP="00FF546F">
      <w:pPr>
        <w:spacing w:line="360" w:lineRule="auto"/>
        <w:jc w:val="both"/>
        <w:rPr>
          <w:rFonts w:eastAsia="Times New Roman"/>
          <w:sz w:val="24"/>
          <w:szCs w:val="24"/>
        </w:rPr>
      </w:pPr>
      <w:r w:rsidRPr="00A6728C">
        <w:rPr>
          <w:rFonts w:eastAsia="Times New Roman"/>
          <w:sz w:val="24"/>
          <w:szCs w:val="24"/>
        </w:rPr>
        <w:t>* p=0</w:t>
      </w:r>
      <w:r w:rsidR="00D227B8">
        <w:rPr>
          <w:rFonts w:eastAsia="Times New Roman"/>
          <w:sz w:val="24"/>
          <w:szCs w:val="24"/>
        </w:rPr>
        <w:t>.</w:t>
      </w:r>
      <w:r w:rsidRPr="00A6728C">
        <w:rPr>
          <w:rFonts w:eastAsia="Times New Roman"/>
          <w:sz w:val="24"/>
          <w:szCs w:val="24"/>
        </w:rPr>
        <w:t xml:space="preserve">006; </w:t>
      </w:r>
      <w:r w:rsidR="00B62641" w:rsidRPr="00A6728C">
        <w:rPr>
          <w:rFonts w:eastAsia="Times New Roman"/>
          <w:sz w:val="24"/>
          <w:szCs w:val="24"/>
        </w:rPr>
        <w:t>** p&lt;0</w:t>
      </w:r>
      <w:r w:rsidR="00D227B8">
        <w:rPr>
          <w:rFonts w:eastAsia="Times New Roman"/>
          <w:sz w:val="24"/>
          <w:szCs w:val="24"/>
        </w:rPr>
        <w:t>.</w:t>
      </w:r>
      <w:r w:rsidR="00B62641" w:rsidRPr="00A6728C">
        <w:rPr>
          <w:rFonts w:eastAsia="Times New Roman"/>
          <w:sz w:val="24"/>
          <w:szCs w:val="24"/>
        </w:rPr>
        <w:t>0</w:t>
      </w:r>
      <w:r w:rsidRPr="00A6728C">
        <w:rPr>
          <w:rFonts w:eastAsia="Times New Roman"/>
          <w:sz w:val="24"/>
          <w:szCs w:val="24"/>
        </w:rPr>
        <w:t>01</w:t>
      </w:r>
      <w:r w:rsidR="008905BD" w:rsidRPr="00A6728C">
        <w:rPr>
          <w:rFonts w:eastAsia="Times New Roman"/>
          <w:sz w:val="24"/>
          <w:szCs w:val="24"/>
        </w:rPr>
        <w:t>.</w:t>
      </w:r>
    </w:p>
    <w:p w14:paraId="7F2E634C" w14:textId="77777777" w:rsidR="00FD6AAA" w:rsidRPr="00A6728C" w:rsidRDefault="00FD6AAA" w:rsidP="00FF546F">
      <w:pPr>
        <w:spacing w:line="480" w:lineRule="auto"/>
        <w:jc w:val="both"/>
        <w:rPr>
          <w:rFonts w:eastAsia="Times New Roman"/>
          <w:sz w:val="24"/>
          <w:szCs w:val="24"/>
        </w:rPr>
      </w:pPr>
    </w:p>
    <w:p w14:paraId="1F93AD81" w14:textId="2B8C1F78" w:rsidR="00643C93" w:rsidRPr="00A6728C" w:rsidRDefault="00643C93" w:rsidP="00FF546F">
      <w:pPr>
        <w:spacing w:line="480" w:lineRule="auto"/>
        <w:jc w:val="both"/>
        <w:rPr>
          <w:rFonts w:ascii="Times New Roman" w:eastAsia="Times New Roman" w:hAnsi="Times New Roman" w:cs="Times New Roman"/>
          <w:b/>
          <w:sz w:val="24"/>
          <w:szCs w:val="24"/>
        </w:rPr>
      </w:pPr>
    </w:p>
    <w:p w14:paraId="51A53E10" w14:textId="77777777" w:rsidR="00EF4223" w:rsidRPr="00A6728C" w:rsidRDefault="00EF4223" w:rsidP="00FF546F">
      <w:pPr>
        <w:jc w:val="both"/>
        <w:rPr>
          <w:rFonts w:ascii="Times New Roman" w:eastAsia="Times New Roman" w:hAnsi="Times New Roman" w:cs="Times New Roman"/>
          <w:b/>
          <w:sz w:val="24"/>
          <w:szCs w:val="24"/>
        </w:rPr>
      </w:pPr>
      <w:r w:rsidRPr="00A6728C">
        <w:rPr>
          <w:rFonts w:ascii="Times New Roman" w:eastAsia="Times New Roman" w:hAnsi="Times New Roman" w:cs="Times New Roman"/>
          <w:b/>
          <w:sz w:val="24"/>
          <w:szCs w:val="24"/>
        </w:rPr>
        <w:br w:type="page"/>
      </w:r>
    </w:p>
    <w:p w14:paraId="3BB917E8" w14:textId="62FC1C5F" w:rsidR="008B491C" w:rsidRPr="00A6728C" w:rsidRDefault="008D2CE8" w:rsidP="00FF546F">
      <w:pPr>
        <w:spacing w:line="360" w:lineRule="auto"/>
        <w:jc w:val="both"/>
        <w:rPr>
          <w:rFonts w:eastAsia="Times New Roman"/>
          <w:b/>
          <w:sz w:val="24"/>
          <w:szCs w:val="24"/>
        </w:rPr>
      </w:pPr>
      <w:r>
        <w:rPr>
          <w:rFonts w:eastAsia="Times New Roman"/>
          <w:b/>
          <w:sz w:val="24"/>
          <w:szCs w:val="24"/>
        </w:rPr>
        <w:lastRenderedPageBreak/>
        <w:t>Figure E</w:t>
      </w:r>
      <w:r w:rsidR="00643C93" w:rsidRPr="00A6728C">
        <w:rPr>
          <w:rFonts w:eastAsia="Times New Roman"/>
          <w:b/>
          <w:sz w:val="24"/>
          <w:szCs w:val="24"/>
        </w:rPr>
        <w:t>5</w:t>
      </w:r>
      <w:r w:rsidR="002A5544" w:rsidRPr="00A6728C">
        <w:rPr>
          <w:rFonts w:eastAsia="Times New Roman"/>
          <w:b/>
          <w:sz w:val="24"/>
          <w:szCs w:val="24"/>
        </w:rPr>
        <w:t xml:space="preserve">. Frequency of exacerbations in subjects with </w:t>
      </w:r>
      <w:r w:rsidR="00073D56" w:rsidRPr="00A6728C">
        <w:rPr>
          <w:rFonts w:eastAsia="Times New Roman"/>
          <w:b/>
          <w:sz w:val="24"/>
          <w:szCs w:val="24"/>
        </w:rPr>
        <w:t>COPD</w:t>
      </w:r>
      <w:r w:rsidR="002A5544" w:rsidRPr="00A6728C">
        <w:rPr>
          <w:rFonts w:eastAsia="Times New Roman"/>
          <w:b/>
          <w:sz w:val="24"/>
          <w:szCs w:val="24"/>
        </w:rPr>
        <w:t xml:space="preserve"> according to </w:t>
      </w:r>
      <w:r w:rsidR="0043639D" w:rsidRPr="00A6728C">
        <w:rPr>
          <w:rFonts w:eastAsia="Times New Roman"/>
          <w:b/>
          <w:sz w:val="24"/>
          <w:szCs w:val="24"/>
        </w:rPr>
        <w:t>high and low BL</w:t>
      </w:r>
      <w:r w:rsidR="008B491C" w:rsidRPr="00A6728C">
        <w:rPr>
          <w:rFonts w:eastAsia="Times New Roman"/>
          <w:b/>
          <w:sz w:val="24"/>
          <w:szCs w:val="24"/>
        </w:rPr>
        <w:t>.</w:t>
      </w:r>
    </w:p>
    <w:p w14:paraId="025E8FC6" w14:textId="5CEF35BC" w:rsidR="00A6728C" w:rsidRDefault="008B491C" w:rsidP="00FF546F">
      <w:pPr>
        <w:spacing w:line="360" w:lineRule="auto"/>
        <w:jc w:val="both"/>
        <w:rPr>
          <w:rFonts w:eastAsia="Times New Roman"/>
          <w:b/>
          <w:sz w:val="24"/>
          <w:szCs w:val="24"/>
        </w:rPr>
      </w:pPr>
      <w:r w:rsidRPr="00A6728C">
        <w:rPr>
          <w:rFonts w:eastAsia="Times New Roman"/>
          <w:b/>
          <w:sz w:val="24"/>
          <w:szCs w:val="24"/>
        </w:rPr>
        <w:t>Panel A</w:t>
      </w:r>
      <w:r w:rsidR="00A6728C" w:rsidRPr="00A6728C">
        <w:rPr>
          <w:rFonts w:eastAsia="Times New Roman"/>
          <w:b/>
          <w:sz w:val="24"/>
          <w:szCs w:val="24"/>
        </w:rPr>
        <w:t>)</w:t>
      </w:r>
      <w:r w:rsidRPr="00A6728C">
        <w:rPr>
          <w:rFonts w:eastAsia="Times New Roman"/>
          <w:sz w:val="24"/>
          <w:szCs w:val="24"/>
        </w:rPr>
        <w:t>:</w:t>
      </w:r>
      <w:r w:rsidR="00073D56" w:rsidRPr="00A6728C">
        <w:rPr>
          <w:rFonts w:eastAsia="Times New Roman"/>
          <w:sz w:val="24"/>
          <w:szCs w:val="24"/>
        </w:rPr>
        <w:t xml:space="preserve"> </w:t>
      </w:r>
      <w:r w:rsidR="00EB39A6" w:rsidRPr="00A6728C">
        <w:rPr>
          <w:rFonts w:eastAsia="Times New Roman"/>
          <w:sz w:val="24"/>
          <w:szCs w:val="24"/>
        </w:rPr>
        <w:t>COPD with low BL have a significantly higher number of total exacerbations compared to those with high BL (1</w:t>
      </w:r>
      <w:r w:rsidR="00D227B8">
        <w:rPr>
          <w:rFonts w:eastAsia="Times New Roman"/>
          <w:sz w:val="24"/>
          <w:szCs w:val="24"/>
        </w:rPr>
        <w:t>.</w:t>
      </w:r>
      <w:r w:rsidR="00EB39A6" w:rsidRPr="00A6728C">
        <w:rPr>
          <w:rFonts w:eastAsia="Times New Roman"/>
          <w:sz w:val="24"/>
          <w:szCs w:val="24"/>
        </w:rPr>
        <w:t>27</w:t>
      </w:r>
      <w:r w:rsidR="00EB39A6" w:rsidRPr="00A6728C">
        <w:rPr>
          <w:rFonts w:eastAsia="Calibri"/>
          <w:sz w:val="24"/>
          <w:szCs w:val="24"/>
        </w:rPr>
        <w:t>±</w:t>
      </w:r>
      <w:r w:rsidR="00EB39A6" w:rsidRPr="00A6728C">
        <w:rPr>
          <w:rFonts w:eastAsia="Times New Roman"/>
          <w:sz w:val="24"/>
          <w:szCs w:val="24"/>
        </w:rPr>
        <w:t>2</w:t>
      </w:r>
      <w:r w:rsidR="00D227B8">
        <w:rPr>
          <w:rFonts w:eastAsia="Times New Roman"/>
          <w:sz w:val="24"/>
          <w:szCs w:val="24"/>
        </w:rPr>
        <w:t>.</w:t>
      </w:r>
      <w:r w:rsidR="00EB39A6" w:rsidRPr="00A6728C">
        <w:rPr>
          <w:rFonts w:eastAsia="Times New Roman"/>
          <w:sz w:val="24"/>
          <w:szCs w:val="24"/>
        </w:rPr>
        <w:t>25 vs 0</w:t>
      </w:r>
      <w:r w:rsidR="00D227B8">
        <w:rPr>
          <w:rFonts w:eastAsia="Times New Roman"/>
          <w:sz w:val="24"/>
          <w:szCs w:val="24"/>
        </w:rPr>
        <w:t>.</w:t>
      </w:r>
      <w:r w:rsidR="00EB39A6" w:rsidRPr="00A6728C">
        <w:rPr>
          <w:rFonts w:eastAsia="Times New Roman"/>
          <w:sz w:val="24"/>
          <w:szCs w:val="24"/>
        </w:rPr>
        <w:t>80</w:t>
      </w:r>
      <w:r w:rsidR="00EB39A6" w:rsidRPr="00A6728C">
        <w:rPr>
          <w:rFonts w:eastAsia="Calibri"/>
          <w:sz w:val="24"/>
          <w:szCs w:val="24"/>
        </w:rPr>
        <w:t>±</w:t>
      </w:r>
      <w:r w:rsidR="00EB39A6" w:rsidRPr="00A6728C">
        <w:rPr>
          <w:rFonts w:eastAsia="Times New Roman"/>
          <w:sz w:val="24"/>
          <w:szCs w:val="24"/>
        </w:rPr>
        <w:t>1</w:t>
      </w:r>
      <w:r w:rsidR="00D227B8">
        <w:rPr>
          <w:rFonts w:eastAsia="Times New Roman"/>
          <w:sz w:val="24"/>
          <w:szCs w:val="24"/>
        </w:rPr>
        <w:t>.</w:t>
      </w:r>
      <w:r w:rsidR="00EB39A6" w:rsidRPr="00A6728C">
        <w:rPr>
          <w:rFonts w:eastAsia="Times New Roman"/>
          <w:sz w:val="24"/>
          <w:szCs w:val="24"/>
        </w:rPr>
        <w:t>29, *p=0</w:t>
      </w:r>
      <w:r w:rsidR="00D227B8">
        <w:rPr>
          <w:rFonts w:eastAsia="Times New Roman"/>
          <w:sz w:val="24"/>
          <w:szCs w:val="24"/>
        </w:rPr>
        <w:t>.</w:t>
      </w:r>
      <w:r w:rsidR="00EB39A6" w:rsidRPr="00A6728C">
        <w:rPr>
          <w:rFonts w:eastAsia="Times New Roman"/>
          <w:sz w:val="24"/>
          <w:szCs w:val="24"/>
        </w:rPr>
        <w:t>0</w:t>
      </w:r>
      <w:r w:rsidR="00EB39A6">
        <w:rPr>
          <w:rFonts w:eastAsia="Times New Roman"/>
          <w:sz w:val="24"/>
          <w:szCs w:val="24"/>
        </w:rPr>
        <w:t>28);</w:t>
      </w:r>
    </w:p>
    <w:p w14:paraId="23A74A46" w14:textId="0F4065F3" w:rsidR="002A5544" w:rsidRPr="00A6728C" w:rsidRDefault="008B491C" w:rsidP="00FF546F">
      <w:pPr>
        <w:spacing w:line="360" w:lineRule="auto"/>
        <w:jc w:val="both"/>
        <w:rPr>
          <w:rFonts w:eastAsia="Times New Roman"/>
          <w:sz w:val="24"/>
          <w:szCs w:val="24"/>
        </w:rPr>
      </w:pPr>
      <w:r w:rsidRPr="00A6728C">
        <w:rPr>
          <w:rFonts w:eastAsia="Times New Roman"/>
          <w:b/>
          <w:sz w:val="24"/>
          <w:szCs w:val="24"/>
        </w:rPr>
        <w:t>Panel B</w:t>
      </w:r>
      <w:r w:rsidR="00A6728C" w:rsidRPr="00A6728C">
        <w:rPr>
          <w:rFonts w:eastAsia="Times New Roman"/>
          <w:b/>
          <w:sz w:val="24"/>
          <w:szCs w:val="24"/>
        </w:rPr>
        <w:t>)</w:t>
      </w:r>
      <w:r w:rsidRPr="00A6728C">
        <w:rPr>
          <w:rFonts w:eastAsia="Times New Roman"/>
          <w:b/>
          <w:sz w:val="24"/>
          <w:szCs w:val="24"/>
        </w:rPr>
        <w:t>:</w:t>
      </w:r>
      <w:r w:rsidR="00CA4E51" w:rsidRPr="00A6728C">
        <w:rPr>
          <w:rFonts w:eastAsia="Times New Roman"/>
          <w:sz w:val="24"/>
          <w:szCs w:val="24"/>
        </w:rPr>
        <w:t xml:space="preserve"> </w:t>
      </w:r>
      <w:r w:rsidR="00EB39A6" w:rsidRPr="00A6728C">
        <w:rPr>
          <w:rFonts w:eastAsia="Times New Roman"/>
          <w:sz w:val="24"/>
          <w:szCs w:val="24"/>
        </w:rPr>
        <w:t>COPD with low BL have a significantly higher number of severe exacerbations compared to those with high BL (0</w:t>
      </w:r>
      <w:r w:rsidR="00D227B8">
        <w:rPr>
          <w:rFonts w:eastAsia="Times New Roman"/>
          <w:sz w:val="24"/>
          <w:szCs w:val="24"/>
        </w:rPr>
        <w:t>.</w:t>
      </w:r>
      <w:r w:rsidR="00EB39A6" w:rsidRPr="00A6728C">
        <w:rPr>
          <w:rFonts w:eastAsia="Times New Roman"/>
          <w:sz w:val="24"/>
          <w:szCs w:val="24"/>
        </w:rPr>
        <w:t>08</w:t>
      </w:r>
      <w:r w:rsidR="00EB39A6" w:rsidRPr="00A6728C">
        <w:rPr>
          <w:rFonts w:eastAsia="Calibri"/>
          <w:sz w:val="24"/>
          <w:szCs w:val="24"/>
        </w:rPr>
        <w:t>±</w:t>
      </w:r>
      <w:r w:rsidR="00EB39A6" w:rsidRPr="00A6728C">
        <w:rPr>
          <w:rFonts w:eastAsia="Times New Roman"/>
          <w:sz w:val="24"/>
          <w:szCs w:val="24"/>
        </w:rPr>
        <w:t>0</w:t>
      </w:r>
      <w:r w:rsidR="00D227B8">
        <w:rPr>
          <w:rFonts w:eastAsia="Times New Roman"/>
          <w:sz w:val="24"/>
          <w:szCs w:val="24"/>
        </w:rPr>
        <w:t>.</w:t>
      </w:r>
      <w:r w:rsidR="00EB39A6" w:rsidRPr="00A6728C">
        <w:rPr>
          <w:rFonts w:eastAsia="Times New Roman"/>
          <w:sz w:val="24"/>
          <w:szCs w:val="24"/>
        </w:rPr>
        <w:t>21 vs 0</w:t>
      </w:r>
      <w:r w:rsidR="00D227B8">
        <w:rPr>
          <w:rFonts w:eastAsia="Times New Roman"/>
          <w:sz w:val="24"/>
          <w:szCs w:val="24"/>
        </w:rPr>
        <w:t>.</w:t>
      </w:r>
      <w:r w:rsidR="00EB39A6" w:rsidRPr="00A6728C">
        <w:rPr>
          <w:rFonts w:eastAsia="Times New Roman"/>
          <w:sz w:val="24"/>
          <w:szCs w:val="24"/>
        </w:rPr>
        <w:t>04</w:t>
      </w:r>
      <w:r w:rsidR="00EB39A6" w:rsidRPr="00A6728C">
        <w:rPr>
          <w:rFonts w:eastAsia="Calibri"/>
          <w:sz w:val="24"/>
          <w:szCs w:val="24"/>
        </w:rPr>
        <w:t>±</w:t>
      </w:r>
      <w:r w:rsidR="00EB39A6" w:rsidRPr="00A6728C">
        <w:rPr>
          <w:rFonts w:eastAsia="Times New Roman"/>
          <w:sz w:val="24"/>
          <w:szCs w:val="24"/>
        </w:rPr>
        <w:t>0</w:t>
      </w:r>
      <w:r w:rsidR="00D227B8">
        <w:rPr>
          <w:rFonts w:eastAsia="Times New Roman"/>
          <w:sz w:val="24"/>
          <w:szCs w:val="24"/>
        </w:rPr>
        <w:t>.</w:t>
      </w:r>
      <w:r w:rsidR="00EB39A6" w:rsidRPr="00A6728C">
        <w:rPr>
          <w:rFonts w:eastAsia="Times New Roman"/>
          <w:sz w:val="24"/>
          <w:szCs w:val="24"/>
        </w:rPr>
        <w:t>11, *p=0</w:t>
      </w:r>
      <w:r w:rsidR="00D227B8">
        <w:rPr>
          <w:rFonts w:eastAsia="Times New Roman"/>
          <w:sz w:val="24"/>
          <w:szCs w:val="24"/>
        </w:rPr>
        <w:t>.</w:t>
      </w:r>
      <w:r w:rsidR="00EB39A6">
        <w:rPr>
          <w:rFonts w:eastAsia="Times New Roman"/>
          <w:sz w:val="24"/>
          <w:szCs w:val="24"/>
        </w:rPr>
        <w:t>046</w:t>
      </w:r>
      <w:r w:rsidR="00EB39A6" w:rsidRPr="00A6728C">
        <w:rPr>
          <w:rFonts w:eastAsia="Times New Roman"/>
          <w:sz w:val="24"/>
          <w:szCs w:val="24"/>
        </w:rPr>
        <w:t>);</w:t>
      </w:r>
    </w:p>
    <w:p w14:paraId="25315945" w14:textId="49E44C01" w:rsidR="00FD6AAA" w:rsidRPr="00A6728C" w:rsidRDefault="00073D56" w:rsidP="00FF546F">
      <w:pPr>
        <w:spacing w:line="360" w:lineRule="auto"/>
        <w:jc w:val="both"/>
        <w:rPr>
          <w:rFonts w:eastAsia="Times New Roman"/>
          <w:sz w:val="24"/>
          <w:szCs w:val="24"/>
        </w:rPr>
      </w:pPr>
      <w:r w:rsidRPr="00A6728C">
        <w:rPr>
          <w:sz w:val="24"/>
          <w:szCs w:val="24"/>
        </w:rPr>
        <w:t>Histograms mean</w:t>
      </w:r>
      <w:r w:rsidR="00EB39A6">
        <w:rPr>
          <w:rFonts w:eastAsia="Times New Roman"/>
          <w:sz w:val="24"/>
          <w:szCs w:val="24"/>
        </w:rPr>
        <w:t xml:space="preserve"> ± SE</w:t>
      </w:r>
      <w:r w:rsidRPr="00A6728C">
        <w:rPr>
          <w:rFonts w:eastAsia="Times New Roman"/>
          <w:sz w:val="24"/>
          <w:szCs w:val="24"/>
        </w:rPr>
        <w:t>.</w:t>
      </w:r>
      <w:r w:rsidR="00C72883" w:rsidRPr="00A6728C">
        <w:rPr>
          <w:rFonts w:eastAsia="Times New Roman"/>
          <w:sz w:val="24"/>
          <w:szCs w:val="24"/>
        </w:rPr>
        <w:t xml:space="preserve"> </w:t>
      </w:r>
    </w:p>
    <w:p w14:paraId="78856E1B" w14:textId="491327E5" w:rsidR="00F15C39" w:rsidRPr="00A6728C" w:rsidRDefault="00F15C39" w:rsidP="00FF546F">
      <w:pPr>
        <w:spacing w:line="480" w:lineRule="auto"/>
        <w:jc w:val="both"/>
        <w:rPr>
          <w:rFonts w:ascii="Times New Roman" w:eastAsia="Times New Roman" w:hAnsi="Times New Roman" w:cs="Times New Roman"/>
          <w:b/>
          <w:sz w:val="24"/>
          <w:szCs w:val="24"/>
        </w:rPr>
      </w:pPr>
    </w:p>
    <w:p w14:paraId="2F2BC79F" w14:textId="20B34DA4" w:rsidR="005A2F02" w:rsidRPr="00A6728C" w:rsidRDefault="00B60BEF" w:rsidP="00FF546F">
      <w:pPr>
        <w:jc w:val="both"/>
        <w:rPr>
          <w:rFonts w:eastAsia="Times New Roman"/>
          <w:b/>
          <w:sz w:val="24"/>
          <w:szCs w:val="24"/>
        </w:rPr>
      </w:pPr>
      <w:r>
        <w:rPr>
          <w:rFonts w:eastAsia="Times New Roman"/>
          <w:b/>
          <w:noProof/>
          <w:sz w:val="24"/>
          <w:szCs w:val="24"/>
          <w:lang w:val="en-US" w:eastAsia="en-US"/>
        </w:rPr>
        <w:drawing>
          <wp:inline distT="0" distB="0" distL="0" distR="0" wp14:anchorId="65C9F055" wp14:editId="16DD76D0">
            <wp:extent cx="6563399" cy="28080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3399" cy="2808000"/>
                    </a:xfrm>
                    <a:prstGeom prst="rect">
                      <a:avLst/>
                    </a:prstGeom>
                    <a:noFill/>
                  </pic:spPr>
                </pic:pic>
              </a:graphicData>
            </a:graphic>
          </wp:inline>
        </w:drawing>
      </w:r>
    </w:p>
    <w:p w14:paraId="04A1CCEF" w14:textId="3664820A" w:rsidR="00742EA5" w:rsidRPr="00A6728C" w:rsidRDefault="00453CCC" w:rsidP="00FF546F">
      <w:pPr>
        <w:jc w:val="both"/>
        <w:rPr>
          <w:rFonts w:eastAsia="Times New Roman"/>
          <w:b/>
          <w:sz w:val="24"/>
          <w:szCs w:val="24"/>
        </w:rPr>
      </w:pPr>
      <w:r w:rsidRPr="00A6728C">
        <w:rPr>
          <w:rFonts w:eastAsia="Times New Roman"/>
          <w:b/>
          <w:sz w:val="24"/>
          <w:szCs w:val="24"/>
        </w:rPr>
        <w:br w:type="page"/>
      </w:r>
    </w:p>
    <w:p w14:paraId="1CDFBAE8" w14:textId="76F97D9A" w:rsidR="00854623" w:rsidRPr="00A6728C" w:rsidRDefault="00B62641" w:rsidP="00FF546F">
      <w:pPr>
        <w:spacing w:line="360" w:lineRule="auto"/>
        <w:jc w:val="both"/>
        <w:rPr>
          <w:rFonts w:eastAsia="Times New Roman"/>
          <w:b/>
          <w:sz w:val="24"/>
          <w:szCs w:val="24"/>
        </w:rPr>
      </w:pPr>
      <w:r w:rsidRPr="00A6728C">
        <w:rPr>
          <w:rFonts w:eastAsia="Times New Roman"/>
          <w:b/>
          <w:sz w:val="24"/>
          <w:szCs w:val="24"/>
        </w:rPr>
        <w:lastRenderedPageBreak/>
        <w:t xml:space="preserve">Figure </w:t>
      </w:r>
      <w:r w:rsidR="008D2CE8">
        <w:rPr>
          <w:rFonts w:eastAsia="Times New Roman"/>
          <w:b/>
          <w:sz w:val="24"/>
          <w:szCs w:val="24"/>
        </w:rPr>
        <w:t>E</w:t>
      </w:r>
      <w:r w:rsidR="000141A8" w:rsidRPr="00A6728C">
        <w:rPr>
          <w:rFonts w:eastAsia="Times New Roman"/>
          <w:b/>
          <w:sz w:val="24"/>
          <w:szCs w:val="24"/>
        </w:rPr>
        <w:t>6</w:t>
      </w:r>
      <w:r w:rsidR="005F2BD6" w:rsidRPr="00A6728C">
        <w:rPr>
          <w:rFonts w:eastAsia="Times New Roman"/>
          <w:b/>
          <w:sz w:val="24"/>
          <w:szCs w:val="24"/>
        </w:rPr>
        <w:t>.</w:t>
      </w:r>
      <w:r w:rsidR="005E4085" w:rsidRPr="00A6728C">
        <w:rPr>
          <w:rFonts w:eastAsia="Times New Roman"/>
          <w:b/>
          <w:sz w:val="24"/>
          <w:szCs w:val="24"/>
        </w:rPr>
        <w:t xml:space="preserve"> </w:t>
      </w:r>
      <w:r w:rsidR="002A5D3B" w:rsidRPr="00A6728C">
        <w:rPr>
          <w:rFonts w:eastAsia="Times New Roman"/>
          <w:b/>
          <w:sz w:val="24"/>
          <w:szCs w:val="24"/>
        </w:rPr>
        <w:t>C</w:t>
      </w:r>
      <w:r w:rsidRPr="00A6728C">
        <w:rPr>
          <w:rFonts w:eastAsia="Times New Roman"/>
          <w:b/>
          <w:sz w:val="24"/>
          <w:szCs w:val="24"/>
        </w:rPr>
        <w:t>auses of death</w:t>
      </w:r>
      <w:r w:rsidR="002A5D3B" w:rsidRPr="00A6728C">
        <w:rPr>
          <w:rFonts w:eastAsia="Times New Roman"/>
          <w:b/>
          <w:sz w:val="24"/>
          <w:szCs w:val="24"/>
        </w:rPr>
        <w:t xml:space="preserve">. </w:t>
      </w:r>
    </w:p>
    <w:p w14:paraId="51C37F2E" w14:textId="77777777" w:rsidR="00EB39A6" w:rsidRDefault="0043639D" w:rsidP="00FF546F">
      <w:pPr>
        <w:spacing w:line="360" w:lineRule="auto"/>
        <w:jc w:val="both"/>
        <w:rPr>
          <w:rFonts w:eastAsia="Times New Roman"/>
          <w:sz w:val="24"/>
          <w:szCs w:val="24"/>
        </w:rPr>
      </w:pPr>
      <w:r w:rsidRPr="00A6728C">
        <w:rPr>
          <w:rFonts w:eastAsia="Times New Roman"/>
          <w:sz w:val="24"/>
          <w:szCs w:val="24"/>
        </w:rPr>
        <w:t>Causes of death (n-%)</w:t>
      </w:r>
      <w:r w:rsidR="00EB39A6">
        <w:rPr>
          <w:rFonts w:eastAsia="Times New Roman"/>
          <w:sz w:val="24"/>
          <w:szCs w:val="24"/>
        </w:rPr>
        <w:t>:</w:t>
      </w:r>
    </w:p>
    <w:p w14:paraId="6E7B4754" w14:textId="77777777" w:rsidR="00EB39A6" w:rsidRDefault="00A6728C" w:rsidP="00FF546F">
      <w:pPr>
        <w:spacing w:line="360" w:lineRule="auto"/>
        <w:jc w:val="both"/>
        <w:rPr>
          <w:rFonts w:eastAsia="Times New Roman"/>
          <w:sz w:val="24"/>
          <w:szCs w:val="24"/>
        </w:rPr>
      </w:pPr>
      <w:r w:rsidRPr="00A6728C">
        <w:rPr>
          <w:rFonts w:eastAsia="Times New Roman"/>
          <w:b/>
          <w:sz w:val="24"/>
          <w:szCs w:val="24"/>
        </w:rPr>
        <w:t xml:space="preserve">Panel </w:t>
      </w:r>
      <w:r w:rsidR="00B11AA7" w:rsidRPr="00A6728C">
        <w:rPr>
          <w:rFonts w:eastAsia="Times New Roman"/>
          <w:b/>
          <w:sz w:val="24"/>
          <w:szCs w:val="24"/>
        </w:rPr>
        <w:t>A)</w:t>
      </w:r>
      <w:r w:rsidR="00B11AA7" w:rsidRPr="00A6728C">
        <w:rPr>
          <w:rFonts w:eastAsia="Times New Roman"/>
          <w:sz w:val="24"/>
          <w:szCs w:val="24"/>
        </w:rPr>
        <w:t xml:space="preserve"> </w:t>
      </w:r>
      <w:r w:rsidRPr="00A6728C">
        <w:rPr>
          <w:rFonts w:eastAsia="Times New Roman"/>
          <w:sz w:val="24"/>
          <w:szCs w:val="24"/>
        </w:rPr>
        <w:t xml:space="preserve">in the </w:t>
      </w:r>
      <w:r w:rsidR="007F03A6" w:rsidRPr="00A6728C">
        <w:rPr>
          <w:rFonts w:eastAsia="Times New Roman"/>
          <w:sz w:val="24"/>
          <w:szCs w:val="24"/>
        </w:rPr>
        <w:t>20</w:t>
      </w:r>
      <w:r w:rsidR="007F03A6" w:rsidRPr="00A6728C">
        <w:rPr>
          <w:rFonts w:eastAsia="Times New Roman"/>
          <w:b/>
          <w:sz w:val="24"/>
          <w:szCs w:val="24"/>
        </w:rPr>
        <w:t xml:space="preserve"> </w:t>
      </w:r>
      <w:r w:rsidR="007E47E9" w:rsidRPr="00A6728C">
        <w:rPr>
          <w:rFonts w:eastAsia="Times New Roman"/>
          <w:sz w:val="24"/>
          <w:szCs w:val="24"/>
        </w:rPr>
        <w:t xml:space="preserve">subjects without </w:t>
      </w:r>
      <w:r w:rsidR="00B11AA7" w:rsidRPr="00A6728C">
        <w:rPr>
          <w:rFonts w:eastAsia="Times New Roman"/>
          <w:sz w:val="24"/>
          <w:szCs w:val="24"/>
        </w:rPr>
        <w:t>COPD</w:t>
      </w:r>
      <w:r w:rsidR="007E47E9" w:rsidRPr="00A6728C">
        <w:rPr>
          <w:rFonts w:eastAsia="Times New Roman"/>
          <w:sz w:val="24"/>
          <w:szCs w:val="24"/>
        </w:rPr>
        <w:t xml:space="preserve"> (noCOPD)</w:t>
      </w:r>
      <w:r w:rsidR="00EB39A6">
        <w:rPr>
          <w:rFonts w:eastAsia="Times New Roman"/>
          <w:sz w:val="24"/>
          <w:szCs w:val="24"/>
        </w:rPr>
        <w:t xml:space="preserve"> who died;</w:t>
      </w:r>
    </w:p>
    <w:p w14:paraId="21B0450E" w14:textId="7407E8CF" w:rsidR="00B62641" w:rsidRPr="00A6728C" w:rsidRDefault="00A6728C" w:rsidP="00FF546F">
      <w:pPr>
        <w:spacing w:line="360" w:lineRule="auto"/>
        <w:jc w:val="both"/>
        <w:rPr>
          <w:rFonts w:eastAsia="Times New Roman"/>
          <w:sz w:val="24"/>
          <w:szCs w:val="24"/>
        </w:rPr>
      </w:pPr>
      <w:r w:rsidRPr="00A6728C">
        <w:rPr>
          <w:rFonts w:eastAsia="Times New Roman"/>
          <w:b/>
          <w:sz w:val="24"/>
          <w:szCs w:val="24"/>
        </w:rPr>
        <w:t xml:space="preserve">Panel </w:t>
      </w:r>
      <w:r w:rsidR="00B11AA7" w:rsidRPr="00A6728C">
        <w:rPr>
          <w:rFonts w:eastAsia="Times New Roman"/>
          <w:b/>
          <w:sz w:val="24"/>
          <w:szCs w:val="24"/>
        </w:rPr>
        <w:t>B)</w:t>
      </w:r>
      <w:r w:rsidR="00B11AA7" w:rsidRPr="00A6728C">
        <w:rPr>
          <w:rFonts w:eastAsia="Times New Roman"/>
          <w:sz w:val="24"/>
          <w:szCs w:val="24"/>
        </w:rPr>
        <w:t xml:space="preserve"> </w:t>
      </w:r>
      <w:r w:rsidRPr="00A6728C">
        <w:rPr>
          <w:rFonts w:eastAsia="Times New Roman"/>
          <w:sz w:val="24"/>
          <w:szCs w:val="24"/>
        </w:rPr>
        <w:t xml:space="preserve">in the </w:t>
      </w:r>
      <w:r w:rsidR="007F03A6" w:rsidRPr="00A6728C">
        <w:rPr>
          <w:rFonts w:eastAsia="Times New Roman"/>
          <w:sz w:val="24"/>
          <w:szCs w:val="24"/>
        </w:rPr>
        <w:t xml:space="preserve">114 </w:t>
      </w:r>
      <w:r w:rsidR="007E47E9" w:rsidRPr="00A6728C">
        <w:rPr>
          <w:rFonts w:eastAsia="Times New Roman"/>
          <w:sz w:val="24"/>
          <w:szCs w:val="24"/>
        </w:rPr>
        <w:t xml:space="preserve">subjects with </w:t>
      </w:r>
      <w:r w:rsidR="00B62641" w:rsidRPr="00A6728C">
        <w:rPr>
          <w:rFonts w:eastAsia="Times New Roman"/>
          <w:sz w:val="24"/>
          <w:szCs w:val="24"/>
        </w:rPr>
        <w:t>COPD</w:t>
      </w:r>
      <w:r w:rsidR="007E47E9" w:rsidRPr="00A6728C">
        <w:rPr>
          <w:rFonts w:eastAsia="Times New Roman"/>
          <w:sz w:val="24"/>
          <w:szCs w:val="24"/>
        </w:rPr>
        <w:t xml:space="preserve"> (COPD)</w:t>
      </w:r>
      <w:r w:rsidR="00B62641" w:rsidRPr="00A6728C">
        <w:rPr>
          <w:rFonts w:eastAsia="Times New Roman"/>
          <w:sz w:val="24"/>
          <w:szCs w:val="24"/>
        </w:rPr>
        <w:t xml:space="preserve"> </w:t>
      </w:r>
      <w:r w:rsidR="007F03A6" w:rsidRPr="00A6728C">
        <w:rPr>
          <w:rFonts w:eastAsia="Times New Roman"/>
          <w:sz w:val="24"/>
          <w:szCs w:val="24"/>
        </w:rPr>
        <w:t>who died</w:t>
      </w:r>
      <w:r w:rsidR="00236195" w:rsidRPr="00A6728C">
        <w:rPr>
          <w:rFonts w:eastAsia="Times New Roman"/>
          <w:sz w:val="24"/>
          <w:szCs w:val="24"/>
        </w:rPr>
        <w:t>.</w:t>
      </w:r>
    </w:p>
    <w:p w14:paraId="7363DCA7" w14:textId="5914EC33" w:rsidR="00B17242" w:rsidRPr="00A6728C" w:rsidRDefault="00B17242" w:rsidP="00FF546F">
      <w:pPr>
        <w:spacing w:line="360" w:lineRule="auto"/>
        <w:jc w:val="both"/>
        <w:rPr>
          <w:sz w:val="24"/>
          <w:szCs w:val="24"/>
        </w:rPr>
      </w:pPr>
    </w:p>
    <w:p w14:paraId="12B65259" w14:textId="77777777" w:rsidR="00B17242" w:rsidRPr="00A6728C" w:rsidRDefault="00B17242" w:rsidP="00FF546F">
      <w:pPr>
        <w:spacing w:line="360" w:lineRule="auto"/>
        <w:jc w:val="both"/>
        <w:rPr>
          <w:sz w:val="24"/>
          <w:szCs w:val="24"/>
        </w:rPr>
      </w:pPr>
    </w:p>
    <w:p w14:paraId="73B08544" w14:textId="4DD28348" w:rsidR="00230150" w:rsidRPr="00A6728C" w:rsidRDefault="000008F7" w:rsidP="00FF546F">
      <w:pPr>
        <w:spacing w:line="480" w:lineRule="auto"/>
        <w:jc w:val="both"/>
        <w:rPr>
          <w:rFonts w:eastAsia="Times New Roman"/>
          <w:sz w:val="24"/>
          <w:szCs w:val="24"/>
          <w:lang w:val="en-US"/>
        </w:rPr>
      </w:pPr>
      <w:r w:rsidRPr="00A6728C">
        <w:rPr>
          <w:noProof/>
          <w:sz w:val="24"/>
          <w:szCs w:val="24"/>
          <w:lang w:val="en-US" w:eastAsia="en-US"/>
        </w:rPr>
        <w:drawing>
          <wp:inline distT="0" distB="0" distL="0" distR="0" wp14:anchorId="41131658" wp14:editId="4D1D7E84">
            <wp:extent cx="5339974" cy="2700000"/>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974" cy="2700000"/>
                    </a:xfrm>
                    <a:prstGeom prst="rect">
                      <a:avLst/>
                    </a:prstGeom>
                    <a:noFill/>
                    <a:ln>
                      <a:noFill/>
                    </a:ln>
                  </pic:spPr>
                </pic:pic>
              </a:graphicData>
            </a:graphic>
          </wp:inline>
        </w:drawing>
      </w:r>
    </w:p>
    <w:p w14:paraId="66D4CD5D" w14:textId="77777777" w:rsidR="000008F7" w:rsidRPr="00A6728C" w:rsidRDefault="000008F7" w:rsidP="00FF546F">
      <w:pPr>
        <w:jc w:val="both"/>
        <w:rPr>
          <w:rFonts w:eastAsia="Times New Roman"/>
          <w:b/>
          <w:sz w:val="24"/>
          <w:szCs w:val="24"/>
          <w:lang w:val="en-US"/>
        </w:rPr>
      </w:pPr>
      <w:r w:rsidRPr="00A6728C">
        <w:rPr>
          <w:rFonts w:eastAsia="Times New Roman"/>
          <w:b/>
          <w:sz w:val="24"/>
          <w:szCs w:val="24"/>
          <w:lang w:val="en-US"/>
        </w:rPr>
        <w:br w:type="page"/>
      </w:r>
    </w:p>
    <w:p w14:paraId="01C080B3" w14:textId="244EBC6B" w:rsidR="00EB39A6" w:rsidRDefault="00EB39A6" w:rsidP="00FF546F">
      <w:pPr>
        <w:jc w:val="both"/>
        <w:rPr>
          <w:rFonts w:eastAsia="Times New Roman"/>
          <w:b/>
          <w:sz w:val="24"/>
          <w:szCs w:val="24"/>
          <w:lang w:val="en-US"/>
        </w:rPr>
      </w:pPr>
    </w:p>
    <w:p w14:paraId="1411339F" w14:textId="500C4504" w:rsidR="00B21BD7" w:rsidRPr="00A6728C" w:rsidRDefault="00CF3F37" w:rsidP="00FF546F">
      <w:pPr>
        <w:spacing w:line="360" w:lineRule="auto"/>
        <w:jc w:val="both"/>
        <w:rPr>
          <w:rFonts w:eastAsia="Times New Roman"/>
          <w:b/>
          <w:sz w:val="24"/>
          <w:szCs w:val="24"/>
          <w:lang w:val="en-US"/>
        </w:rPr>
      </w:pPr>
      <w:r w:rsidRPr="00A6728C">
        <w:rPr>
          <w:rFonts w:eastAsia="Times New Roman"/>
          <w:b/>
          <w:sz w:val="24"/>
          <w:szCs w:val="24"/>
          <w:lang w:val="en-US"/>
        </w:rPr>
        <w:t>SUPPLEMENTARY REFERENCES</w:t>
      </w:r>
    </w:p>
    <w:p w14:paraId="589A194E" w14:textId="41FE29F5" w:rsidR="00CF3F37" w:rsidRPr="00A6728C" w:rsidRDefault="00D227B8" w:rsidP="00FF546F">
      <w:pPr>
        <w:spacing w:line="360" w:lineRule="auto"/>
        <w:jc w:val="both"/>
        <w:rPr>
          <w:sz w:val="24"/>
          <w:szCs w:val="24"/>
        </w:rPr>
      </w:pPr>
      <w:r>
        <w:rPr>
          <w:sz w:val="24"/>
          <w:szCs w:val="24"/>
        </w:rPr>
        <w:t>E</w:t>
      </w:r>
      <w:r w:rsidR="00F15C39" w:rsidRPr="00A6728C">
        <w:rPr>
          <w:sz w:val="24"/>
          <w:szCs w:val="24"/>
        </w:rPr>
        <w:t>1.</w:t>
      </w:r>
      <w:r w:rsidR="005E4085" w:rsidRPr="00A6728C">
        <w:rPr>
          <w:sz w:val="24"/>
          <w:szCs w:val="24"/>
        </w:rPr>
        <w:t xml:space="preserve"> </w:t>
      </w:r>
      <w:r w:rsidR="00436FAC" w:rsidRPr="00A6728C">
        <w:rPr>
          <w:sz w:val="24"/>
          <w:szCs w:val="24"/>
        </w:rPr>
        <w:t>Global Strategy for the Diagnosis, Management and Prevention of Chronic Obstructive Pulmonary Disease, Global Initiative for Chronic Obstructive Lung Disease (GOLD) 2020. goldcopd.org</w:t>
      </w:r>
    </w:p>
    <w:p w14:paraId="5041FDC6" w14:textId="6EBA69C4" w:rsidR="00D621E1" w:rsidRPr="00A6728C" w:rsidRDefault="00D227B8" w:rsidP="00FF546F">
      <w:pPr>
        <w:spacing w:line="360" w:lineRule="auto"/>
        <w:jc w:val="both"/>
        <w:rPr>
          <w:sz w:val="24"/>
          <w:szCs w:val="24"/>
        </w:rPr>
      </w:pPr>
      <w:r>
        <w:rPr>
          <w:sz w:val="24"/>
          <w:szCs w:val="24"/>
        </w:rPr>
        <w:t>E</w:t>
      </w:r>
      <w:r w:rsidR="00D621E1" w:rsidRPr="00A6728C">
        <w:rPr>
          <w:sz w:val="24"/>
          <w:szCs w:val="24"/>
        </w:rPr>
        <w:t>2. Celli BR, G Cote C, Marin JM, et al., The body-mass index, airflow obstruction, dyspnea, and exercise capacity index in chronic obstructive pulmonary disease. N Engl J Med 2004;350:1005-12.</w:t>
      </w:r>
    </w:p>
    <w:p w14:paraId="72F617AD" w14:textId="50FD54BE" w:rsidR="007710B8" w:rsidRPr="006E2F21" w:rsidRDefault="00D227B8" w:rsidP="00FF546F">
      <w:pPr>
        <w:spacing w:line="360" w:lineRule="auto"/>
        <w:jc w:val="both"/>
        <w:rPr>
          <w:sz w:val="24"/>
          <w:szCs w:val="24"/>
          <w:lang w:val="en-US"/>
        </w:rPr>
      </w:pPr>
      <w:r>
        <w:rPr>
          <w:sz w:val="24"/>
          <w:szCs w:val="24"/>
        </w:rPr>
        <w:t>E</w:t>
      </w:r>
      <w:r w:rsidR="00D621E1" w:rsidRPr="00A6728C">
        <w:rPr>
          <w:sz w:val="24"/>
          <w:szCs w:val="24"/>
        </w:rPr>
        <w:t>3</w:t>
      </w:r>
      <w:r w:rsidR="00CF3F37" w:rsidRPr="00A6728C">
        <w:rPr>
          <w:sz w:val="24"/>
          <w:szCs w:val="24"/>
        </w:rPr>
        <w:t>.</w:t>
      </w:r>
      <w:r w:rsidR="005E4085" w:rsidRPr="00A6728C">
        <w:rPr>
          <w:sz w:val="24"/>
          <w:szCs w:val="24"/>
        </w:rPr>
        <w:t xml:space="preserve"> </w:t>
      </w:r>
      <w:r w:rsidR="007710B8" w:rsidRPr="00A6728C">
        <w:rPr>
          <w:sz w:val="24"/>
          <w:szCs w:val="24"/>
        </w:rPr>
        <w:t xml:space="preserve">Schaberg T, Theilacker C, Nitschke OT, Lode H. Lymphocyte subsets in peripheral blood and smoking habits. </w:t>
      </w:r>
      <w:r w:rsidR="007710B8" w:rsidRPr="006E2F21">
        <w:rPr>
          <w:sz w:val="24"/>
          <w:szCs w:val="24"/>
          <w:lang w:val="en-US"/>
        </w:rPr>
        <w:t>Lung. 1997;175:387–94.</w:t>
      </w:r>
    </w:p>
    <w:p w14:paraId="0FB5BACB" w14:textId="1EE5661D" w:rsidR="00F15C39" w:rsidRDefault="00D227B8" w:rsidP="00FF546F">
      <w:pPr>
        <w:pStyle w:val="Bibliografia1"/>
        <w:tabs>
          <w:tab w:val="clear" w:pos="260"/>
          <w:tab w:val="clear" w:pos="380"/>
          <w:tab w:val="left" w:pos="709"/>
        </w:tabs>
        <w:spacing w:after="0" w:line="360" w:lineRule="auto"/>
        <w:ind w:left="0" w:firstLine="0"/>
        <w:jc w:val="both"/>
        <w:rPr>
          <w:sz w:val="24"/>
          <w:szCs w:val="24"/>
        </w:rPr>
      </w:pPr>
      <w:r w:rsidRPr="004F018C">
        <w:rPr>
          <w:sz w:val="24"/>
          <w:szCs w:val="24"/>
          <w:lang w:val="en-US"/>
        </w:rPr>
        <w:t>E</w:t>
      </w:r>
      <w:r w:rsidR="00D621E1" w:rsidRPr="004F018C">
        <w:rPr>
          <w:sz w:val="24"/>
          <w:szCs w:val="24"/>
          <w:lang w:val="en-US"/>
        </w:rPr>
        <w:t>4</w:t>
      </w:r>
      <w:r w:rsidR="00CF3F37" w:rsidRPr="004F018C">
        <w:rPr>
          <w:sz w:val="24"/>
          <w:szCs w:val="24"/>
          <w:lang w:val="en-US"/>
        </w:rPr>
        <w:t xml:space="preserve">. </w:t>
      </w:r>
      <w:proofErr w:type="spellStart"/>
      <w:r w:rsidR="00F15C39" w:rsidRPr="004F018C">
        <w:rPr>
          <w:sz w:val="24"/>
          <w:szCs w:val="24"/>
          <w:lang w:val="en-US"/>
        </w:rPr>
        <w:t>To</w:t>
      </w:r>
      <w:r w:rsidR="00D962B4" w:rsidRPr="004F018C">
        <w:rPr>
          <w:sz w:val="24"/>
          <w:szCs w:val="24"/>
          <w:lang w:val="en-US"/>
        </w:rPr>
        <w:t>sato</w:t>
      </w:r>
      <w:proofErr w:type="spellEnd"/>
      <w:r w:rsidR="00D962B4" w:rsidRPr="004F018C">
        <w:rPr>
          <w:sz w:val="24"/>
          <w:szCs w:val="24"/>
          <w:lang w:val="en-US"/>
        </w:rPr>
        <w:t xml:space="preserve"> F, </w:t>
      </w:r>
      <w:proofErr w:type="spellStart"/>
      <w:r w:rsidR="00D962B4" w:rsidRPr="004F018C">
        <w:rPr>
          <w:sz w:val="24"/>
          <w:szCs w:val="24"/>
          <w:lang w:val="en-US"/>
        </w:rPr>
        <w:t>Bernardi</w:t>
      </w:r>
      <w:proofErr w:type="spellEnd"/>
      <w:r w:rsidR="00D962B4" w:rsidRPr="004F018C">
        <w:rPr>
          <w:sz w:val="24"/>
          <w:szCs w:val="24"/>
          <w:lang w:val="en-US"/>
        </w:rPr>
        <w:t xml:space="preserve"> D, </w:t>
      </w:r>
      <w:proofErr w:type="spellStart"/>
      <w:r w:rsidR="00D962B4" w:rsidRPr="004F018C">
        <w:rPr>
          <w:sz w:val="24"/>
          <w:szCs w:val="24"/>
          <w:lang w:val="en-US"/>
        </w:rPr>
        <w:t>Sanzari</w:t>
      </w:r>
      <w:proofErr w:type="spellEnd"/>
      <w:r w:rsidR="00D962B4" w:rsidRPr="004F018C">
        <w:rPr>
          <w:sz w:val="24"/>
          <w:szCs w:val="24"/>
          <w:lang w:val="en-US"/>
        </w:rPr>
        <w:t xml:space="preserve"> MC, </w:t>
      </w:r>
      <w:proofErr w:type="spellStart"/>
      <w:r w:rsidR="00F15C39" w:rsidRPr="004F018C">
        <w:rPr>
          <w:sz w:val="24"/>
          <w:szCs w:val="24"/>
          <w:lang w:val="en-US"/>
        </w:rPr>
        <w:t>Pantano</w:t>
      </w:r>
      <w:proofErr w:type="spellEnd"/>
      <w:r w:rsidR="00F15C39" w:rsidRPr="004F018C">
        <w:rPr>
          <w:sz w:val="24"/>
          <w:szCs w:val="24"/>
          <w:lang w:val="en-US"/>
        </w:rPr>
        <w:t xml:space="preserve"> G, </w:t>
      </w:r>
      <w:proofErr w:type="spellStart"/>
      <w:r w:rsidR="00F15C39" w:rsidRPr="004F018C">
        <w:rPr>
          <w:sz w:val="24"/>
          <w:szCs w:val="24"/>
          <w:lang w:val="en-US"/>
        </w:rPr>
        <w:t>Plebani</w:t>
      </w:r>
      <w:proofErr w:type="spellEnd"/>
      <w:r w:rsidR="00F15C39" w:rsidRPr="004F018C">
        <w:rPr>
          <w:sz w:val="24"/>
          <w:szCs w:val="24"/>
          <w:lang w:val="en-US"/>
        </w:rPr>
        <w:t xml:space="preserve"> M. </w:t>
      </w:r>
      <w:r w:rsidR="004F018C" w:rsidRPr="004F018C">
        <w:rPr>
          <w:sz w:val="24"/>
          <w:szCs w:val="24"/>
          <w:lang w:val="en-US"/>
        </w:rPr>
        <w:t>Biological variability of lymphocyte subsets of human adults' blood</w:t>
      </w:r>
      <w:r w:rsidR="004F018C" w:rsidRPr="004F018C" w:rsidDel="004F018C">
        <w:rPr>
          <w:sz w:val="24"/>
          <w:szCs w:val="24"/>
          <w:lang w:val="en-US"/>
        </w:rPr>
        <w:t xml:space="preserve"> </w:t>
      </w:r>
      <w:proofErr w:type="spellStart"/>
      <w:r w:rsidR="00F15C39" w:rsidRPr="00A6728C">
        <w:rPr>
          <w:sz w:val="24"/>
          <w:szCs w:val="24"/>
        </w:rPr>
        <w:t>Clin</w:t>
      </w:r>
      <w:proofErr w:type="spellEnd"/>
      <w:r w:rsidR="00F15C39" w:rsidRPr="00A6728C">
        <w:rPr>
          <w:sz w:val="24"/>
          <w:szCs w:val="24"/>
        </w:rPr>
        <w:t xml:space="preserve"> </w:t>
      </w:r>
      <w:proofErr w:type="spellStart"/>
      <w:r w:rsidR="00F15C39" w:rsidRPr="00A6728C">
        <w:rPr>
          <w:sz w:val="24"/>
          <w:szCs w:val="24"/>
        </w:rPr>
        <w:t>Chim</w:t>
      </w:r>
      <w:proofErr w:type="spellEnd"/>
      <w:r w:rsidR="00F15C39" w:rsidRPr="00A6728C">
        <w:rPr>
          <w:sz w:val="24"/>
          <w:szCs w:val="24"/>
        </w:rPr>
        <w:t xml:space="preserve"> Acta. 2013;424:159-63.</w:t>
      </w:r>
    </w:p>
    <w:p w14:paraId="40DE6169" w14:textId="749E2FCA" w:rsidR="004937D2" w:rsidRPr="004937D2" w:rsidRDefault="004937D2" w:rsidP="00FF546F">
      <w:pPr>
        <w:pStyle w:val="Bibliografia1"/>
        <w:tabs>
          <w:tab w:val="clear" w:pos="260"/>
          <w:tab w:val="clear" w:pos="380"/>
          <w:tab w:val="left" w:pos="709"/>
        </w:tabs>
        <w:spacing w:after="0" w:line="360" w:lineRule="auto"/>
        <w:ind w:left="0" w:firstLine="0"/>
        <w:jc w:val="both"/>
        <w:rPr>
          <w:sz w:val="24"/>
          <w:szCs w:val="24"/>
          <w:lang w:val="en-US"/>
        </w:rPr>
      </w:pPr>
      <w:r w:rsidRPr="004937D2">
        <w:rPr>
          <w:sz w:val="24"/>
          <w:szCs w:val="24"/>
          <w:lang w:val="en-US"/>
        </w:rPr>
        <w:t xml:space="preserve">E5. </w:t>
      </w:r>
      <w:proofErr w:type="spellStart"/>
      <w:r>
        <w:rPr>
          <w:sz w:val="24"/>
          <w:szCs w:val="24"/>
          <w:lang w:val="en-US"/>
        </w:rPr>
        <w:t>B</w:t>
      </w:r>
      <w:r w:rsidRPr="004937D2">
        <w:rPr>
          <w:sz w:val="24"/>
          <w:szCs w:val="24"/>
          <w:lang w:val="en-US"/>
        </w:rPr>
        <w:t>ertouch</w:t>
      </w:r>
      <w:proofErr w:type="spellEnd"/>
      <w:r>
        <w:rPr>
          <w:sz w:val="24"/>
          <w:szCs w:val="24"/>
          <w:lang w:val="en-US"/>
        </w:rPr>
        <w:t xml:space="preserve"> JV</w:t>
      </w:r>
      <w:r w:rsidRPr="004937D2">
        <w:rPr>
          <w:sz w:val="24"/>
          <w:szCs w:val="24"/>
          <w:lang w:val="en-US"/>
        </w:rPr>
        <w:t xml:space="preserve">, </w:t>
      </w:r>
      <w:r>
        <w:rPr>
          <w:sz w:val="24"/>
          <w:szCs w:val="24"/>
          <w:lang w:val="en-US"/>
        </w:rPr>
        <w:t>R</w:t>
      </w:r>
      <w:r w:rsidRPr="004937D2">
        <w:rPr>
          <w:sz w:val="24"/>
          <w:szCs w:val="24"/>
          <w:lang w:val="en-US"/>
        </w:rPr>
        <w:t>oberts-</w:t>
      </w:r>
      <w:r>
        <w:rPr>
          <w:sz w:val="24"/>
          <w:szCs w:val="24"/>
          <w:lang w:val="en-US"/>
        </w:rPr>
        <w:t>T</w:t>
      </w:r>
      <w:r w:rsidRPr="004937D2">
        <w:rPr>
          <w:sz w:val="24"/>
          <w:szCs w:val="24"/>
          <w:lang w:val="en-US"/>
        </w:rPr>
        <w:t>homson</w:t>
      </w:r>
      <w:r>
        <w:rPr>
          <w:sz w:val="24"/>
          <w:szCs w:val="24"/>
          <w:lang w:val="en-US"/>
        </w:rPr>
        <w:t xml:space="preserve"> PJ</w:t>
      </w:r>
      <w:r w:rsidRPr="004937D2">
        <w:rPr>
          <w:sz w:val="24"/>
          <w:szCs w:val="24"/>
          <w:lang w:val="en-US"/>
        </w:rPr>
        <w:t xml:space="preserve">, </w:t>
      </w:r>
      <w:r w:rsidR="00C55A1A">
        <w:rPr>
          <w:sz w:val="24"/>
          <w:szCs w:val="24"/>
          <w:lang w:val="en-US"/>
        </w:rPr>
        <w:t>B</w:t>
      </w:r>
      <w:r w:rsidRPr="004937D2">
        <w:rPr>
          <w:sz w:val="24"/>
          <w:szCs w:val="24"/>
          <w:lang w:val="en-US"/>
        </w:rPr>
        <w:t>radley</w:t>
      </w:r>
      <w:r w:rsidR="00C55A1A">
        <w:rPr>
          <w:sz w:val="24"/>
          <w:szCs w:val="24"/>
          <w:lang w:val="en-US"/>
        </w:rPr>
        <w:t xml:space="preserve"> J. </w:t>
      </w:r>
      <w:r w:rsidR="00C55A1A" w:rsidRPr="00C55A1A">
        <w:rPr>
          <w:sz w:val="24"/>
          <w:szCs w:val="24"/>
          <w:lang w:val="en-US"/>
        </w:rPr>
        <w:t>Diurnal variation of lymphocyte subsets identified by monoclonal antibodies</w:t>
      </w:r>
      <w:r w:rsidR="00C55A1A">
        <w:rPr>
          <w:sz w:val="24"/>
          <w:szCs w:val="24"/>
          <w:lang w:val="en-US"/>
        </w:rPr>
        <w:t xml:space="preserve">. BMJ. </w:t>
      </w:r>
      <w:proofErr w:type="gramStart"/>
      <w:r w:rsidR="00C55A1A">
        <w:rPr>
          <w:sz w:val="24"/>
          <w:szCs w:val="24"/>
          <w:lang w:val="en-US"/>
        </w:rPr>
        <w:t>1983;286:1171</w:t>
      </w:r>
      <w:proofErr w:type="gramEnd"/>
      <w:r w:rsidR="00C55A1A">
        <w:rPr>
          <w:sz w:val="24"/>
          <w:szCs w:val="24"/>
          <w:lang w:val="en-US"/>
        </w:rPr>
        <w:t>-1172</w:t>
      </w:r>
    </w:p>
    <w:p w14:paraId="40140AE6" w14:textId="5BF2E12F" w:rsidR="00F15C39" w:rsidRPr="004937D2" w:rsidRDefault="00F15C39" w:rsidP="00FF546F">
      <w:pPr>
        <w:spacing w:line="480" w:lineRule="auto"/>
        <w:jc w:val="both"/>
        <w:rPr>
          <w:rFonts w:eastAsia="Times New Roman"/>
          <w:sz w:val="24"/>
          <w:szCs w:val="24"/>
          <w:lang w:val="en-US"/>
        </w:rPr>
      </w:pPr>
    </w:p>
    <w:sectPr w:rsidR="00F15C39" w:rsidRPr="004937D2" w:rsidSect="002A5544">
      <w:footerReference w:type="even" r:id="rId14"/>
      <w:footerReference w:type="default" r:id="rId15"/>
      <w:pgSz w:w="12240" w:h="15840"/>
      <w:pgMar w:top="1440" w:right="1041"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A35B" w14:textId="77777777" w:rsidR="00546E0D" w:rsidRDefault="00546E0D" w:rsidP="00120014">
      <w:pPr>
        <w:spacing w:line="240" w:lineRule="auto"/>
      </w:pPr>
      <w:r>
        <w:separator/>
      </w:r>
    </w:p>
  </w:endnote>
  <w:endnote w:type="continuationSeparator" w:id="0">
    <w:p w14:paraId="547D1E74" w14:textId="77777777" w:rsidR="00546E0D" w:rsidRDefault="00546E0D" w:rsidP="00120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1EA6" w14:textId="77777777" w:rsidR="007710B8" w:rsidRDefault="007710B8" w:rsidP="004D19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D5C10E" w14:textId="77777777" w:rsidR="007710B8" w:rsidRDefault="007710B8" w:rsidP="00B415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0E20" w14:textId="4397F94B" w:rsidR="007710B8" w:rsidRDefault="007710B8" w:rsidP="004D19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22F7">
      <w:rPr>
        <w:rStyle w:val="Numeropagina"/>
        <w:noProof/>
      </w:rPr>
      <w:t>1</w:t>
    </w:r>
    <w:r>
      <w:rPr>
        <w:rStyle w:val="Numeropagina"/>
      </w:rPr>
      <w:fldChar w:fldCharType="end"/>
    </w:r>
  </w:p>
  <w:p w14:paraId="66BCDE89" w14:textId="77777777" w:rsidR="007710B8" w:rsidRDefault="007710B8" w:rsidP="00230B0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3DA0" w14:textId="77777777" w:rsidR="00546E0D" w:rsidRDefault="00546E0D" w:rsidP="00120014">
      <w:pPr>
        <w:spacing w:line="240" w:lineRule="auto"/>
      </w:pPr>
      <w:r>
        <w:separator/>
      </w:r>
    </w:p>
  </w:footnote>
  <w:footnote w:type="continuationSeparator" w:id="0">
    <w:p w14:paraId="1C79E1EC" w14:textId="77777777" w:rsidR="00546E0D" w:rsidRDefault="00546E0D" w:rsidP="001200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it-IT" w:vendorID="64" w:dllVersion="409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59"/>
    <w:rsid w:val="000008F7"/>
    <w:rsid w:val="000025C8"/>
    <w:rsid w:val="0000413D"/>
    <w:rsid w:val="00006886"/>
    <w:rsid w:val="00007029"/>
    <w:rsid w:val="0000704F"/>
    <w:rsid w:val="00007C79"/>
    <w:rsid w:val="0001093F"/>
    <w:rsid w:val="000141A8"/>
    <w:rsid w:val="000146F2"/>
    <w:rsid w:val="0001590C"/>
    <w:rsid w:val="0002005D"/>
    <w:rsid w:val="00022917"/>
    <w:rsid w:val="0002578D"/>
    <w:rsid w:val="0002599C"/>
    <w:rsid w:val="000310AA"/>
    <w:rsid w:val="000310F0"/>
    <w:rsid w:val="00040A48"/>
    <w:rsid w:val="000428BD"/>
    <w:rsid w:val="0004418A"/>
    <w:rsid w:val="0004534E"/>
    <w:rsid w:val="0005205D"/>
    <w:rsid w:val="00055FA9"/>
    <w:rsid w:val="0006035C"/>
    <w:rsid w:val="000605AA"/>
    <w:rsid w:val="000621DC"/>
    <w:rsid w:val="00063A2D"/>
    <w:rsid w:val="000666BB"/>
    <w:rsid w:val="00066CB5"/>
    <w:rsid w:val="00066DE2"/>
    <w:rsid w:val="00070153"/>
    <w:rsid w:val="00072703"/>
    <w:rsid w:val="00072BF1"/>
    <w:rsid w:val="00073D56"/>
    <w:rsid w:val="00080F1C"/>
    <w:rsid w:val="00081CA2"/>
    <w:rsid w:val="00082BF0"/>
    <w:rsid w:val="00084BD5"/>
    <w:rsid w:val="00085C8E"/>
    <w:rsid w:val="00086A9F"/>
    <w:rsid w:val="00087F9D"/>
    <w:rsid w:val="000969EC"/>
    <w:rsid w:val="000A126F"/>
    <w:rsid w:val="000A15FE"/>
    <w:rsid w:val="000A1A33"/>
    <w:rsid w:val="000A1F01"/>
    <w:rsid w:val="000A23EB"/>
    <w:rsid w:val="000A4C1D"/>
    <w:rsid w:val="000A513A"/>
    <w:rsid w:val="000B36CE"/>
    <w:rsid w:val="000B68A3"/>
    <w:rsid w:val="000B729C"/>
    <w:rsid w:val="000B7B6F"/>
    <w:rsid w:val="000C4252"/>
    <w:rsid w:val="000C470E"/>
    <w:rsid w:val="000C5B78"/>
    <w:rsid w:val="000D04D5"/>
    <w:rsid w:val="000D0D44"/>
    <w:rsid w:val="000D23A4"/>
    <w:rsid w:val="000D24B9"/>
    <w:rsid w:val="000D3CFD"/>
    <w:rsid w:val="000D4A76"/>
    <w:rsid w:val="000D547B"/>
    <w:rsid w:val="000D6B40"/>
    <w:rsid w:val="000E077A"/>
    <w:rsid w:val="000E0BD0"/>
    <w:rsid w:val="000E30A4"/>
    <w:rsid w:val="000F1458"/>
    <w:rsid w:val="000F3852"/>
    <w:rsid w:val="000F38FF"/>
    <w:rsid w:val="000F3E18"/>
    <w:rsid w:val="000F5566"/>
    <w:rsid w:val="000F6151"/>
    <w:rsid w:val="00102DCB"/>
    <w:rsid w:val="00104526"/>
    <w:rsid w:val="0011202E"/>
    <w:rsid w:val="001126F4"/>
    <w:rsid w:val="001163F8"/>
    <w:rsid w:val="00117B76"/>
    <w:rsid w:val="00120014"/>
    <w:rsid w:val="001263E8"/>
    <w:rsid w:val="00130B76"/>
    <w:rsid w:val="00131DE8"/>
    <w:rsid w:val="001430F0"/>
    <w:rsid w:val="00144CB7"/>
    <w:rsid w:val="00146AA8"/>
    <w:rsid w:val="001476C3"/>
    <w:rsid w:val="00155A2A"/>
    <w:rsid w:val="00160CE7"/>
    <w:rsid w:val="0016265D"/>
    <w:rsid w:val="00163272"/>
    <w:rsid w:val="00171B3F"/>
    <w:rsid w:val="00174115"/>
    <w:rsid w:val="001757DB"/>
    <w:rsid w:val="00176EEE"/>
    <w:rsid w:val="001775E6"/>
    <w:rsid w:val="001817B5"/>
    <w:rsid w:val="001824E5"/>
    <w:rsid w:val="00183189"/>
    <w:rsid w:val="001842D5"/>
    <w:rsid w:val="00184BDC"/>
    <w:rsid w:val="001853C7"/>
    <w:rsid w:val="001862B7"/>
    <w:rsid w:val="0018647E"/>
    <w:rsid w:val="00194B00"/>
    <w:rsid w:val="0019647A"/>
    <w:rsid w:val="001A1B6D"/>
    <w:rsid w:val="001A2615"/>
    <w:rsid w:val="001A3E4C"/>
    <w:rsid w:val="001A6B6B"/>
    <w:rsid w:val="001A7EF7"/>
    <w:rsid w:val="001B10F5"/>
    <w:rsid w:val="001B1FF2"/>
    <w:rsid w:val="001B283F"/>
    <w:rsid w:val="001B2FF4"/>
    <w:rsid w:val="001B334B"/>
    <w:rsid w:val="001B62BA"/>
    <w:rsid w:val="001C005C"/>
    <w:rsid w:val="001C1762"/>
    <w:rsid w:val="001C1AE7"/>
    <w:rsid w:val="001C5FDD"/>
    <w:rsid w:val="001D24BF"/>
    <w:rsid w:val="001D3982"/>
    <w:rsid w:val="001D4F8D"/>
    <w:rsid w:val="001D6925"/>
    <w:rsid w:val="001D79A4"/>
    <w:rsid w:val="001E197B"/>
    <w:rsid w:val="001E392B"/>
    <w:rsid w:val="001E482F"/>
    <w:rsid w:val="001E5937"/>
    <w:rsid w:val="001F3BF4"/>
    <w:rsid w:val="001F520E"/>
    <w:rsid w:val="001F593A"/>
    <w:rsid w:val="001F72D8"/>
    <w:rsid w:val="002009D8"/>
    <w:rsid w:val="00201E34"/>
    <w:rsid w:val="002028BD"/>
    <w:rsid w:val="00202DE6"/>
    <w:rsid w:val="00203C57"/>
    <w:rsid w:val="002040A9"/>
    <w:rsid w:val="00204D3E"/>
    <w:rsid w:val="00211017"/>
    <w:rsid w:val="00213D6D"/>
    <w:rsid w:val="0021488F"/>
    <w:rsid w:val="0021633B"/>
    <w:rsid w:val="00216F93"/>
    <w:rsid w:val="00217A81"/>
    <w:rsid w:val="00221A8C"/>
    <w:rsid w:val="00222591"/>
    <w:rsid w:val="00223E52"/>
    <w:rsid w:val="00227A8A"/>
    <w:rsid w:val="002300A4"/>
    <w:rsid w:val="00230150"/>
    <w:rsid w:val="00230B08"/>
    <w:rsid w:val="00233EE8"/>
    <w:rsid w:val="00236195"/>
    <w:rsid w:val="002414C4"/>
    <w:rsid w:val="00242079"/>
    <w:rsid w:val="00242561"/>
    <w:rsid w:val="00243ADC"/>
    <w:rsid w:val="00245EAF"/>
    <w:rsid w:val="002476B4"/>
    <w:rsid w:val="00250067"/>
    <w:rsid w:val="0025360A"/>
    <w:rsid w:val="00254698"/>
    <w:rsid w:val="00254C68"/>
    <w:rsid w:val="0025622D"/>
    <w:rsid w:val="00256A17"/>
    <w:rsid w:val="00261FE5"/>
    <w:rsid w:val="0026268D"/>
    <w:rsid w:val="00263035"/>
    <w:rsid w:val="00263157"/>
    <w:rsid w:val="002647F7"/>
    <w:rsid w:val="00267550"/>
    <w:rsid w:val="00270D1B"/>
    <w:rsid w:val="00271F9B"/>
    <w:rsid w:val="002763C6"/>
    <w:rsid w:val="00284890"/>
    <w:rsid w:val="002854E6"/>
    <w:rsid w:val="0029094F"/>
    <w:rsid w:val="00290E8F"/>
    <w:rsid w:val="0029717E"/>
    <w:rsid w:val="002A204D"/>
    <w:rsid w:val="002A2769"/>
    <w:rsid w:val="002A4308"/>
    <w:rsid w:val="002A5544"/>
    <w:rsid w:val="002A5D3B"/>
    <w:rsid w:val="002B00D5"/>
    <w:rsid w:val="002B0BB2"/>
    <w:rsid w:val="002B318E"/>
    <w:rsid w:val="002B505C"/>
    <w:rsid w:val="002B749E"/>
    <w:rsid w:val="002B7628"/>
    <w:rsid w:val="002B791A"/>
    <w:rsid w:val="002B7D9D"/>
    <w:rsid w:val="002C0EED"/>
    <w:rsid w:val="002C12A2"/>
    <w:rsid w:val="002C181C"/>
    <w:rsid w:val="002C1B1A"/>
    <w:rsid w:val="002C56EA"/>
    <w:rsid w:val="002C7249"/>
    <w:rsid w:val="002D1A1F"/>
    <w:rsid w:val="002D5D34"/>
    <w:rsid w:val="002E0A82"/>
    <w:rsid w:val="002E1227"/>
    <w:rsid w:val="002E7B9C"/>
    <w:rsid w:val="002F26A5"/>
    <w:rsid w:val="002F457A"/>
    <w:rsid w:val="002F57F5"/>
    <w:rsid w:val="003015CC"/>
    <w:rsid w:val="0030637F"/>
    <w:rsid w:val="0030663A"/>
    <w:rsid w:val="003161FA"/>
    <w:rsid w:val="00316F9B"/>
    <w:rsid w:val="0031764C"/>
    <w:rsid w:val="0032227E"/>
    <w:rsid w:val="0032249D"/>
    <w:rsid w:val="003248CF"/>
    <w:rsid w:val="003248F3"/>
    <w:rsid w:val="00327255"/>
    <w:rsid w:val="00327308"/>
    <w:rsid w:val="00327FE8"/>
    <w:rsid w:val="003302E9"/>
    <w:rsid w:val="00333A6F"/>
    <w:rsid w:val="003343EC"/>
    <w:rsid w:val="0033599F"/>
    <w:rsid w:val="003363AD"/>
    <w:rsid w:val="00336558"/>
    <w:rsid w:val="003448D1"/>
    <w:rsid w:val="003468CF"/>
    <w:rsid w:val="00346C83"/>
    <w:rsid w:val="00372867"/>
    <w:rsid w:val="003806C6"/>
    <w:rsid w:val="003832BA"/>
    <w:rsid w:val="00383885"/>
    <w:rsid w:val="00384396"/>
    <w:rsid w:val="00386420"/>
    <w:rsid w:val="00386DF8"/>
    <w:rsid w:val="00397997"/>
    <w:rsid w:val="003B1D52"/>
    <w:rsid w:val="003B4547"/>
    <w:rsid w:val="003B61B9"/>
    <w:rsid w:val="003D1A64"/>
    <w:rsid w:val="003D4CB5"/>
    <w:rsid w:val="003D5819"/>
    <w:rsid w:val="003E1CC1"/>
    <w:rsid w:val="003E2D3B"/>
    <w:rsid w:val="003E6090"/>
    <w:rsid w:val="003F0CBE"/>
    <w:rsid w:val="003F1986"/>
    <w:rsid w:val="003F2DDC"/>
    <w:rsid w:val="003F4E4D"/>
    <w:rsid w:val="0040047C"/>
    <w:rsid w:val="00402953"/>
    <w:rsid w:val="00402B70"/>
    <w:rsid w:val="00403CFC"/>
    <w:rsid w:val="00420D48"/>
    <w:rsid w:val="0043130C"/>
    <w:rsid w:val="00433457"/>
    <w:rsid w:val="00434142"/>
    <w:rsid w:val="00435045"/>
    <w:rsid w:val="004352F8"/>
    <w:rsid w:val="0043639D"/>
    <w:rsid w:val="00436FAC"/>
    <w:rsid w:val="004419B4"/>
    <w:rsid w:val="00441F2F"/>
    <w:rsid w:val="0044218B"/>
    <w:rsid w:val="00446743"/>
    <w:rsid w:val="0045039D"/>
    <w:rsid w:val="004522F7"/>
    <w:rsid w:val="00453CCC"/>
    <w:rsid w:val="004563E5"/>
    <w:rsid w:val="00456E7E"/>
    <w:rsid w:val="00462D08"/>
    <w:rsid w:val="00462FFD"/>
    <w:rsid w:val="004642FF"/>
    <w:rsid w:val="00466270"/>
    <w:rsid w:val="00473EFD"/>
    <w:rsid w:val="00477F1A"/>
    <w:rsid w:val="00482620"/>
    <w:rsid w:val="0048426B"/>
    <w:rsid w:val="00485950"/>
    <w:rsid w:val="00485B80"/>
    <w:rsid w:val="00490786"/>
    <w:rsid w:val="004937D2"/>
    <w:rsid w:val="00497D1C"/>
    <w:rsid w:val="004A2B88"/>
    <w:rsid w:val="004A337A"/>
    <w:rsid w:val="004A4411"/>
    <w:rsid w:val="004A5B42"/>
    <w:rsid w:val="004A7AF6"/>
    <w:rsid w:val="004B0274"/>
    <w:rsid w:val="004B0D15"/>
    <w:rsid w:val="004C74AC"/>
    <w:rsid w:val="004D1952"/>
    <w:rsid w:val="004D3028"/>
    <w:rsid w:val="004D679B"/>
    <w:rsid w:val="004D73F0"/>
    <w:rsid w:val="004E0D57"/>
    <w:rsid w:val="004E2BB5"/>
    <w:rsid w:val="004E61F1"/>
    <w:rsid w:val="004F018C"/>
    <w:rsid w:val="004F0A3B"/>
    <w:rsid w:val="004F29F5"/>
    <w:rsid w:val="004F61BF"/>
    <w:rsid w:val="004F7EE4"/>
    <w:rsid w:val="00501D42"/>
    <w:rsid w:val="00502E23"/>
    <w:rsid w:val="00504B9B"/>
    <w:rsid w:val="00505B2F"/>
    <w:rsid w:val="005067DD"/>
    <w:rsid w:val="00506D9E"/>
    <w:rsid w:val="00507B0B"/>
    <w:rsid w:val="00507F51"/>
    <w:rsid w:val="0051131A"/>
    <w:rsid w:val="00522B33"/>
    <w:rsid w:val="005249B8"/>
    <w:rsid w:val="0052658D"/>
    <w:rsid w:val="005277E0"/>
    <w:rsid w:val="005305C1"/>
    <w:rsid w:val="0053560C"/>
    <w:rsid w:val="00536364"/>
    <w:rsid w:val="00537D4A"/>
    <w:rsid w:val="00540175"/>
    <w:rsid w:val="0054218C"/>
    <w:rsid w:val="00542973"/>
    <w:rsid w:val="00546E0D"/>
    <w:rsid w:val="00550F5E"/>
    <w:rsid w:val="005540D7"/>
    <w:rsid w:val="0055736F"/>
    <w:rsid w:val="00557CDB"/>
    <w:rsid w:val="00560587"/>
    <w:rsid w:val="00563B83"/>
    <w:rsid w:val="00564F26"/>
    <w:rsid w:val="0056727E"/>
    <w:rsid w:val="0057077C"/>
    <w:rsid w:val="00576C90"/>
    <w:rsid w:val="00582EA7"/>
    <w:rsid w:val="00584A94"/>
    <w:rsid w:val="00584C5F"/>
    <w:rsid w:val="0059703C"/>
    <w:rsid w:val="005975DB"/>
    <w:rsid w:val="005A02DA"/>
    <w:rsid w:val="005A0EFD"/>
    <w:rsid w:val="005A1BE2"/>
    <w:rsid w:val="005A2B84"/>
    <w:rsid w:val="005A2F02"/>
    <w:rsid w:val="005B0196"/>
    <w:rsid w:val="005B03C3"/>
    <w:rsid w:val="005B0505"/>
    <w:rsid w:val="005B5BF8"/>
    <w:rsid w:val="005D0EB3"/>
    <w:rsid w:val="005D1C49"/>
    <w:rsid w:val="005E14B3"/>
    <w:rsid w:val="005E1F26"/>
    <w:rsid w:val="005E2DA7"/>
    <w:rsid w:val="005E3613"/>
    <w:rsid w:val="005E4085"/>
    <w:rsid w:val="005E5166"/>
    <w:rsid w:val="005F2BD6"/>
    <w:rsid w:val="005F3634"/>
    <w:rsid w:val="005F6425"/>
    <w:rsid w:val="005F7996"/>
    <w:rsid w:val="006010B9"/>
    <w:rsid w:val="006017D5"/>
    <w:rsid w:val="00601EF3"/>
    <w:rsid w:val="00601FEC"/>
    <w:rsid w:val="0060342A"/>
    <w:rsid w:val="006059E9"/>
    <w:rsid w:val="0061289D"/>
    <w:rsid w:val="00614ED9"/>
    <w:rsid w:val="006207CE"/>
    <w:rsid w:val="00640796"/>
    <w:rsid w:val="0064143F"/>
    <w:rsid w:val="00642FC3"/>
    <w:rsid w:val="00643C93"/>
    <w:rsid w:val="006511F8"/>
    <w:rsid w:val="00665A07"/>
    <w:rsid w:val="00665EC5"/>
    <w:rsid w:val="006679D9"/>
    <w:rsid w:val="00671B55"/>
    <w:rsid w:val="006753FD"/>
    <w:rsid w:val="00675B4F"/>
    <w:rsid w:val="0067638B"/>
    <w:rsid w:val="00676927"/>
    <w:rsid w:val="006849A8"/>
    <w:rsid w:val="00686809"/>
    <w:rsid w:val="00687701"/>
    <w:rsid w:val="00693864"/>
    <w:rsid w:val="00693D60"/>
    <w:rsid w:val="00694C61"/>
    <w:rsid w:val="0069629E"/>
    <w:rsid w:val="006962FA"/>
    <w:rsid w:val="00696D6F"/>
    <w:rsid w:val="006979E9"/>
    <w:rsid w:val="006A1D2C"/>
    <w:rsid w:val="006A24CE"/>
    <w:rsid w:val="006A26CF"/>
    <w:rsid w:val="006A3988"/>
    <w:rsid w:val="006A7011"/>
    <w:rsid w:val="006B188E"/>
    <w:rsid w:val="006B1D9F"/>
    <w:rsid w:val="006B61A2"/>
    <w:rsid w:val="006B71F6"/>
    <w:rsid w:val="006C0F6B"/>
    <w:rsid w:val="006C3156"/>
    <w:rsid w:val="006C43BC"/>
    <w:rsid w:val="006C5823"/>
    <w:rsid w:val="006C5982"/>
    <w:rsid w:val="006C6B95"/>
    <w:rsid w:val="006D3CB2"/>
    <w:rsid w:val="006D6795"/>
    <w:rsid w:val="006D7107"/>
    <w:rsid w:val="006E2D51"/>
    <w:rsid w:val="006E2F21"/>
    <w:rsid w:val="006E47F6"/>
    <w:rsid w:val="006E5193"/>
    <w:rsid w:val="006F16C3"/>
    <w:rsid w:val="006F3F0E"/>
    <w:rsid w:val="006F4A82"/>
    <w:rsid w:val="006F72BB"/>
    <w:rsid w:val="006F791E"/>
    <w:rsid w:val="007001B1"/>
    <w:rsid w:val="007013AA"/>
    <w:rsid w:val="00704C58"/>
    <w:rsid w:val="00712318"/>
    <w:rsid w:val="00714FBF"/>
    <w:rsid w:val="00717183"/>
    <w:rsid w:val="00723018"/>
    <w:rsid w:val="007247E3"/>
    <w:rsid w:val="007248CD"/>
    <w:rsid w:val="00725F33"/>
    <w:rsid w:val="007303F3"/>
    <w:rsid w:val="0073219B"/>
    <w:rsid w:val="00733483"/>
    <w:rsid w:val="00733898"/>
    <w:rsid w:val="00733AAE"/>
    <w:rsid w:val="00737008"/>
    <w:rsid w:val="00742EA5"/>
    <w:rsid w:val="00744FF6"/>
    <w:rsid w:val="00746377"/>
    <w:rsid w:val="00746A1F"/>
    <w:rsid w:val="00750D29"/>
    <w:rsid w:val="00753FFD"/>
    <w:rsid w:val="0075499D"/>
    <w:rsid w:val="00754A1E"/>
    <w:rsid w:val="00755347"/>
    <w:rsid w:val="00757021"/>
    <w:rsid w:val="00757CA5"/>
    <w:rsid w:val="00757D01"/>
    <w:rsid w:val="0076071E"/>
    <w:rsid w:val="00760733"/>
    <w:rsid w:val="007677F3"/>
    <w:rsid w:val="007710B8"/>
    <w:rsid w:val="00772325"/>
    <w:rsid w:val="00774C50"/>
    <w:rsid w:val="00777483"/>
    <w:rsid w:val="0078115C"/>
    <w:rsid w:val="00783398"/>
    <w:rsid w:val="00790362"/>
    <w:rsid w:val="00794D4B"/>
    <w:rsid w:val="00796588"/>
    <w:rsid w:val="007A22DD"/>
    <w:rsid w:val="007A4145"/>
    <w:rsid w:val="007A4355"/>
    <w:rsid w:val="007A45D3"/>
    <w:rsid w:val="007A7B46"/>
    <w:rsid w:val="007B0031"/>
    <w:rsid w:val="007B0922"/>
    <w:rsid w:val="007B106E"/>
    <w:rsid w:val="007B443C"/>
    <w:rsid w:val="007B473F"/>
    <w:rsid w:val="007C0ACE"/>
    <w:rsid w:val="007C4821"/>
    <w:rsid w:val="007C50D3"/>
    <w:rsid w:val="007C6815"/>
    <w:rsid w:val="007D09CF"/>
    <w:rsid w:val="007D143B"/>
    <w:rsid w:val="007D409E"/>
    <w:rsid w:val="007D598D"/>
    <w:rsid w:val="007E2843"/>
    <w:rsid w:val="007E3D3B"/>
    <w:rsid w:val="007E47E9"/>
    <w:rsid w:val="007E53BC"/>
    <w:rsid w:val="007E5968"/>
    <w:rsid w:val="007F03A6"/>
    <w:rsid w:val="007F0CDB"/>
    <w:rsid w:val="007F1578"/>
    <w:rsid w:val="007F2D34"/>
    <w:rsid w:val="007F3FE5"/>
    <w:rsid w:val="00801231"/>
    <w:rsid w:val="0080754D"/>
    <w:rsid w:val="00810B72"/>
    <w:rsid w:val="00812BB3"/>
    <w:rsid w:val="00821579"/>
    <w:rsid w:val="00822BDA"/>
    <w:rsid w:val="0082371F"/>
    <w:rsid w:val="0082378A"/>
    <w:rsid w:val="00825193"/>
    <w:rsid w:val="00831707"/>
    <w:rsid w:val="00837202"/>
    <w:rsid w:val="0083764E"/>
    <w:rsid w:val="008406CF"/>
    <w:rsid w:val="0084468F"/>
    <w:rsid w:val="008449F5"/>
    <w:rsid w:val="00854623"/>
    <w:rsid w:val="00854896"/>
    <w:rsid w:val="00855E43"/>
    <w:rsid w:val="008561FC"/>
    <w:rsid w:val="00856CB6"/>
    <w:rsid w:val="008617F3"/>
    <w:rsid w:val="0086362B"/>
    <w:rsid w:val="00863C52"/>
    <w:rsid w:val="0086610A"/>
    <w:rsid w:val="00866601"/>
    <w:rsid w:val="00871779"/>
    <w:rsid w:val="008722D4"/>
    <w:rsid w:val="0087257C"/>
    <w:rsid w:val="0087619F"/>
    <w:rsid w:val="0088656B"/>
    <w:rsid w:val="00886F39"/>
    <w:rsid w:val="0088774A"/>
    <w:rsid w:val="008905BD"/>
    <w:rsid w:val="008916F4"/>
    <w:rsid w:val="00891D36"/>
    <w:rsid w:val="008A02CB"/>
    <w:rsid w:val="008A18C6"/>
    <w:rsid w:val="008A36CD"/>
    <w:rsid w:val="008A5DF4"/>
    <w:rsid w:val="008A6DDA"/>
    <w:rsid w:val="008A76D4"/>
    <w:rsid w:val="008B096D"/>
    <w:rsid w:val="008B491C"/>
    <w:rsid w:val="008B7868"/>
    <w:rsid w:val="008B7869"/>
    <w:rsid w:val="008C0788"/>
    <w:rsid w:val="008C33A8"/>
    <w:rsid w:val="008D16E7"/>
    <w:rsid w:val="008D2CE8"/>
    <w:rsid w:val="008D38CA"/>
    <w:rsid w:val="008D5D36"/>
    <w:rsid w:val="008E0F5A"/>
    <w:rsid w:val="008E3C9E"/>
    <w:rsid w:val="008F3474"/>
    <w:rsid w:val="008F78D8"/>
    <w:rsid w:val="0091194B"/>
    <w:rsid w:val="00911CCC"/>
    <w:rsid w:val="00914021"/>
    <w:rsid w:val="009201F4"/>
    <w:rsid w:val="00921EA3"/>
    <w:rsid w:val="00923606"/>
    <w:rsid w:val="00925F94"/>
    <w:rsid w:val="009277C7"/>
    <w:rsid w:val="00937181"/>
    <w:rsid w:val="00940E9C"/>
    <w:rsid w:val="00941C1D"/>
    <w:rsid w:val="00947C09"/>
    <w:rsid w:val="00952587"/>
    <w:rsid w:val="00952E73"/>
    <w:rsid w:val="009579FF"/>
    <w:rsid w:val="00960605"/>
    <w:rsid w:val="0096060E"/>
    <w:rsid w:val="0096104B"/>
    <w:rsid w:val="00961A1A"/>
    <w:rsid w:val="00963699"/>
    <w:rsid w:val="00963F5D"/>
    <w:rsid w:val="00965BEC"/>
    <w:rsid w:val="00965E1A"/>
    <w:rsid w:val="0098152A"/>
    <w:rsid w:val="00984D1A"/>
    <w:rsid w:val="00991DAC"/>
    <w:rsid w:val="00994DAB"/>
    <w:rsid w:val="00997D74"/>
    <w:rsid w:val="009A27B3"/>
    <w:rsid w:val="009A3EED"/>
    <w:rsid w:val="009A41DA"/>
    <w:rsid w:val="009B3F6B"/>
    <w:rsid w:val="009B6728"/>
    <w:rsid w:val="009B7DE0"/>
    <w:rsid w:val="009C44F2"/>
    <w:rsid w:val="009C6AED"/>
    <w:rsid w:val="009D218D"/>
    <w:rsid w:val="009D7AFD"/>
    <w:rsid w:val="009E3E5F"/>
    <w:rsid w:val="009E5D7D"/>
    <w:rsid w:val="009E7348"/>
    <w:rsid w:val="009E7B97"/>
    <w:rsid w:val="009F090D"/>
    <w:rsid w:val="009F2DCD"/>
    <w:rsid w:val="009F4C61"/>
    <w:rsid w:val="009F4E7F"/>
    <w:rsid w:val="009F5B40"/>
    <w:rsid w:val="009F5BCF"/>
    <w:rsid w:val="009F7B5C"/>
    <w:rsid w:val="00A01B93"/>
    <w:rsid w:val="00A02C9E"/>
    <w:rsid w:val="00A0356F"/>
    <w:rsid w:val="00A05BC2"/>
    <w:rsid w:val="00A13099"/>
    <w:rsid w:val="00A13D63"/>
    <w:rsid w:val="00A14116"/>
    <w:rsid w:val="00A14DB3"/>
    <w:rsid w:val="00A20690"/>
    <w:rsid w:val="00A246FE"/>
    <w:rsid w:val="00A25863"/>
    <w:rsid w:val="00A25E42"/>
    <w:rsid w:val="00A366A4"/>
    <w:rsid w:val="00A369ED"/>
    <w:rsid w:val="00A37266"/>
    <w:rsid w:val="00A40673"/>
    <w:rsid w:val="00A413FF"/>
    <w:rsid w:val="00A43041"/>
    <w:rsid w:val="00A55485"/>
    <w:rsid w:val="00A55531"/>
    <w:rsid w:val="00A5782B"/>
    <w:rsid w:val="00A62C36"/>
    <w:rsid w:val="00A63808"/>
    <w:rsid w:val="00A63BF4"/>
    <w:rsid w:val="00A65923"/>
    <w:rsid w:val="00A66AF2"/>
    <w:rsid w:val="00A6728C"/>
    <w:rsid w:val="00A70755"/>
    <w:rsid w:val="00A72DF2"/>
    <w:rsid w:val="00A77BB9"/>
    <w:rsid w:val="00A80757"/>
    <w:rsid w:val="00A8128B"/>
    <w:rsid w:val="00A81F78"/>
    <w:rsid w:val="00A85E73"/>
    <w:rsid w:val="00A91253"/>
    <w:rsid w:val="00A913CA"/>
    <w:rsid w:val="00A97C36"/>
    <w:rsid w:val="00AA021C"/>
    <w:rsid w:val="00AA3A3C"/>
    <w:rsid w:val="00AA4DD1"/>
    <w:rsid w:val="00AB4E18"/>
    <w:rsid w:val="00AC1D47"/>
    <w:rsid w:val="00AC3522"/>
    <w:rsid w:val="00AC50BF"/>
    <w:rsid w:val="00AC6134"/>
    <w:rsid w:val="00AD362E"/>
    <w:rsid w:val="00AD6205"/>
    <w:rsid w:val="00AD66EF"/>
    <w:rsid w:val="00AD7669"/>
    <w:rsid w:val="00AD79AD"/>
    <w:rsid w:val="00AE03DB"/>
    <w:rsid w:val="00AE159A"/>
    <w:rsid w:val="00AE3290"/>
    <w:rsid w:val="00AE3DDA"/>
    <w:rsid w:val="00AE48C9"/>
    <w:rsid w:val="00AE58B8"/>
    <w:rsid w:val="00AE7275"/>
    <w:rsid w:val="00AE7707"/>
    <w:rsid w:val="00AF275F"/>
    <w:rsid w:val="00AF2D75"/>
    <w:rsid w:val="00AF3F20"/>
    <w:rsid w:val="00AF5F90"/>
    <w:rsid w:val="00AF6934"/>
    <w:rsid w:val="00B01E30"/>
    <w:rsid w:val="00B020AD"/>
    <w:rsid w:val="00B023E7"/>
    <w:rsid w:val="00B03068"/>
    <w:rsid w:val="00B03CFC"/>
    <w:rsid w:val="00B05165"/>
    <w:rsid w:val="00B11AA7"/>
    <w:rsid w:val="00B12A0D"/>
    <w:rsid w:val="00B13C5E"/>
    <w:rsid w:val="00B17242"/>
    <w:rsid w:val="00B21BD7"/>
    <w:rsid w:val="00B21DD9"/>
    <w:rsid w:val="00B2297A"/>
    <w:rsid w:val="00B35B3E"/>
    <w:rsid w:val="00B369E8"/>
    <w:rsid w:val="00B4063E"/>
    <w:rsid w:val="00B41566"/>
    <w:rsid w:val="00B42BF0"/>
    <w:rsid w:val="00B54C64"/>
    <w:rsid w:val="00B561BB"/>
    <w:rsid w:val="00B575D5"/>
    <w:rsid w:val="00B57884"/>
    <w:rsid w:val="00B60BEF"/>
    <w:rsid w:val="00B62641"/>
    <w:rsid w:val="00B64075"/>
    <w:rsid w:val="00B6495D"/>
    <w:rsid w:val="00B65CEB"/>
    <w:rsid w:val="00B706C7"/>
    <w:rsid w:val="00B708F8"/>
    <w:rsid w:val="00B717B4"/>
    <w:rsid w:val="00B73E37"/>
    <w:rsid w:val="00B80F9B"/>
    <w:rsid w:val="00B82234"/>
    <w:rsid w:val="00B84379"/>
    <w:rsid w:val="00B8509E"/>
    <w:rsid w:val="00B85A5B"/>
    <w:rsid w:val="00B86519"/>
    <w:rsid w:val="00B86AEC"/>
    <w:rsid w:val="00B873D3"/>
    <w:rsid w:val="00B874BC"/>
    <w:rsid w:val="00B9423C"/>
    <w:rsid w:val="00BA46DB"/>
    <w:rsid w:val="00BA5231"/>
    <w:rsid w:val="00BA65BB"/>
    <w:rsid w:val="00BA69BE"/>
    <w:rsid w:val="00BA6FD5"/>
    <w:rsid w:val="00BA709A"/>
    <w:rsid w:val="00BB2159"/>
    <w:rsid w:val="00BB2C96"/>
    <w:rsid w:val="00BB5473"/>
    <w:rsid w:val="00BB76D9"/>
    <w:rsid w:val="00BB7AB3"/>
    <w:rsid w:val="00BC04DB"/>
    <w:rsid w:val="00BC0BF8"/>
    <w:rsid w:val="00BC26B3"/>
    <w:rsid w:val="00BC454C"/>
    <w:rsid w:val="00BC6480"/>
    <w:rsid w:val="00BC774F"/>
    <w:rsid w:val="00BD31DB"/>
    <w:rsid w:val="00BD3864"/>
    <w:rsid w:val="00BD397C"/>
    <w:rsid w:val="00BD468C"/>
    <w:rsid w:val="00BD4E09"/>
    <w:rsid w:val="00BE0F89"/>
    <w:rsid w:val="00BE2BAC"/>
    <w:rsid w:val="00BE30C4"/>
    <w:rsid w:val="00BE77E9"/>
    <w:rsid w:val="00BF185B"/>
    <w:rsid w:val="00BF55FA"/>
    <w:rsid w:val="00C013B9"/>
    <w:rsid w:val="00C01717"/>
    <w:rsid w:val="00C060FD"/>
    <w:rsid w:val="00C06946"/>
    <w:rsid w:val="00C07905"/>
    <w:rsid w:val="00C10E57"/>
    <w:rsid w:val="00C11443"/>
    <w:rsid w:val="00C13972"/>
    <w:rsid w:val="00C14B60"/>
    <w:rsid w:val="00C15822"/>
    <w:rsid w:val="00C1615E"/>
    <w:rsid w:val="00C17D73"/>
    <w:rsid w:val="00C27E5A"/>
    <w:rsid w:val="00C3209A"/>
    <w:rsid w:val="00C34162"/>
    <w:rsid w:val="00C349B2"/>
    <w:rsid w:val="00C35908"/>
    <w:rsid w:val="00C36AD4"/>
    <w:rsid w:val="00C37930"/>
    <w:rsid w:val="00C37F86"/>
    <w:rsid w:val="00C404E8"/>
    <w:rsid w:val="00C4461C"/>
    <w:rsid w:val="00C50453"/>
    <w:rsid w:val="00C51559"/>
    <w:rsid w:val="00C55A1A"/>
    <w:rsid w:val="00C55AF9"/>
    <w:rsid w:val="00C563C4"/>
    <w:rsid w:val="00C62B96"/>
    <w:rsid w:val="00C653BC"/>
    <w:rsid w:val="00C70F86"/>
    <w:rsid w:val="00C7197C"/>
    <w:rsid w:val="00C72883"/>
    <w:rsid w:val="00C74194"/>
    <w:rsid w:val="00C753A2"/>
    <w:rsid w:val="00C82099"/>
    <w:rsid w:val="00C828A9"/>
    <w:rsid w:val="00C832C3"/>
    <w:rsid w:val="00C84D5A"/>
    <w:rsid w:val="00C85DD6"/>
    <w:rsid w:val="00C87266"/>
    <w:rsid w:val="00C925A6"/>
    <w:rsid w:val="00C964B6"/>
    <w:rsid w:val="00C966FB"/>
    <w:rsid w:val="00C9713B"/>
    <w:rsid w:val="00C97E66"/>
    <w:rsid w:val="00CA267E"/>
    <w:rsid w:val="00CA370C"/>
    <w:rsid w:val="00CA4E51"/>
    <w:rsid w:val="00CA6624"/>
    <w:rsid w:val="00CA7DF4"/>
    <w:rsid w:val="00CB29C4"/>
    <w:rsid w:val="00CB4093"/>
    <w:rsid w:val="00CB7057"/>
    <w:rsid w:val="00CC0FE3"/>
    <w:rsid w:val="00CC250B"/>
    <w:rsid w:val="00CC2CC0"/>
    <w:rsid w:val="00CC7842"/>
    <w:rsid w:val="00CD57CE"/>
    <w:rsid w:val="00CD5A5F"/>
    <w:rsid w:val="00CD7AAF"/>
    <w:rsid w:val="00CE0150"/>
    <w:rsid w:val="00CE183A"/>
    <w:rsid w:val="00CE1B45"/>
    <w:rsid w:val="00CE4588"/>
    <w:rsid w:val="00CE769B"/>
    <w:rsid w:val="00CF0BBD"/>
    <w:rsid w:val="00CF116D"/>
    <w:rsid w:val="00CF3F37"/>
    <w:rsid w:val="00D050B7"/>
    <w:rsid w:val="00D050EF"/>
    <w:rsid w:val="00D07458"/>
    <w:rsid w:val="00D101C2"/>
    <w:rsid w:val="00D13E41"/>
    <w:rsid w:val="00D1538B"/>
    <w:rsid w:val="00D22275"/>
    <w:rsid w:val="00D2270F"/>
    <w:rsid w:val="00D227B8"/>
    <w:rsid w:val="00D230C0"/>
    <w:rsid w:val="00D235FE"/>
    <w:rsid w:val="00D27651"/>
    <w:rsid w:val="00D30652"/>
    <w:rsid w:val="00D31E32"/>
    <w:rsid w:val="00D37AAD"/>
    <w:rsid w:val="00D463DC"/>
    <w:rsid w:val="00D46828"/>
    <w:rsid w:val="00D46FD5"/>
    <w:rsid w:val="00D51037"/>
    <w:rsid w:val="00D52080"/>
    <w:rsid w:val="00D542D8"/>
    <w:rsid w:val="00D57048"/>
    <w:rsid w:val="00D621E1"/>
    <w:rsid w:val="00D628DB"/>
    <w:rsid w:val="00D67042"/>
    <w:rsid w:val="00D67B92"/>
    <w:rsid w:val="00D73F95"/>
    <w:rsid w:val="00D81346"/>
    <w:rsid w:val="00D855B4"/>
    <w:rsid w:val="00D85696"/>
    <w:rsid w:val="00D85B9F"/>
    <w:rsid w:val="00D924F2"/>
    <w:rsid w:val="00D92FF1"/>
    <w:rsid w:val="00D962B4"/>
    <w:rsid w:val="00D96635"/>
    <w:rsid w:val="00DA31B1"/>
    <w:rsid w:val="00DA5AB8"/>
    <w:rsid w:val="00DA6677"/>
    <w:rsid w:val="00DB39B8"/>
    <w:rsid w:val="00DB62D9"/>
    <w:rsid w:val="00DC2CDB"/>
    <w:rsid w:val="00DC7196"/>
    <w:rsid w:val="00DC7C73"/>
    <w:rsid w:val="00DD07A8"/>
    <w:rsid w:val="00DD08F3"/>
    <w:rsid w:val="00DD3B03"/>
    <w:rsid w:val="00DD6AD0"/>
    <w:rsid w:val="00DE4853"/>
    <w:rsid w:val="00DE4CC9"/>
    <w:rsid w:val="00DE5AF2"/>
    <w:rsid w:val="00DE7A0D"/>
    <w:rsid w:val="00DF0571"/>
    <w:rsid w:val="00DF1DF1"/>
    <w:rsid w:val="00DF6C8D"/>
    <w:rsid w:val="00E00B15"/>
    <w:rsid w:val="00E02325"/>
    <w:rsid w:val="00E04609"/>
    <w:rsid w:val="00E10DE6"/>
    <w:rsid w:val="00E13DEF"/>
    <w:rsid w:val="00E142FE"/>
    <w:rsid w:val="00E23CCE"/>
    <w:rsid w:val="00E27B78"/>
    <w:rsid w:val="00E3068F"/>
    <w:rsid w:val="00E31C94"/>
    <w:rsid w:val="00E329CF"/>
    <w:rsid w:val="00E362B6"/>
    <w:rsid w:val="00E41909"/>
    <w:rsid w:val="00E454A3"/>
    <w:rsid w:val="00E45590"/>
    <w:rsid w:val="00E45A21"/>
    <w:rsid w:val="00E63486"/>
    <w:rsid w:val="00E63CC3"/>
    <w:rsid w:val="00E64392"/>
    <w:rsid w:val="00E71B78"/>
    <w:rsid w:val="00E71BDE"/>
    <w:rsid w:val="00E7321B"/>
    <w:rsid w:val="00E74C0C"/>
    <w:rsid w:val="00E76E20"/>
    <w:rsid w:val="00E7770A"/>
    <w:rsid w:val="00E805E5"/>
    <w:rsid w:val="00E83CB9"/>
    <w:rsid w:val="00E84506"/>
    <w:rsid w:val="00E91AD2"/>
    <w:rsid w:val="00E949DE"/>
    <w:rsid w:val="00E97C3C"/>
    <w:rsid w:val="00EA2783"/>
    <w:rsid w:val="00EA4927"/>
    <w:rsid w:val="00EA4F5E"/>
    <w:rsid w:val="00EA5AF6"/>
    <w:rsid w:val="00EA7BD1"/>
    <w:rsid w:val="00EB161B"/>
    <w:rsid w:val="00EB1AD7"/>
    <w:rsid w:val="00EB35E3"/>
    <w:rsid w:val="00EB39A6"/>
    <w:rsid w:val="00EB4D13"/>
    <w:rsid w:val="00EB557F"/>
    <w:rsid w:val="00EC09BC"/>
    <w:rsid w:val="00EC34BF"/>
    <w:rsid w:val="00EC36B2"/>
    <w:rsid w:val="00EC4016"/>
    <w:rsid w:val="00ED05AD"/>
    <w:rsid w:val="00ED1690"/>
    <w:rsid w:val="00ED510C"/>
    <w:rsid w:val="00ED6B33"/>
    <w:rsid w:val="00ED7CD9"/>
    <w:rsid w:val="00EE1A1A"/>
    <w:rsid w:val="00EE41EA"/>
    <w:rsid w:val="00EE4243"/>
    <w:rsid w:val="00EE4E0E"/>
    <w:rsid w:val="00EE5525"/>
    <w:rsid w:val="00EE7EFB"/>
    <w:rsid w:val="00EF056E"/>
    <w:rsid w:val="00EF2D29"/>
    <w:rsid w:val="00EF4223"/>
    <w:rsid w:val="00EF5465"/>
    <w:rsid w:val="00EF61AD"/>
    <w:rsid w:val="00EF7B74"/>
    <w:rsid w:val="00F00190"/>
    <w:rsid w:val="00F00B03"/>
    <w:rsid w:val="00F00E7F"/>
    <w:rsid w:val="00F01DB6"/>
    <w:rsid w:val="00F02785"/>
    <w:rsid w:val="00F03DC0"/>
    <w:rsid w:val="00F07F13"/>
    <w:rsid w:val="00F11F3A"/>
    <w:rsid w:val="00F14E6B"/>
    <w:rsid w:val="00F15C39"/>
    <w:rsid w:val="00F1680E"/>
    <w:rsid w:val="00F200B4"/>
    <w:rsid w:val="00F246D5"/>
    <w:rsid w:val="00F31603"/>
    <w:rsid w:val="00F31659"/>
    <w:rsid w:val="00F316A8"/>
    <w:rsid w:val="00F34224"/>
    <w:rsid w:val="00F35DDD"/>
    <w:rsid w:val="00F376D2"/>
    <w:rsid w:val="00F4069A"/>
    <w:rsid w:val="00F40E4F"/>
    <w:rsid w:val="00F40F06"/>
    <w:rsid w:val="00F41D4F"/>
    <w:rsid w:val="00F44A8D"/>
    <w:rsid w:val="00F45377"/>
    <w:rsid w:val="00F47EFB"/>
    <w:rsid w:val="00F52595"/>
    <w:rsid w:val="00F53518"/>
    <w:rsid w:val="00F544F8"/>
    <w:rsid w:val="00F54CB0"/>
    <w:rsid w:val="00F55D8A"/>
    <w:rsid w:val="00F56761"/>
    <w:rsid w:val="00F6061B"/>
    <w:rsid w:val="00F62EB7"/>
    <w:rsid w:val="00F6474B"/>
    <w:rsid w:val="00F648DD"/>
    <w:rsid w:val="00F65DD2"/>
    <w:rsid w:val="00F666C6"/>
    <w:rsid w:val="00F73918"/>
    <w:rsid w:val="00F73D48"/>
    <w:rsid w:val="00F73E06"/>
    <w:rsid w:val="00F76096"/>
    <w:rsid w:val="00F761DE"/>
    <w:rsid w:val="00F80B26"/>
    <w:rsid w:val="00F80F48"/>
    <w:rsid w:val="00F8799B"/>
    <w:rsid w:val="00F949E9"/>
    <w:rsid w:val="00F953DA"/>
    <w:rsid w:val="00F9636A"/>
    <w:rsid w:val="00FA01AA"/>
    <w:rsid w:val="00FA1984"/>
    <w:rsid w:val="00FA330F"/>
    <w:rsid w:val="00FA78AC"/>
    <w:rsid w:val="00FB1B59"/>
    <w:rsid w:val="00FB31BB"/>
    <w:rsid w:val="00FB623B"/>
    <w:rsid w:val="00FC3DF9"/>
    <w:rsid w:val="00FC6F79"/>
    <w:rsid w:val="00FD306E"/>
    <w:rsid w:val="00FD4918"/>
    <w:rsid w:val="00FD4AD5"/>
    <w:rsid w:val="00FD6AAA"/>
    <w:rsid w:val="00FE562C"/>
    <w:rsid w:val="00FE76DB"/>
    <w:rsid w:val="00FF23F6"/>
    <w:rsid w:val="00FF282E"/>
    <w:rsid w:val="00FF4185"/>
    <w:rsid w:val="00FF546F"/>
    <w:rsid w:val="00FF5FB2"/>
    <w:rsid w:val="00FF6DC1"/>
    <w:rsid w:val="00FF6E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0E1C2"/>
  <w15:docId w15:val="{DFF565DF-9FF6-6F4B-8449-3E737AEA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7F2D34"/>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D101C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7A4355"/>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A4355"/>
    <w:rPr>
      <w:rFonts w:ascii="Lucida Grande" w:hAnsi="Lucida Grande" w:cs="Lucida Grande"/>
      <w:sz w:val="18"/>
      <w:szCs w:val="18"/>
    </w:rPr>
  </w:style>
  <w:style w:type="paragraph" w:styleId="Pidipagina">
    <w:name w:val="footer"/>
    <w:basedOn w:val="Normale"/>
    <w:link w:val="PidipaginaCarattere"/>
    <w:uiPriority w:val="99"/>
    <w:unhideWhenUsed/>
    <w:rsid w:val="00120014"/>
    <w:pPr>
      <w:tabs>
        <w:tab w:val="center" w:pos="4320"/>
        <w:tab w:val="right" w:pos="8640"/>
      </w:tabs>
      <w:spacing w:line="240" w:lineRule="auto"/>
    </w:pPr>
  </w:style>
  <w:style w:type="character" w:customStyle="1" w:styleId="PidipaginaCarattere">
    <w:name w:val="Piè di pagina Carattere"/>
    <w:basedOn w:val="Carpredefinitoparagrafo"/>
    <w:link w:val="Pidipagina"/>
    <w:uiPriority w:val="99"/>
    <w:rsid w:val="00120014"/>
  </w:style>
  <w:style w:type="character" w:styleId="Numeropagina">
    <w:name w:val="page number"/>
    <w:basedOn w:val="Carpredefinitoparagrafo"/>
    <w:uiPriority w:val="99"/>
    <w:semiHidden/>
    <w:unhideWhenUsed/>
    <w:rsid w:val="00120014"/>
  </w:style>
  <w:style w:type="paragraph" w:styleId="Revisione">
    <w:name w:val="Revision"/>
    <w:hidden/>
    <w:uiPriority w:val="99"/>
    <w:semiHidden/>
    <w:rsid w:val="00263035"/>
    <w:pPr>
      <w:spacing w:line="240" w:lineRule="auto"/>
    </w:pPr>
  </w:style>
  <w:style w:type="character" w:styleId="Rimandocommento">
    <w:name w:val="annotation reference"/>
    <w:basedOn w:val="Carpredefinitoparagrafo"/>
    <w:uiPriority w:val="99"/>
    <w:semiHidden/>
    <w:unhideWhenUsed/>
    <w:rsid w:val="009D7AFD"/>
    <w:rPr>
      <w:sz w:val="16"/>
      <w:szCs w:val="16"/>
    </w:rPr>
  </w:style>
  <w:style w:type="paragraph" w:styleId="Testocommento">
    <w:name w:val="annotation text"/>
    <w:basedOn w:val="Normale"/>
    <w:link w:val="TestocommentoCarattere"/>
    <w:uiPriority w:val="99"/>
    <w:semiHidden/>
    <w:unhideWhenUsed/>
    <w:rsid w:val="009D7A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7AFD"/>
    <w:rPr>
      <w:sz w:val="20"/>
      <w:szCs w:val="20"/>
    </w:rPr>
  </w:style>
  <w:style w:type="paragraph" w:styleId="Soggettocommento">
    <w:name w:val="annotation subject"/>
    <w:basedOn w:val="Testocommento"/>
    <w:next w:val="Testocommento"/>
    <w:link w:val="SoggettocommentoCarattere"/>
    <w:uiPriority w:val="99"/>
    <w:semiHidden/>
    <w:unhideWhenUsed/>
    <w:rsid w:val="009D7AFD"/>
    <w:rPr>
      <w:b/>
      <w:bCs/>
    </w:rPr>
  </w:style>
  <w:style w:type="character" w:customStyle="1" w:styleId="SoggettocommentoCarattere">
    <w:name w:val="Soggetto commento Carattere"/>
    <w:basedOn w:val="TestocommentoCarattere"/>
    <w:link w:val="Soggettocommento"/>
    <w:uiPriority w:val="99"/>
    <w:semiHidden/>
    <w:rsid w:val="009D7AFD"/>
    <w:rPr>
      <w:b/>
      <w:bCs/>
      <w:sz w:val="20"/>
      <w:szCs w:val="20"/>
    </w:rPr>
  </w:style>
  <w:style w:type="paragraph" w:customStyle="1" w:styleId="Default">
    <w:name w:val="Default"/>
    <w:rsid w:val="00675B4F"/>
    <w:pPr>
      <w:autoSpaceDE w:val="0"/>
      <w:autoSpaceDN w:val="0"/>
      <w:adjustRightInd w:val="0"/>
      <w:spacing w:line="240" w:lineRule="auto"/>
    </w:pPr>
    <w:rPr>
      <w:rFonts w:ascii="Times New Roman" w:hAnsi="Times New Roman" w:cs="Times New Roman"/>
      <w:color w:val="000000"/>
      <w:sz w:val="24"/>
      <w:szCs w:val="24"/>
      <w:lang w:val="en-US"/>
    </w:rPr>
  </w:style>
  <w:style w:type="paragraph" w:styleId="Intestazione">
    <w:name w:val="header"/>
    <w:basedOn w:val="Normale"/>
    <w:link w:val="IntestazioneCarattere"/>
    <w:uiPriority w:val="99"/>
    <w:unhideWhenUsed/>
    <w:rsid w:val="00D2765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27651"/>
  </w:style>
  <w:style w:type="paragraph" w:styleId="Didascalia">
    <w:name w:val="caption"/>
    <w:basedOn w:val="Normale"/>
    <w:uiPriority w:val="35"/>
    <w:unhideWhenUsed/>
    <w:qFormat/>
    <w:rsid w:val="00B62641"/>
    <w:pPr>
      <w:spacing w:after="200" w:line="240" w:lineRule="auto"/>
    </w:pPr>
    <w:rPr>
      <w:rFonts w:asciiTheme="minorHAnsi" w:eastAsiaTheme="minorHAnsi" w:hAnsiTheme="minorHAnsi" w:cstheme="minorBidi"/>
      <w:i/>
      <w:iCs/>
      <w:color w:val="1F497D" w:themeColor="text2"/>
      <w:sz w:val="18"/>
      <w:szCs w:val="18"/>
      <w:lang w:val="it-IT" w:eastAsia="en-US"/>
    </w:rPr>
  </w:style>
  <w:style w:type="paragraph" w:styleId="NormaleWeb">
    <w:name w:val="Normal (Web)"/>
    <w:basedOn w:val="Normale"/>
    <w:uiPriority w:val="99"/>
    <w:semiHidden/>
    <w:unhideWhenUsed/>
    <w:qFormat/>
    <w:rsid w:val="00B62641"/>
    <w:pPr>
      <w:spacing w:beforeAutospacing="1" w:afterAutospacing="1" w:line="240" w:lineRule="auto"/>
    </w:pPr>
    <w:rPr>
      <w:rFonts w:ascii="Times New Roman" w:eastAsiaTheme="minorEastAsia" w:hAnsi="Times New Roman" w:cs="Times New Roman"/>
      <w:sz w:val="24"/>
      <w:szCs w:val="24"/>
      <w:lang w:val="it-IT"/>
    </w:rPr>
  </w:style>
  <w:style w:type="table" w:styleId="Grigliatabella">
    <w:name w:val="Table Grid"/>
    <w:basedOn w:val="Tabellanormale"/>
    <w:uiPriority w:val="39"/>
    <w:rsid w:val="00B626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fia1">
    <w:name w:val="Bibliografia1"/>
    <w:basedOn w:val="Normale"/>
    <w:rsid w:val="00F15C39"/>
    <w:pPr>
      <w:tabs>
        <w:tab w:val="left" w:pos="260"/>
        <w:tab w:val="left" w:pos="380"/>
      </w:tabs>
      <w:spacing w:after="240" w:line="240" w:lineRule="auto"/>
      <w:ind w:left="384" w:hanging="384"/>
    </w:pPr>
    <w:rPr>
      <w:rFonts w:eastAsia="Times New Roman"/>
      <w:sz w:val="28"/>
      <w:szCs w:val="28"/>
    </w:rPr>
  </w:style>
  <w:style w:type="character" w:customStyle="1" w:styleId="Titolo7Carattere">
    <w:name w:val="Titolo 7 Carattere"/>
    <w:basedOn w:val="Carpredefinitoparagrafo"/>
    <w:link w:val="Titolo7"/>
    <w:uiPriority w:val="9"/>
    <w:rsid w:val="00D101C2"/>
    <w:rPr>
      <w:rFonts w:asciiTheme="majorHAnsi" w:eastAsiaTheme="majorEastAsia" w:hAnsiTheme="majorHAnsi" w:cstheme="majorBidi"/>
      <w:i/>
      <w:iCs/>
      <w:color w:val="243F60" w:themeColor="accent1" w:themeShade="7F"/>
    </w:rPr>
  </w:style>
  <w:style w:type="paragraph" w:styleId="Paragrafoelenco">
    <w:name w:val="List Paragraph"/>
    <w:basedOn w:val="Normale"/>
    <w:uiPriority w:val="34"/>
    <w:qFormat/>
    <w:rsid w:val="00D6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5492">
      <w:bodyDiv w:val="1"/>
      <w:marLeft w:val="0"/>
      <w:marRight w:val="0"/>
      <w:marTop w:val="0"/>
      <w:marBottom w:val="0"/>
      <w:divBdr>
        <w:top w:val="none" w:sz="0" w:space="0" w:color="auto"/>
        <w:left w:val="none" w:sz="0" w:space="0" w:color="auto"/>
        <w:bottom w:val="none" w:sz="0" w:space="0" w:color="auto"/>
        <w:right w:val="none" w:sz="0" w:space="0" w:color="auto"/>
      </w:divBdr>
    </w:div>
    <w:div w:id="2087679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5CC519-8EE2-9E48-B4EF-AA3B28CF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1503</Words>
  <Characters>8569</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mcgill university</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DCTV</cp:lastModifiedBy>
  <cp:revision>3</cp:revision>
  <cp:lastPrinted>2020-03-05T12:15:00Z</cp:lastPrinted>
  <dcterms:created xsi:type="dcterms:W3CDTF">2020-10-07T13:58:00Z</dcterms:created>
  <dcterms:modified xsi:type="dcterms:W3CDTF">2020-10-21T12:29:00Z</dcterms:modified>
</cp:coreProperties>
</file>