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B44" w:rsidRPr="00B064DE" w:rsidRDefault="005B3B44" w:rsidP="005B3B44">
      <w:pPr>
        <w:spacing w:after="120" w:line="360" w:lineRule="auto"/>
        <w:rPr>
          <w:rFonts w:ascii="Cambria" w:hAnsi="Cambria"/>
          <w:b/>
          <w:bCs/>
          <w:sz w:val="26"/>
          <w:szCs w:val="26"/>
          <w:lang w:val="en-US"/>
        </w:rPr>
      </w:pPr>
      <w:r w:rsidRPr="00B064DE">
        <w:rPr>
          <w:rFonts w:ascii="Cambria" w:hAnsi="Cambria"/>
          <w:b/>
          <w:bCs/>
          <w:sz w:val="26"/>
          <w:szCs w:val="26"/>
          <w:lang w:val="en-US"/>
        </w:rPr>
        <w:t>Supplementary data</w:t>
      </w:r>
    </w:p>
    <w:p w:rsidR="005B3B44" w:rsidRPr="00A03BE2" w:rsidRDefault="005B3B44" w:rsidP="005B3B44">
      <w:pPr>
        <w:spacing w:after="120" w:line="360" w:lineRule="auto"/>
        <w:rPr>
          <w:bCs/>
          <w:lang w:val="en-US"/>
        </w:rPr>
      </w:pPr>
      <w:r w:rsidRPr="006A168B">
        <w:rPr>
          <w:lang w:val="en-US"/>
        </w:rPr>
        <w:t>Table S1.</w:t>
      </w:r>
      <w:r>
        <w:rPr>
          <w:lang w:val="en-US"/>
        </w:rPr>
        <w:tab/>
      </w:r>
      <w:r w:rsidRPr="00A03BE2">
        <w:rPr>
          <w:bCs/>
          <w:lang w:val="en-US"/>
        </w:rPr>
        <w:t>Age and CCI of the incident patients by PD start year</w:t>
      </w:r>
      <w:r>
        <w:rPr>
          <w:bCs/>
          <w:lang w:val="en-US"/>
        </w:rPr>
        <w:t>.</w:t>
      </w:r>
    </w:p>
    <w:tbl>
      <w:tblPr>
        <w:tblW w:w="538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803"/>
        <w:gridCol w:w="1804"/>
      </w:tblGrid>
      <w:tr w:rsidR="005B3B44" w:rsidRPr="00A03BE2" w:rsidTr="00512A0F">
        <w:trPr>
          <w:trHeight w:val="600"/>
        </w:trPr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PD start year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Age</w:t>
            </w: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br/>
              <w:t>[median (IQR)]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CCI</w:t>
            </w: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br/>
              <w:t>[median (IQR)]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2005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66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5 (56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1-80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2)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4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2006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71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 (55-80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4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2007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69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5 (55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2-79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7)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2008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69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(53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8-79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2009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70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(54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8-80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9)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4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2010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69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9 (54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4-80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4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2011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67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(53-79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5)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2012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70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 (55-80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2013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67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 (53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9-80)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2014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68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5 (55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7-80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2015</w:t>
            </w:r>
          </w:p>
        </w:tc>
        <w:tc>
          <w:tcPr>
            <w:tcW w:w="18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70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 (56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3-80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9)</w:t>
            </w:r>
          </w:p>
        </w:tc>
        <w:tc>
          <w:tcPr>
            <w:tcW w:w="180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4 (2-5)</w:t>
            </w:r>
          </w:p>
        </w:tc>
      </w:tr>
      <w:tr w:rsidR="005B3B44" w:rsidRPr="00A03BE2" w:rsidTr="00512A0F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2016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69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6 (56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5-80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.</w:t>
            </w: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4)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 (2-5)</w:t>
            </w:r>
          </w:p>
        </w:tc>
      </w:tr>
    </w:tbl>
    <w:p w:rsidR="005B3B44" w:rsidRDefault="005B3B44" w:rsidP="005B3B44">
      <w:pPr>
        <w:spacing w:after="120" w:line="360" w:lineRule="auto"/>
        <w:rPr>
          <w:lang w:val="en-US" w:eastAsia="fr-FR"/>
        </w:rPr>
      </w:pPr>
      <w:r w:rsidRPr="00A03BE2">
        <w:rPr>
          <w:lang w:val="en-US" w:eastAsia="fr-FR"/>
        </w:rPr>
        <w:t>PD: peritoneal dialysis, CCI: Charlson comorbidity index, IQR: interquartile</w:t>
      </w:r>
    </w:p>
    <w:p w:rsidR="005B3B44" w:rsidRDefault="005B3B44" w:rsidP="005B3B44">
      <w:pPr>
        <w:spacing w:after="120" w:line="360" w:lineRule="auto"/>
        <w:rPr>
          <w:lang w:val="en-US" w:eastAsia="fr-FR"/>
        </w:rPr>
      </w:pPr>
      <w:r>
        <w:rPr>
          <w:lang w:val="en-US" w:eastAsia="fr-FR"/>
        </w:rPr>
        <w:br w:type="page"/>
      </w:r>
    </w:p>
    <w:p w:rsidR="005B3B44" w:rsidRPr="00A03BE2" w:rsidRDefault="005B3B44" w:rsidP="005B3B44">
      <w:pPr>
        <w:spacing w:after="120" w:line="360" w:lineRule="auto"/>
        <w:rPr>
          <w:lang w:val="en-US"/>
        </w:rPr>
      </w:pPr>
      <w:r w:rsidRPr="006A168B">
        <w:rPr>
          <w:lang w:val="en-US" w:eastAsia="fr-FR"/>
        </w:rPr>
        <w:lastRenderedPageBreak/>
        <w:t>Table S2.</w:t>
      </w:r>
      <w:r>
        <w:rPr>
          <w:lang w:val="en-US" w:eastAsia="fr-FR"/>
        </w:rPr>
        <w:tab/>
      </w:r>
      <w:r w:rsidRPr="00A03BE2">
        <w:rPr>
          <w:lang w:val="en-US"/>
        </w:rPr>
        <w:t>Association between PD start year and the prevalence ratio of death, adjusting for patient characteristics, for each type of assistance and self-care PD.</w:t>
      </w:r>
    </w:p>
    <w:tbl>
      <w:tblPr>
        <w:tblW w:w="103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701"/>
        <w:gridCol w:w="1701"/>
        <w:gridCol w:w="1701"/>
        <w:gridCol w:w="1701"/>
      </w:tblGrid>
      <w:tr w:rsidR="005B3B44" w:rsidRPr="00A03BE2" w:rsidTr="00512A0F">
        <w:trPr>
          <w:trHeight w:val="570"/>
        </w:trPr>
        <w:tc>
          <w:tcPr>
            <w:tcW w:w="354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DEEAF6" w:themeFill="accent1" w:themeFillTint="33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lang w:val="en-US" w:eastAsia="fr-FR"/>
              </w:rPr>
              <w:t>Explanatory variable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All patients</w:t>
            </w: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br/>
              <w:t>(n=14673)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Nurse-assisted</w:t>
            </w: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br/>
              <w:t>(n=6299)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Family-assisted</w:t>
            </w: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br/>
              <w:t>(n=1304)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Self-care</w:t>
            </w: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br/>
              <w:t>(n=7070)</w:t>
            </w:r>
          </w:p>
        </w:tc>
      </w:tr>
      <w:tr w:rsidR="005B3B44" w:rsidRPr="00A03BE2" w:rsidTr="00512A0F">
        <w:trPr>
          <w:trHeight w:val="300"/>
        </w:trPr>
        <w:tc>
          <w:tcPr>
            <w:tcW w:w="354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vAlign w:val="bottom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PR (95% CI)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PR (95% CI)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PR (95% CI)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b/>
                <w:bCs/>
                <w:color w:val="000000"/>
                <w:lang w:val="en-US" w:eastAsia="fr-FR"/>
              </w:rPr>
              <w:t>PR (95% CI)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PD start year [2005-2016], for a year increase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0.95 (0.94-0.96)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0.95 (0.94-0.96)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0.96 (0.94-0.98)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0.93 (0.92-0.95)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Age, for a ten-year increase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1.53 (1.49-1.58)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1.36 (1.32-1.41)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1.47 (1.36-1.58)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1.86 (1.75-1.98)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Gender, female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0.95 (0.90-0.99)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0.92 (0.86-0.97)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1.09 (0.94-1.26)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1.03 (0.90-1.19)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Diabetes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1.01 (0.95-1.09)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0.95 (0.88-1.03)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1.12 (0.93-1.35)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1.15 (0.96-1.37)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Modified CCI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1.35 (1.23-1.47)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1.15 (1.03-1.28)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1.22 (0.91-1.62)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1.75 (1.41-2.17)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1.44 (1.31-1.59)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1.10 (0.99-1.23)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1.85 (1.41-2.43)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2.21 (1.76-2.76)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≥5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1.77 (1.62-1.93)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1.38 (1.25-1.53)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1.66 (1.28-2.15)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3.11 (2.50-3.86)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Suboptimal starters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1.07 (0.99-1.17)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1.07 (0.97-1.18)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 (0.78-1.27)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1.23 (0.99-1.52)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Underlying nephropathy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Polycystic kidney disease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Diabetes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1.65 (1.35-2.03)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1.29 (0.99-1.68)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1.93 (0.84-4.45)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1.68 (1.15-2.46)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Interstitial Nephritis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1.40 (1.11-1.77)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1.09 (0.81-1.47)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2.47 (1.03-5.96)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1.17 (0.73-1.88)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Glomerulonephritis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1.33 (1.08-1.65)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1.11 (0.83-1.48)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2.33 (0.99-5.43)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1.35 (0.93-1.94)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Unknown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1.67 (1.36-2.05)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1.25 (0.96-1.63)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2.21 (0.95-5.16)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1.97 (1.35-2.86)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Uropathy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1.66 (1.25-2.20)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1.14 (0.79-1.65)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3.32 (1.27-8.67)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2.03 (1.21-3.42)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Vascular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1.79 (1.47-2.18)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1.35 (1.04-1.74)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2.47 (1.08-5.61)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1.94 (1.37-2.76)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Systemic disease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1.67 (1.26-2.22)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1.15 (0.79-1.68)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2.61 (0.95-7.16)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1.99 (1.19-3.31)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Other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2.32 (1.89-2.86)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1.60 (1.22-2.10)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3.80 (1.65-8.77)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3.09 (2.12-4.51)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Therapy before PD initiation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No therapy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Hemodialysis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1.04 (0.97-1.12)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1.03 (0.95-1.12)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1.11 (0.92-1.33)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1.07 (0.89-1.27)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Transplantation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0.88 (0.67-1.12)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0.73 (0.44-1.20)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1.43 (0.68-3.01)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1.01 (0.71-1.45)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Assistance status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Self-care PD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GB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 xml:space="preserve">   Nurse-assisted PD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2.24 (2.05-2.45)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NA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GB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 xml:space="preserve">   Family</w:t>
            </w:r>
            <w:r>
              <w:rPr>
                <w:rFonts w:ascii="Times New Roman" w:eastAsia="Times New Roman" w:hAnsi="Times New Roman"/>
                <w:color w:val="000000"/>
                <w:lang w:val="en-GB" w:eastAsia="fr-FR"/>
              </w:rPr>
              <w:t>-</w:t>
            </w: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>assisted PD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2.13 (1.92-2.37)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NA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GB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>Type of center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GB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 xml:space="preserve">   Academic hospital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GB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 xml:space="preserve">   Community hospital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 (0.93-1.07)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0.98 (0.90-1.07)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1.02 (0.84-1.24)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1.02 (0.87-1.21)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GB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lang w:val="en-US" w:eastAsia="fr-FR"/>
              </w:rPr>
              <w:t>Nonp</w:t>
            </w: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>rofit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0.92 (0.85-1.01)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0.96 (0.87-1.06)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0.85 (0.68-1.07)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0.80 (0.66-0.96)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GB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 xml:space="preserve">   Private hospital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0.99 (0.90-1.10)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1.08 (0.95-1.21)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0.88 (0.64-1.21)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0.79 (0.59-1.05)</w:t>
            </w:r>
          </w:p>
        </w:tc>
      </w:tr>
      <w:tr w:rsidR="005B3B44" w:rsidRPr="00A03BE2" w:rsidTr="00512A0F">
        <w:trPr>
          <w:trHeight w:val="227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GB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GB" w:eastAsia="fr-FR"/>
              </w:rPr>
              <w:t>Center experience (new patients per year)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en-US" w:eastAsia="fr-FR"/>
              </w:rPr>
            </w:pP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≤10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Reference</w:t>
            </w:r>
          </w:p>
        </w:tc>
      </w:tr>
      <w:tr w:rsidR="005B3B44" w:rsidRPr="00A03BE2" w:rsidTr="00512A0F">
        <w:trPr>
          <w:trHeight w:val="227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 xml:space="preserve">   &gt;10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1.18 (1.11-1.24)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1.14 (1.07-1.22)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1.20 (1.02-1.40)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B3B44" w:rsidRPr="00A03BE2" w:rsidRDefault="005B3B44" w:rsidP="00512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fr-FR"/>
              </w:rPr>
            </w:pPr>
            <w:r w:rsidRPr="00A03BE2">
              <w:rPr>
                <w:rFonts w:ascii="Times New Roman" w:eastAsia="Times New Roman" w:hAnsi="Times New Roman"/>
                <w:color w:val="000000"/>
                <w:lang w:val="en-US" w:eastAsia="fr-FR"/>
              </w:rPr>
              <w:t>1.39 (1.21-1.58)</w:t>
            </w:r>
          </w:p>
        </w:tc>
      </w:tr>
    </w:tbl>
    <w:p w:rsidR="005B3B44" w:rsidRDefault="005B3B44" w:rsidP="005B3B44">
      <w:pPr>
        <w:spacing w:after="120" w:line="360" w:lineRule="auto"/>
        <w:rPr>
          <w:lang w:val="en-US"/>
        </w:rPr>
      </w:pPr>
      <w:r w:rsidRPr="00A03BE2">
        <w:rPr>
          <w:lang w:val="en-US"/>
        </w:rPr>
        <w:t>PR: prevalence ratio, PD: peritoneal dialysis, CCI: Charlson comorbidity index, NA: non-applicable</w:t>
      </w:r>
    </w:p>
    <w:p w:rsidR="005B3B44" w:rsidRDefault="005B3B44" w:rsidP="005B3B44">
      <w:pPr>
        <w:spacing w:after="120" w:line="36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5B3B44" w:rsidRPr="00A03BE2" w:rsidRDefault="005B3B44" w:rsidP="005B3B44">
      <w:pPr>
        <w:spacing w:after="120" w:line="36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  <w:r w:rsidRPr="00A03BE2">
        <w:rPr>
          <w:rFonts w:ascii="Times New Roman" w:hAnsi="Times New Roman"/>
          <w:b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0F7CB02E" wp14:editId="3D7F9394">
            <wp:extent cx="5267325" cy="52578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44" w:rsidRDefault="005B3B44" w:rsidP="005B3B44">
      <w:pPr>
        <w:spacing w:after="120" w:line="360" w:lineRule="auto"/>
        <w:rPr>
          <w:lang w:val="en-US"/>
        </w:rPr>
      </w:pPr>
      <w:r w:rsidRPr="00371062">
        <w:rPr>
          <w:lang w:val="en-US"/>
        </w:rPr>
        <w:t>Fig. S1.</w:t>
      </w:r>
      <w:r w:rsidRPr="00A03BE2">
        <w:rPr>
          <w:lang w:val="en-US"/>
        </w:rPr>
        <w:t xml:space="preserve"> Number of patients starting peritoneal dialysis per year over the study period</w:t>
      </w:r>
      <w:r>
        <w:rPr>
          <w:lang w:val="en-US"/>
        </w:rPr>
        <w:t>.</w:t>
      </w:r>
    </w:p>
    <w:p w:rsidR="005B3B44" w:rsidRDefault="005B3B44" w:rsidP="005B3B44">
      <w:pPr>
        <w:spacing w:after="120" w:line="360" w:lineRule="auto"/>
        <w:rPr>
          <w:lang w:val="en-US"/>
        </w:rPr>
      </w:pPr>
      <w:r>
        <w:rPr>
          <w:lang w:val="en-US"/>
        </w:rPr>
        <w:br w:type="page"/>
      </w:r>
    </w:p>
    <w:p w:rsidR="005B3B44" w:rsidRPr="00A03BE2" w:rsidRDefault="005B3B44" w:rsidP="005B3B44">
      <w:pPr>
        <w:spacing w:after="120" w:line="360" w:lineRule="auto"/>
        <w:rPr>
          <w:rFonts w:ascii="Times New Roman" w:hAnsi="Times New Roman"/>
          <w:sz w:val="24"/>
          <w:szCs w:val="24"/>
          <w:lang w:val="en-US"/>
        </w:rPr>
      </w:pPr>
      <w:r w:rsidRPr="00A03BE2">
        <w:rPr>
          <w:rFonts w:ascii="Times New Roman" w:hAnsi="Times New Roman"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624D5773" wp14:editId="4C20C9F1">
            <wp:extent cx="5943600" cy="48152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44" w:rsidRPr="00A03BE2" w:rsidRDefault="005B3B44" w:rsidP="005B3B44">
      <w:pPr>
        <w:spacing w:after="120" w:line="360" w:lineRule="auto"/>
        <w:rPr>
          <w:lang w:val="en-US"/>
        </w:rPr>
      </w:pPr>
      <w:r w:rsidRPr="00371062">
        <w:rPr>
          <w:lang w:val="en-US"/>
        </w:rPr>
        <w:t>Fig. S2.</w:t>
      </w:r>
      <w:r w:rsidRPr="006A168B">
        <w:rPr>
          <w:lang w:val="en-US"/>
        </w:rPr>
        <w:t xml:space="preserve"> </w:t>
      </w:r>
      <w:r w:rsidRPr="00A03BE2">
        <w:rPr>
          <w:lang w:val="en-US"/>
        </w:rPr>
        <w:t>Prevalence ratio of transfers to HD over time.</w:t>
      </w:r>
    </w:p>
    <w:p w:rsidR="005B3B44" w:rsidRDefault="005B3B44" w:rsidP="005B3B44">
      <w:pPr>
        <w:spacing w:after="120" w:line="360" w:lineRule="auto"/>
        <w:rPr>
          <w:lang w:val="en-US"/>
        </w:rPr>
        <w:sectPr w:rsidR="005B3B44" w:rsidSect="00371062"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  <w:r w:rsidRPr="00A03BE2">
        <w:rPr>
          <w:b/>
          <w:lang w:val="en-US"/>
        </w:rPr>
        <w:t>Change in the prevalence ratio of transfers to HD over time.</w:t>
      </w:r>
      <w:r w:rsidRPr="00A03BE2">
        <w:rPr>
          <w:lang w:val="en-US"/>
        </w:rPr>
        <w:t xml:space="preserve"> Solid lines represent the rates of transfers to HD at any point during follow up by the year peritoneal dialysis was initiated, when compared to 2005 (expressed as a prevalence ratio). The analysis was adjusted for age, gender, ethnicity, underlying nephropathy, and comorbidities using a Cox regression model with robust variance (95% CI, shown by the dashed lines). The transfer to HD prevalence ratio over the study period was not linear for the complete cohort (</w:t>
      </w:r>
      <w:r w:rsidRPr="00A03BE2">
        <w:rPr>
          <w:b/>
          <w:bCs/>
          <w:lang w:val="en-US"/>
        </w:rPr>
        <w:t>a</w:t>
      </w:r>
      <w:r w:rsidRPr="00A03BE2">
        <w:rPr>
          <w:lang w:val="en-US"/>
        </w:rPr>
        <w:t>), for nurse-assisted PD patients (</w:t>
      </w:r>
      <w:r w:rsidRPr="00A03BE2">
        <w:rPr>
          <w:b/>
          <w:bCs/>
          <w:lang w:val="en-US"/>
        </w:rPr>
        <w:t>b</w:t>
      </w:r>
      <w:r w:rsidRPr="00A03BE2">
        <w:rPr>
          <w:lang w:val="en-US"/>
        </w:rPr>
        <w:t>), or for self-care PD patients (</w:t>
      </w:r>
      <w:r w:rsidRPr="00A03BE2">
        <w:rPr>
          <w:b/>
          <w:bCs/>
          <w:lang w:val="en-US"/>
        </w:rPr>
        <w:t>d</w:t>
      </w:r>
      <w:r w:rsidRPr="00A03BE2">
        <w:rPr>
          <w:lang w:val="en-US"/>
        </w:rPr>
        <w:t>); it did not change for family-assisted PD patients (</w:t>
      </w:r>
      <w:r w:rsidRPr="00A03BE2">
        <w:rPr>
          <w:b/>
          <w:bCs/>
          <w:lang w:val="en-US"/>
        </w:rPr>
        <w:t>c</w:t>
      </w:r>
      <w:r w:rsidRPr="00A03BE2">
        <w:rPr>
          <w:lang w:val="en-US"/>
        </w:rPr>
        <w:t>).</w:t>
      </w:r>
    </w:p>
    <w:p w:rsidR="005B3B44" w:rsidRDefault="005B3B44" w:rsidP="005B3B44">
      <w:pPr>
        <w:spacing w:after="120" w:line="360" w:lineRule="auto"/>
        <w:rPr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20F0035C" wp14:editId="32BDADF9">
            <wp:extent cx="6407225" cy="33718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702" cy="337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44" w:rsidRPr="00A03BE2" w:rsidRDefault="005B3B44" w:rsidP="005B3B44">
      <w:pPr>
        <w:spacing w:after="120" w:line="360" w:lineRule="auto"/>
        <w:rPr>
          <w:lang w:val="en-US"/>
        </w:rPr>
      </w:pPr>
      <w:r w:rsidRPr="00371062">
        <w:rPr>
          <w:lang w:val="en-US"/>
        </w:rPr>
        <w:t>Fig. S</w:t>
      </w:r>
      <w:r>
        <w:rPr>
          <w:lang w:val="en-US"/>
        </w:rPr>
        <w:t>3</w:t>
      </w:r>
      <w:r w:rsidRPr="00371062">
        <w:rPr>
          <w:lang w:val="en-US"/>
        </w:rPr>
        <w:t>.</w:t>
      </w:r>
      <w:r w:rsidRPr="006A168B">
        <w:rPr>
          <w:lang w:val="en-US"/>
        </w:rPr>
        <w:t xml:space="preserve"> </w:t>
      </w:r>
      <w:r w:rsidRPr="00A03BE2">
        <w:rPr>
          <w:lang w:val="en-US"/>
        </w:rPr>
        <w:t>Prevalence ratio of</w:t>
      </w:r>
      <w:r>
        <w:rPr>
          <w:lang w:val="en-US"/>
        </w:rPr>
        <w:t xml:space="preserve"> the different causes of</w:t>
      </w:r>
      <w:r w:rsidRPr="00A03BE2">
        <w:rPr>
          <w:lang w:val="en-US"/>
        </w:rPr>
        <w:t xml:space="preserve"> transfer to HD over time.</w:t>
      </w:r>
    </w:p>
    <w:p w:rsidR="005B3B44" w:rsidRPr="00D7427F" w:rsidRDefault="005B3B44" w:rsidP="005B3B44">
      <w:pPr>
        <w:spacing w:after="120" w:line="360" w:lineRule="auto"/>
        <w:rPr>
          <w:lang w:val="en-US"/>
        </w:rPr>
      </w:pPr>
      <w:r w:rsidRPr="00A03BE2">
        <w:rPr>
          <w:b/>
          <w:lang w:val="en-US"/>
        </w:rPr>
        <w:t xml:space="preserve">Change in the prevalence ratio of </w:t>
      </w:r>
      <w:r>
        <w:rPr>
          <w:b/>
          <w:lang w:val="en-US"/>
        </w:rPr>
        <w:t xml:space="preserve">the different causes of </w:t>
      </w:r>
      <w:r w:rsidRPr="00A03BE2">
        <w:rPr>
          <w:b/>
          <w:lang w:val="en-US"/>
        </w:rPr>
        <w:t>transfer to HD over time.</w:t>
      </w:r>
      <w:r w:rsidRPr="00A03BE2">
        <w:rPr>
          <w:lang w:val="en-US"/>
        </w:rPr>
        <w:t xml:space="preserve"> Solid lines represent the rates of transfers to HD at any point during follow up by the year peritoneal dialysis was initiated, when compared to 2005 (expressed as a prevalence ratio). The analysis was adjusted for age, gender, ethnicity, underlying nephropathy, and comorbidities using a Cox regression model with robust variance (95% CI, shown by the dashed lines). </w:t>
      </w:r>
      <w:r>
        <w:rPr>
          <w:lang w:val="en-US"/>
        </w:rPr>
        <w:t>The prevalence ratio of transfer to HD because of adequacy (</w:t>
      </w:r>
      <w:r>
        <w:rPr>
          <w:b/>
          <w:bCs/>
          <w:lang w:val="en-US"/>
        </w:rPr>
        <w:t>a</w:t>
      </w:r>
      <w:r>
        <w:rPr>
          <w:lang w:val="en-US"/>
        </w:rPr>
        <w:t xml:space="preserve">) tended to linearly increase over time. </w:t>
      </w:r>
      <w:r w:rsidRPr="00A03BE2">
        <w:rPr>
          <w:lang w:val="en-US"/>
        </w:rPr>
        <w:t xml:space="preserve">The transfer to HD prevalence ratio over the study period was not linear for </w:t>
      </w:r>
      <w:r>
        <w:rPr>
          <w:lang w:val="en-US"/>
        </w:rPr>
        <w:t>catheter issues (</w:t>
      </w:r>
      <w:r>
        <w:rPr>
          <w:b/>
          <w:bCs/>
          <w:lang w:val="en-US"/>
        </w:rPr>
        <w:t>b</w:t>
      </w:r>
      <w:r>
        <w:rPr>
          <w:lang w:val="en-US"/>
        </w:rPr>
        <w:t>), other causes linked to PD (</w:t>
      </w:r>
      <w:r w:rsidRPr="00D7427F">
        <w:rPr>
          <w:b/>
          <w:bCs/>
          <w:lang w:val="en-US"/>
        </w:rPr>
        <w:t>d</w:t>
      </w:r>
      <w:r>
        <w:rPr>
          <w:lang w:val="en-US"/>
        </w:rPr>
        <w:t>) and social causes (</w:t>
      </w:r>
      <w:r>
        <w:rPr>
          <w:b/>
          <w:bCs/>
          <w:lang w:val="en-US"/>
        </w:rPr>
        <w:t>e</w:t>
      </w:r>
      <w:r>
        <w:rPr>
          <w:lang w:val="en-US"/>
        </w:rPr>
        <w:t>). The prevalence ratio of transfer to HD because of other causes not linked to PD (</w:t>
      </w:r>
      <w:r w:rsidRPr="00D7427F">
        <w:rPr>
          <w:b/>
          <w:bCs/>
          <w:lang w:val="en-US"/>
        </w:rPr>
        <w:t>c</w:t>
      </w:r>
      <w:r>
        <w:rPr>
          <w:lang w:val="en-US"/>
        </w:rPr>
        <w:t>) linearly increased, whereas it linearly decreased for infection (</w:t>
      </w:r>
      <w:r>
        <w:rPr>
          <w:b/>
          <w:bCs/>
          <w:lang w:val="en-US"/>
        </w:rPr>
        <w:t>f</w:t>
      </w:r>
      <w:r>
        <w:rPr>
          <w:lang w:val="en-US"/>
        </w:rPr>
        <w:t>).</w:t>
      </w:r>
    </w:p>
    <w:p w:rsidR="0005112E" w:rsidRDefault="0005112E">
      <w:bookmarkStart w:id="0" w:name="_GoBack"/>
      <w:bookmarkEnd w:id="0"/>
    </w:p>
    <w:sectPr w:rsidR="0005112E" w:rsidSect="00371062">
      <w:pgSz w:w="11906" w:h="16838" w:code="9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B44"/>
    <w:rsid w:val="0005112E"/>
    <w:rsid w:val="005B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AD410-1A29-4E6B-BE98-B0DDB0B77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B44"/>
    <w:pPr>
      <w:spacing w:after="200" w:line="276" w:lineRule="auto"/>
    </w:pPr>
    <w:rPr>
      <w:rFonts w:ascii="Calibri" w:eastAsia="Calibri" w:hAnsi="Calibri" w:cs="Times New Roman"/>
      <w:lang w:val="de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800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Caen Normandie</Company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BOYER ANNABEL</dc:creator>
  <cp:keywords/>
  <dc:description/>
  <cp:lastModifiedBy>BOYER ANNABEL</cp:lastModifiedBy>
  <cp:revision>1</cp:revision>
  <dcterms:created xsi:type="dcterms:W3CDTF">2020-12-21T08:17:00Z</dcterms:created>
  <dcterms:modified xsi:type="dcterms:W3CDTF">2020-12-21T08:17:00Z</dcterms:modified>
</cp:coreProperties>
</file>