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350A8" w14:textId="5B6BA276" w:rsidR="00707069" w:rsidRPr="00152989" w:rsidRDefault="00D758AA" w:rsidP="000359EC">
      <w:pPr>
        <w:spacing w:line="276" w:lineRule="auto"/>
        <w:rPr>
          <w:rFonts w:ascii="Times New Roman" w:eastAsia="SimSun" w:hAnsi="Times New Roman" w:cs="Times New Roman"/>
          <w:b/>
          <w:bCs/>
          <w:color w:val="000000"/>
          <w:kern w:val="0"/>
          <w:sz w:val="28"/>
          <w:szCs w:val="28"/>
        </w:rPr>
      </w:pPr>
      <w:r w:rsidRPr="00152989">
        <w:rPr>
          <w:rFonts w:ascii="Times New Roman" w:eastAsia="SimSun" w:hAnsi="Times New Roman" w:cs="Times New Roman"/>
          <w:b/>
          <w:bCs/>
          <w:color w:val="000000"/>
          <w:kern w:val="0"/>
          <w:sz w:val="28"/>
          <w:szCs w:val="28"/>
        </w:rPr>
        <w:t>Supplementa</w:t>
      </w:r>
      <w:r w:rsidR="00F24B63">
        <w:rPr>
          <w:rFonts w:ascii="Times New Roman" w:eastAsia="SimSun" w:hAnsi="Times New Roman" w:cs="Times New Roman"/>
          <w:b/>
          <w:bCs/>
          <w:color w:val="000000"/>
          <w:kern w:val="0"/>
          <w:sz w:val="28"/>
          <w:szCs w:val="28"/>
        </w:rPr>
        <w:t>ry</w:t>
      </w:r>
      <w:r w:rsidRPr="00152989">
        <w:rPr>
          <w:rFonts w:ascii="Times New Roman" w:eastAsia="SimSun" w:hAnsi="Times New Roman" w:cs="Times New Roman"/>
          <w:b/>
          <w:bCs/>
          <w:color w:val="000000"/>
          <w:kern w:val="0"/>
          <w:sz w:val="28"/>
          <w:szCs w:val="28"/>
        </w:rPr>
        <w:t xml:space="preserve"> Material</w:t>
      </w:r>
    </w:p>
    <w:p w14:paraId="6F16D735" w14:textId="0627947D" w:rsidR="00777CBC" w:rsidRPr="00152989" w:rsidRDefault="00707069" w:rsidP="000359EC">
      <w:pPr>
        <w:spacing w:beforeLines="50" w:before="156" w:afterLines="50" w:after="156" w:line="276" w:lineRule="auto"/>
        <w:jc w:val="left"/>
        <w:rPr>
          <w:rFonts w:ascii="Times New Roman" w:hAnsi="Times New Roman" w:cs="Times New Roman"/>
          <w:b/>
          <w:bCs/>
          <w:sz w:val="24"/>
          <w:szCs w:val="24"/>
        </w:rPr>
      </w:pPr>
      <w:bookmarkStart w:id="0" w:name="OLE_LINK7"/>
      <w:bookmarkStart w:id="1" w:name="OLE_LINK8"/>
      <w:r w:rsidRPr="00152989">
        <w:rPr>
          <w:rFonts w:ascii="Times New Roman" w:hAnsi="Times New Roman" w:cs="Times New Roman"/>
          <w:b/>
          <w:bCs/>
          <w:sz w:val="24"/>
          <w:szCs w:val="24"/>
        </w:rPr>
        <w:t>Methods</w:t>
      </w:r>
    </w:p>
    <w:bookmarkEnd w:id="0"/>
    <w:bookmarkEnd w:id="1"/>
    <w:p w14:paraId="55CCE1D2" w14:textId="47E75D37" w:rsidR="00521163" w:rsidRPr="00152989" w:rsidRDefault="00521163" w:rsidP="00521163">
      <w:pPr>
        <w:spacing w:beforeLines="50" w:before="156" w:afterLines="50" w:after="156" w:line="276" w:lineRule="auto"/>
        <w:rPr>
          <w:rFonts w:ascii="Times New Roman" w:hAnsi="Times New Roman" w:cs="Times New Roman"/>
          <w:b/>
          <w:bCs/>
          <w:sz w:val="20"/>
          <w:szCs w:val="20"/>
        </w:rPr>
      </w:pPr>
      <w:r>
        <w:rPr>
          <w:rFonts w:ascii="Times New Roman" w:hAnsi="Times New Roman" w:cs="Times New Roman"/>
          <w:b/>
          <w:bCs/>
          <w:sz w:val="20"/>
          <w:szCs w:val="20"/>
        </w:rPr>
        <w:t>MRI Imaging Protocol</w:t>
      </w:r>
    </w:p>
    <w:p w14:paraId="12A50A16" w14:textId="2E9E7E77" w:rsidR="00521163" w:rsidRDefault="00521163" w:rsidP="000359EC">
      <w:pPr>
        <w:spacing w:beforeLines="50" w:before="156" w:afterLines="50" w:after="156" w:line="276" w:lineRule="auto"/>
        <w:rPr>
          <w:rFonts w:ascii="Times New Roman" w:hAnsi="Times New Roman" w:cs="Times New Roman"/>
          <w:sz w:val="20"/>
          <w:szCs w:val="20"/>
        </w:rPr>
      </w:pPr>
      <w:r w:rsidRPr="00521163">
        <w:rPr>
          <w:rFonts w:ascii="Times New Roman" w:hAnsi="Times New Roman" w:cs="Times New Roman"/>
          <w:sz w:val="20"/>
          <w:szCs w:val="20"/>
        </w:rPr>
        <w:t>An initial coronal localization procedure was performed followed by a 2D Time of Flight (</w:t>
      </w:r>
      <w:r w:rsidR="00005233" w:rsidRPr="00521163">
        <w:rPr>
          <w:rFonts w:ascii="Times New Roman" w:hAnsi="Times New Roman" w:cs="Times New Roman"/>
          <w:sz w:val="20"/>
          <w:szCs w:val="20"/>
        </w:rPr>
        <w:t>T</w:t>
      </w:r>
      <w:r w:rsidR="00005233">
        <w:rPr>
          <w:rFonts w:ascii="Times New Roman" w:hAnsi="Times New Roman" w:cs="Times New Roman"/>
          <w:sz w:val="20"/>
          <w:szCs w:val="20"/>
        </w:rPr>
        <w:t>o</w:t>
      </w:r>
      <w:r w:rsidR="00005233" w:rsidRPr="00521163">
        <w:rPr>
          <w:rFonts w:ascii="Times New Roman" w:hAnsi="Times New Roman" w:cs="Times New Roman"/>
          <w:sz w:val="20"/>
          <w:szCs w:val="20"/>
        </w:rPr>
        <w:t>F</w:t>
      </w:r>
      <w:r w:rsidRPr="00521163">
        <w:rPr>
          <w:rFonts w:ascii="Times New Roman" w:hAnsi="Times New Roman" w:cs="Times New Roman"/>
          <w:sz w:val="20"/>
          <w:szCs w:val="20"/>
        </w:rPr>
        <w:t>) MR angiogram, which was used to identify the location of the carotid bifurcation and maximal stenosis. Axial images were acquired through the carotid artery, from approximately 40mm below the carotid bifurcation to a point 40mm distal to the extent of the stenosis. Four fast spin-echo pulse sequences, with ECG-gated system, were acquired for carotid plaque tissue characterization, which was T_2 weighted (Repetition Time (TR) = 4040 msec, Time to Echo (TE) = 89 msec), Proton Density (PD) (TR 2720 msec, 29 msec), T_1 weighted (TR 717 msec, 9.9 msec), and short T_</w:t>
      </w:r>
      <w:r w:rsidR="009E1A08" w:rsidRPr="00521163">
        <w:rPr>
          <w:rFonts w:ascii="Times New Roman" w:hAnsi="Times New Roman" w:cs="Times New Roman"/>
          <w:sz w:val="20"/>
          <w:szCs w:val="20"/>
        </w:rPr>
        <w:t>1 inversion</w:t>
      </w:r>
      <w:r w:rsidRPr="00521163">
        <w:rPr>
          <w:rFonts w:ascii="Times New Roman" w:hAnsi="Times New Roman" w:cs="Times New Roman"/>
          <w:sz w:val="20"/>
          <w:szCs w:val="20"/>
        </w:rPr>
        <w:t>-recovery. 2D ECG-gated PC-MRI images were acquired at three different locations (</w:t>
      </w:r>
      <w:r w:rsidR="00005233">
        <w:rPr>
          <w:rFonts w:ascii="Times New Roman" w:hAnsi="Times New Roman" w:cs="Times New Roman"/>
          <w:sz w:val="20"/>
          <w:szCs w:val="20"/>
        </w:rPr>
        <w:t>c</w:t>
      </w:r>
      <w:r w:rsidR="00005233" w:rsidRPr="00521163">
        <w:rPr>
          <w:rFonts w:ascii="Times New Roman" w:hAnsi="Times New Roman" w:cs="Times New Roman"/>
          <w:sz w:val="20"/>
          <w:szCs w:val="20"/>
        </w:rPr>
        <w:t xml:space="preserve">ommon </w:t>
      </w:r>
      <w:r w:rsidR="00005233">
        <w:rPr>
          <w:rFonts w:ascii="Times New Roman" w:hAnsi="Times New Roman" w:cs="Times New Roman"/>
          <w:sz w:val="20"/>
          <w:szCs w:val="20"/>
        </w:rPr>
        <w:t>c</w:t>
      </w:r>
      <w:r w:rsidR="00005233" w:rsidRPr="00521163">
        <w:rPr>
          <w:rFonts w:ascii="Times New Roman" w:hAnsi="Times New Roman" w:cs="Times New Roman"/>
          <w:sz w:val="20"/>
          <w:szCs w:val="20"/>
        </w:rPr>
        <w:t xml:space="preserve">arotid </w:t>
      </w:r>
      <w:r w:rsidR="00005233">
        <w:rPr>
          <w:rFonts w:ascii="Times New Roman" w:hAnsi="Times New Roman" w:cs="Times New Roman"/>
          <w:sz w:val="20"/>
          <w:szCs w:val="20"/>
        </w:rPr>
        <w:t>a</w:t>
      </w:r>
      <w:r w:rsidR="00005233" w:rsidRPr="00521163">
        <w:rPr>
          <w:rFonts w:ascii="Times New Roman" w:hAnsi="Times New Roman" w:cs="Times New Roman"/>
          <w:sz w:val="20"/>
          <w:szCs w:val="20"/>
        </w:rPr>
        <w:t xml:space="preserve">rtery </w:t>
      </w:r>
      <w:r w:rsidRPr="00521163">
        <w:rPr>
          <w:rFonts w:ascii="Times New Roman" w:hAnsi="Times New Roman" w:cs="Times New Roman"/>
          <w:sz w:val="20"/>
          <w:szCs w:val="20"/>
        </w:rPr>
        <w:t xml:space="preserve">(CCA), stenotic region, and </w:t>
      </w:r>
      <w:r w:rsidR="00005233">
        <w:rPr>
          <w:rFonts w:ascii="Times New Roman" w:hAnsi="Times New Roman" w:cs="Times New Roman"/>
          <w:sz w:val="20"/>
          <w:szCs w:val="20"/>
        </w:rPr>
        <w:t>internal carotid artery</w:t>
      </w:r>
      <w:r w:rsidRPr="00521163">
        <w:rPr>
          <w:rFonts w:ascii="Times New Roman" w:hAnsi="Times New Roman" w:cs="Times New Roman"/>
          <w:sz w:val="20"/>
          <w:szCs w:val="20"/>
        </w:rPr>
        <w:t xml:space="preserve"> for the patients at approximately 40 equidistant time frames of the cardiac cycle. The scan parameters were TR/TE=24.36/3.59ms, 240 x 240, coronal field of view 111 x 111; velocity encoding (VENC) ranging from 60 to 100 cm/s. </w:t>
      </w:r>
    </w:p>
    <w:p w14:paraId="5A4B0A5B" w14:textId="635CB309" w:rsidR="004A6B38" w:rsidRDefault="004A6B38" w:rsidP="000359EC">
      <w:pPr>
        <w:spacing w:beforeLines="50" w:before="156" w:afterLines="50" w:after="156" w:line="276" w:lineRule="auto"/>
        <w:rPr>
          <w:rFonts w:ascii="Times New Roman" w:hAnsi="Times New Roman" w:cs="Times New Roman"/>
          <w:b/>
          <w:bCs/>
          <w:sz w:val="20"/>
          <w:szCs w:val="20"/>
        </w:rPr>
      </w:pPr>
      <w:r w:rsidRPr="00152989">
        <w:rPr>
          <w:rFonts w:ascii="Times New Roman" w:hAnsi="Times New Roman" w:cs="Times New Roman"/>
          <w:b/>
          <w:bCs/>
          <w:sz w:val="20"/>
          <w:szCs w:val="20"/>
        </w:rPr>
        <w:t>Sample Preparation</w:t>
      </w:r>
    </w:p>
    <w:p w14:paraId="3C43476B" w14:textId="2D7B5D47" w:rsidR="00521163" w:rsidRDefault="00521163" w:rsidP="000359EC">
      <w:pPr>
        <w:spacing w:beforeLines="50" w:before="156" w:afterLines="50" w:after="156" w:line="276" w:lineRule="auto"/>
        <w:rPr>
          <w:rFonts w:ascii="Times New Roman" w:hAnsi="Times New Roman" w:cs="Times New Roman"/>
          <w:sz w:val="20"/>
          <w:szCs w:val="20"/>
        </w:rPr>
      </w:pPr>
      <w:r w:rsidRPr="00521163">
        <w:rPr>
          <w:rFonts w:ascii="Times New Roman" w:hAnsi="Times New Roman" w:cs="Times New Roman"/>
          <w:sz w:val="20"/>
          <w:szCs w:val="20"/>
        </w:rPr>
        <w:t xml:space="preserve">After excision, plaque samples were placed in phosphate buffer solution (PBS) and taken for a low energy X-ray at PAH. Further, the samples were transported to the histology facility. There the tissue samples </w:t>
      </w:r>
      <w:bookmarkStart w:id="2" w:name="_Hlk59608348"/>
      <w:r w:rsidRPr="00521163">
        <w:rPr>
          <w:rFonts w:ascii="Times New Roman" w:hAnsi="Times New Roman" w:cs="Times New Roman"/>
          <w:sz w:val="20"/>
          <w:szCs w:val="20"/>
        </w:rPr>
        <w:t>were cut into 3-4mm thick segments</w:t>
      </w:r>
      <w:bookmarkEnd w:id="2"/>
      <w:r w:rsidR="000B2028">
        <w:rPr>
          <w:rFonts w:ascii="Times New Roman" w:hAnsi="Times New Roman" w:cs="Times New Roman"/>
          <w:sz w:val="20"/>
          <w:szCs w:val="20"/>
        </w:rPr>
        <w:t xml:space="preserve">, </w:t>
      </w:r>
      <w:r w:rsidRPr="00521163">
        <w:rPr>
          <w:rFonts w:ascii="Times New Roman" w:hAnsi="Times New Roman" w:cs="Times New Roman"/>
          <w:sz w:val="20"/>
          <w:szCs w:val="20"/>
        </w:rPr>
        <w:t xml:space="preserve">embedded in Optimal Cutting Temperature (OCT) compound (Tissue-Tek OCT, TED Pella Inc CA, USA) and snap-frozen using liquid Nitrogen before storing at -20℃ within 2h of excision. Each segment was used to section 8µm &amp; 30µm thick slices using a cryostat (Leica CM1850).  This procedure was repeated for all the samples. Plaque sample preparation and sectioning of different slices is represented in Fig </w:t>
      </w:r>
      <w:r>
        <w:rPr>
          <w:rFonts w:ascii="Times New Roman" w:hAnsi="Times New Roman" w:cs="Times New Roman"/>
          <w:sz w:val="20"/>
          <w:szCs w:val="20"/>
        </w:rPr>
        <w:t>I</w:t>
      </w:r>
      <w:r w:rsidRPr="00521163">
        <w:rPr>
          <w:rFonts w:ascii="Times New Roman" w:hAnsi="Times New Roman" w:cs="Times New Roman"/>
          <w:sz w:val="20"/>
          <w:szCs w:val="20"/>
        </w:rPr>
        <w:t>.</w:t>
      </w:r>
    </w:p>
    <w:p w14:paraId="38EA395D" w14:textId="2AF89290" w:rsidR="00521163" w:rsidRDefault="00521163" w:rsidP="00521163">
      <w:pPr>
        <w:spacing w:beforeLines="50" w:before="156" w:afterLines="50" w:after="156" w:line="276" w:lineRule="auto"/>
        <w:rPr>
          <w:rFonts w:ascii="Times New Roman" w:hAnsi="Times New Roman" w:cs="Times New Roman"/>
          <w:b/>
          <w:bCs/>
          <w:sz w:val="20"/>
          <w:szCs w:val="20"/>
        </w:rPr>
      </w:pPr>
      <w:r>
        <w:rPr>
          <w:rFonts w:ascii="Times New Roman" w:hAnsi="Times New Roman" w:cs="Times New Roman"/>
          <w:b/>
          <w:bCs/>
          <w:sz w:val="20"/>
          <w:szCs w:val="20"/>
        </w:rPr>
        <w:t>Nano Indentation</w:t>
      </w:r>
    </w:p>
    <w:p w14:paraId="4262A689" w14:textId="09ABDA4B" w:rsidR="00521163" w:rsidRDefault="00521163" w:rsidP="00521163">
      <w:pPr>
        <w:spacing w:beforeLines="50" w:before="156" w:afterLines="50" w:after="156" w:line="276" w:lineRule="auto"/>
        <w:rPr>
          <w:rFonts w:ascii="Times New Roman" w:hAnsi="Times New Roman" w:cs="Times New Roman"/>
          <w:sz w:val="20"/>
          <w:szCs w:val="20"/>
        </w:rPr>
      </w:pPr>
      <w:r w:rsidRPr="00521163">
        <w:rPr>
          <w:rFonts w:ascii="Times New Roman" w:hAnsi="Times New Roman" w:cs="Times New Roman"/>
          <w:sz w:val="20"/>
          <w:szCs w:val="20"/>
        </w:rPr>
        <w:t>To maintain the hydration consistently 2-3 drops of PBS were put on the foam in 20-minute intervals. Following a tip to optics calibration, a trapezoidal load function consisting of loading, holding, and unloading times of 5 seconds each was applied to the indent site</w:t>
      </w:r>
      <w:r>
        <w:rPr>
          <w:rFonts w:ascii="Times New Roman" w:hAnsi="Times New Roman" w:cs="Times New Roman"/>
          <w:sz w:val="20"/>
          <w:szCs w:val="20"/>
        </w:rPr>
        <w:t xml:space="preserve">. </w:t>
      </w:r>
      <w:r w:rsidR="00530A41" w:rsidRPr="00530A41">
        <w:rPr>
          <w:rFonts w:ascii="Times New Roman" w:hAnsi="Times New Roman" w:cs="Times New Roman"/>
          <w:sz w:val="20"/>
          <w:szCs w:val="20"/>
        </w:rPr>
        <w:t>The maximum displacement of 2 µm, with a constant displacement rate of 400 nm/s was used in this study. The indent locations were selected with reference to the histological image of the adjacent section, thereby enabling the mapping of the tissue type with the properties. The number of indents performed on each section depended on the size of the tissue and structural presentation based on histology. The data for the indents that were considered incorrect regarding the indentation depth and partial contact of the tip due to loosely structured tissue was not included in the analysis.</w:t>
      </w:r>
    </w:p>
    <w:p w14:paraId="7361E91B" w14:textId="77777777" w:rsidR="000114CB" w:rsidRDefault="000114CB" w:rsidP="00521163">
      <w:pPr>
        <w:spacing w:beforeLines="50" w:before="156" w:afterLines="50" w:after="156" w:line="276" w:lineRule="auto"/>
        <w:rPr>
          <w:rFonts w:ascii="Times New Roman" w:hAnsi="Times New Roman" w:cs="Times New Roman"/>
          <w:b/>
          <w:bCs/>
          <w:sz w:val="20"/>
          <w:szCs w:val="20"/>
        </w:rPr>
      </w:pPr>
    </w:p>
    <w:p w14:paraId="0E38B390" w14:textId="77777777" w:rsidR="000114CB" w:rsidRDefault="000114CB" w:rsidP="00521163">
      <w:pPr>
        <w:spacing w:beforeLines="50" w:before="156" w:afterLines="50" w:after="156" w:line="276" w:lineRule="auto"/>
        <w:rPr>
          <w:rFonts w:ascii="Times New Roman" w:hAnsi="Times New Roman" w:cs="Times New Roman"/>
          <w:b/>
          <w:bCs/>
          <w:sz w:val="20"/>
          <w:szCs w:val="20"/>
        </w:rPr>
      </w:pPr>
    </w:p>
    <w:p w14:paraId="6F9D94B3" w14:textId="52001D53" w:rsidR="00530A41" w:rsidRPr="00530A41" w:rsidRDefault="00530A41" w:rsidP="00521163">
      <w:pPr>
        <w:spacing w:beforeLines="50" w:before="156" w:afterLines="50" w:after="156" w:line="276" w:lineRule="auto"/>
        <w:rPr>
          <w:rFonts w:ascii="Times New Roman" w:hAnsi="Times New Roman" w:cs="Times New Roman"/>
          <w:b/>
          <w:bCs/>
          <w:sz w:val="20"/>
          <w:szCs w:val="20"/>
        </w:rPr>
      </w:pPr>
      <w:r>
        <w:rPr>
          <w:rFonts w:ascii="Times New Roman" w:hAnsi="Times New Roman" w:cs="Times New Roman"/>
          <w:b/>
          <w:bCs/>
          <w:sz w:val="20"/>
          <w:szCs w:val="20"/>
        </w:rPr>
        <w:lastRenderedPageBreak/>
        <w:t>Computational Fluid Dynamics</w:t>
      </w:r>
      <w:r w:rsidR="00C261F5">
        <w:rPr>
          <w:rFonts w:ascii="Times New Roman" w:hAnsi="Times New Roman" w:cs="Times New Roman"/>
          <w:b/>
          <w:bCs/>
          <w:sz w:val="20"/>
          <w:szCs w:val="20"/>
        </w:rPr>
        <w:t xml:space="preserve"> (CFD)</w:t>
      </w:r>
    </w:p>
    <w:p w14:paraId="457AF403" w14:textId="338FC326" w:rsidR="00530A41" w:rsidRDefault="00530A41" w:rsidP="00521163">
      <w:pPr>
        <w:spacing w:beforeLines="50" w:before="156" w:afterLines="50" w:after="156" w:line="276" w:lineRule="auto"/>
        <w:rPr>
          <w:rFonts w:ascii="Times New Roman" w:hAnsi="Times New Roman" w:cs="Times New Roman"/>
          <w:sz w:val="20"/>
          <w:szCs w:val="20"/>
        </w:rPr>
      </w:pPr>
      <w:r w:rsidRPr="00530A41">
        <w:rPr>
          <w:rFonts w:ascii="Times New Roman" w:hAnsi="Times New Roman" w:cs="Times New Roman"/>
          <w:sz w:val="20"/>
          <w:szCs w:val="20"/>
        </w:rPr>
        <w:t>The CFD analysis protocols, mesh size, and time step was used based on the convergence study from our group</w:t>
      </w:r>
      <w:r w:rsidR="00B5565E">
        <w:rPr>
          <w:rFonts w:ascii="Times New Roman" w:hAnsi="Times New Roman" w:cs="Times New Roman"/>
          <w:sz w:val="20"/>
          <w:szCs w:val="20"/>
        </w:rPr>
        <w:t xml:space="preserve"> </w:t>
      </w:r>
      <w:r w:rsidR="00B5565E">
        <w:rPr>
          <w:rFonts w:ascii="Times New Roman" w:hAnsi="Times New Roman" w:cs="Times New Roman"/>
          <w:sz w:val="20"/>
          <w:szCs w:val="20"/>
        </w:rPr>
        <w:fldChar w:fldCharType="begin"/>
      </w:r>
      <w:r w:rsidR="00B5565E">
        <w:rPr>
          <w:rFonts w:ascii="Times New Roman" w:hAnsi="Times New Roman" w:cs="Times New Roman"/>
          <w:sz w:val="20"/>
          <w:szCs w:val="20"/>
        </w:rPr>
        <w:instrText xml:space="preserve"> ADDIN EN.CITE &lt;EndNote&gt;&lt;Cite&gt;&lt;Author&gt;Mendieta&lt;/Author&gt;&lt;Year&gt;2020&lt;/Year&gt;&lt;RecNum&gt;1494&lt;/RecNum&gt;&lt;DisplayText&gt;[1]&lt;/DisplayText&gt;&lt;record&gt;&lt;rec-number&gt;1494&lt;/rec-number&gt;&lt;foreign-keys&gt;&lt;key app="EN" db-id="tpzrav5dc9vseoerstnvxswmtravrwtfpepf" timestamp="1586164673"&gt;1494&lt;/key&gt;&lt;/foreign-keys&gt;&lt;ref-type name="Journal Article"&gt;17&lt;/ref-type&gt;&lt;contributors&gt;&lt;authors&gt;&lt;author&gt;Mendieta, Jessica Benitez&lt;/author&gt;&lt;author&gt;Fontanarosa, Davide&lt;/author&gt;&lt;author&gt;Wang, Jiaqiu&lt;/author&gt;&lt;author&gt;Paritala, Phani Kumari&lt;/author&gt;&lt;author&gt;McGahan, Tim&lt;/author&gt;&lt;author&gt;Lloyd, Thomas&lt;/author&gt;&lt;author&gt;Li, Zhiyong %J Biomechanics&lt;/author&gt;&lt;author&gt;Modeling in Mechanobiology&lt;/author&gt;&lt;/authors&gt;&lt;/contributors&gt;&lt;titles&gt;&lt;title&gt;The importance of blood rheology in patient-specific computational fluid dynamics simulation of stenotic carotid arteries&lt;/title&gt;&lt;/titles&gt;&lt;pages&gt;1-14&lt;/pages&gt;&lt;dates&gt;&lt;year&gt;2020&lt;/year&gt;&lt;/dates&gt;&lt;isbn&gt;1617-7959&lt;/isbn&gt;&lt;urls&gt;&lt;/urls&gt;&lt;/record&gt;&lt;/Cite&gt;&lt;/EndNote&gt;</w:instrText>
      </w:r>
      <w:r w:rsidR="00B5565E">
        <w:rPr>
          <w:rFonts w:ascii="Times New Roman" w:hAnsi="Times New Roman" w:cs="Times New Roman"/>
          <w:sz w:val="20"/>
          <w:szCs w:val="20"/>
        </w:rPr>
        <w:fldChar w:fldCharType="separate"/>
      </w:r>
      <w:r w:rsidR="00B5565E">
        <w:rPr>
          <w:rFonts w:ascii="Times New Roman" w:hAnsi="Times New Roman" w:cs="Times New Roman"/>
          <w:noProof/>
          <w:sz w:val="20"/>
          <w:szCs w:val="20"/>
        </w:rPr>
        <w:t>[1]</w:t>
      </w:r>
      <w:r w:rsidR="00B5565E">
        <w:rPr>
          <w:rFonts w:ascii="Times New Roman" w:hAnsi="Times New Roman" w:cs="Times New Roman"/>
          <w:sz w:val="20"/>
          <w:szCs w:val="20"/>
        </w:rPr>
        <w:fldChar w:fldCharType="end"/>
      </w:r>
      <w:r w:rsidRPr="00530A41">
        <w:rPr>
          <w:rFonts w:ascii="Times New Roman" w:hAnsi="Times New Roman" w:cs="Times New Roman"/>
          <w:sz w:val="20"/>
          <w:szCs w:val="20"/>
        </w:rPr>
        <w:t xml:space="preserve">. Fig </w:t>
      </w:r>
      <w:r>
        <w:rPr>
          <w:rFonts w:ascii="Times New Roman" w:hAnsi="Times New Roman" w:cs="Times New Roman"/>
          <w:sz w:val="20"/>
          <w:szCs w:val="20"/>
        </w:rPr>
        <w:t>II</w:t>
      </w:r>
      <w:r w:rsidRPr="00530A41">
        <w:rPr>
          <w:rFonts w:ascii="Times New Roman" w:hAnsi="Times New Roman" w:cs="Times New Roman"/>
          <w:sz w:val="20"/>
          <w:szCs w:val="20"/>
        </w:rPr>
        <w:t xml:space="preserve"> represents the patient-specific carotid bifurcation model and boundary conditions </w:t>
      </w:r>
      <w:r>
        <w:rPr>
          <w:rFonts w:ascii="Times New Roman" w:hAnsi="Times New Roman" w:cs="Times New Roman"/>
          <w:sz w:val="20"/>
          <w:szCs w:val="20"/>
        </w:rPr>
        <w:t>used in this study.</w:t>
      </w:r>
    </w:p>
    <w:p w14:paraId="17C720ED" w14:textId="620D6C1B" w:rsidR="00530A41" w:rsidRPr="00530A41" w:rsidRDefault="00530A41" w:rsidP="00530A41">
      <w:pPr>
        <w:spacing w:beforeLines="50" w:before="156" w:afterLines="50" w:after="156" w:line="276" w:lineRule="auto"/>
        <w:rPr>
          <w:rFonts w:ascii="Times New Roman" w:hAnsi="Times New Roman" w:cs="Times New Roman"/>
          <w:b/>
          <w:bCs/>
          <w:sz w:val="20"/>
          <w:szCs w:val="20"/>
        </w:rPr>
      </w:pPr>
      <w:r>
        <w:rPr>
          <w:rFonts w:ascii="Times New Roman" w:hAnsi="Times New Roman" w:cs="Times New Roman"/>
          <w:b/>
          <w:bCs/>
          <w:sz w:val="20"/>
          <w:szCs w:val="20"/>
        </w:rPr>
        <w:t>Structural Analysis</w:t>
      </w:r>
    </w:p>
    <w:p w14:paraId="7CE4E359" w14:textId="22CDE956" w:rsidR="00530A41" w:rsidRDefault="00530A41" w:rsidP="00530A41">
      <w:pPr>
        <w:spacing w:beforeLines="50" w:before="156" w:afterLines="50" w:after="156" w:line="276" w:lineRule="auto"/>
        <w:rPr>
          <w:rFonts w:ascii="Times New Roman" w:hAnsi="Times New Roman" w:cs="Times New Roman"/>
          <w:sz w:val="20"/>
          <w:szCs w:val="20"/>
        </w:rPr>
      </w:pPr>
      <w:r w:rsidRPr="00530A41">
        <w:rPr>
          <w:rFonts w:ascii="Times New Roman" w:hAnsi="Times New Roman" w:cs="Times New Roman"/>
          <w:sz w:val="20"/>
          <w:szCs w:val="20"/>
        </w:rPr>
        <w:t xml:space="preserve">Initially, the histology images of the selected segments were co-registered with MRI imaging data with reference from the carotid bifurcation. Later, the corresponding slice was identified based on the calcification and lipids visible from low-energy x-ray and histological images. From the MRI, different components of plaque were manually segmented using an open-source software </w:t>
      </w:r>
      <w:bookmarkStart w:id="3" w:name="_Hlk59609357"/>
      <w:r w:rsidRPr="00530A41">
        <w:rPr>
          <w:rFonts w:ascii="Times New Roman" w:hAnsi="Times New Roman" w:cs="Times New Roman"/>
          <w:sz w:val="20"/>
          <w:szCs w:val="20"/>
        </w:rPr>
        <w:t>ImageJ (imagej.nih.gov/ij/)</w:t>
      </w:r>
      <w:bookmarkEnd w:id="3"/>
      <w:r w:rsidRPr="00530A41">
        <w:rPr>
          <w:rFonts w:ascii="Times New Roman" w:hAnsi="Times New Roman" w:cs="Times New Roman"/>
          <w:sz w:val="20"/>
          <w:szCs w:val="20"/>
        </w:rPr>
        <w:t>, based on our group’s established protocols</w:t>
      </w:r>
      <w:r w:rsidR="00BA0224">
        <w:rPr>
          <w:rFonts w:ascii="Times New Roman" w:hAnsi="Times New Roman" w:cs="Times New Roman"/>
          <w:sz w:val="20"/>
          <w:szCs w:val="20"/>
        </w:rPr>
        <w:t xml:space="preserve"> </w:t>
      </w:r>
      <w:r w:rsidR="00BA0224">
        <w:rPr>
          <w:rFonts w:ascii="Times New Roman" w:hAnsi="Times New Roman" w:cs="Times New Roman"/>
          <w:sz w:val="20"/>
          <w:szCs w:val="20"/>
        </w:rPr>
        <w:fldChar w:fldCharType="begin"/>
      </w:r>
      <w:r w:rsidR="00BA0224">
        <w:rPr>
          <w:rFonts w:ascii="Times New Roman" w:hAnsi="Times New Roman" w:cs="Times New Roman"/>
          <w:sz w:val="20"/>
          <w:szCs w:val="20"/>
        </w:rPr>
        <w:instrText xml:space="preserve"> ADDIN EN.CITE &lt;EndNote&gt;&lt;Cite&gt;&lt;Author&gt;Paritala&lt;/Author&gt;&lt;Year&gt;2018&lt;/Year&gt;&lt;RecNum&gt;1160&lt;/RecNum&gt;&lt;DisplayText&gt;[2]&lt;/DisplayText&gt;&lt;record&gt;&lt;rec-number&gt;1160&lt;/rec-number&gt;&lt;foreign-keys&gt;&lt;key app="EN" db-id="tpzrav5dc9vseoerstnvxswmtravrwtfpepf" timestamp="1541977187"&gt;1160&lt;/key&gt;&lt;/foreign-keys&gt;&lt;ref-type name="Journal Article"&gt;17&lt;/ref-type&gt;&lt;contributors&gt;&lt;authors&gt;&lt;author&gt;Paritala, Phani Kumari&lt;/author&gt;&lt;author&gt;Yarlagadda, Prasad K. D. V.&lt;/author&gt;&lt;author&gt;Wang, Jiaqiu&lt;/author&gt;&lt;author&gt;Gu, YuanTong&lt;/author&gt;&lt;author&gt;Li, Zhiyong&lt;/author&gt;&lt;/authors&gt;&lt;/contributors&gt;&lt;titles&gt;&lt;title&gt;Numerical investigation of atherosclerotic plaque rupture using optical coherence tomography imaging and XFEM&lt;/title&gt;&lt;secondary-title&gt;Engineering Fracture Mechanics&lt;/secondary-title&gt;&lt;/titles&gt;&lt;periodical&gt;&lt;full-title&gt;Engineering Fracture Mechanics&lt;/full-title&gt;&lt;/periodical&gt;&lt;pages&gt;531-541&lt;/pages&gt;&lt;volume&gt;204&lt;/volume&gt;&lt;dates&gt;&lt;year&gt;2018&lt;/year&gt;&lt;pub-dates&gt;&lt;date&gt;2018/12/01/&lt;/date&gt;&lt;/pub-dates&gt;&lt;/dates&gt;&lt;isbn&gt;0013-7944&lt;/isbn&gt;&lt;urls&gt;&lt;/urls&gt;&lt;electronic-resource-num&gt;https://doi.org/10.1016/j.engfracmech.2018.11.002&lt;/electronic-resource-num&gt;&lt;/record&gt;&lt;/Cite&gt;&lt;/EndNote&gt;</w:instrText>
      </w:r>
      <w:r w:rsidR="00BA0224">
        <w:rPr>
          <w:rFonts w:ascii="Times New Roman" w:hAnsi="Times New Roman" w:cs="Times New Roman"/>
          <w:sz w:val="20"/>
          <w:szCs w:val="20"/>
        </w:rPr>
        <w:fldChar w:fldCharType="separate"/>
      </w:r>
      <w:r w:rsidR="00BA0224">
        <w:rPr>
          <w:rFonts w:ascii="Times New Roman" w:hAnsi="Times New Roman" w:cs="Times New Roman"/>
          <w:noProof/>
          <w:sz w:val="20"/>
          <w:szCs w:val="20"/>
        </w:rPr>
        <w:t>[2]</w:t>
      </w:r>
      <w:r w:rsidR="00BA0224">
        <w:rPr>
          <w:rFonts w:ascii="Times New Roman" w:hAnsi="Times New Roman" w:cs="Times New Roman"/>
          <w:sz w:val="20"/>
          <w:szCs w:val="20"/>
        </w:rPr>
        <w:fldChar w:fldCharType="end"/>
      </w:r>
      <w:r w:rsidRPr="00530A41">
        <w:rPr>
          <w:rFonts w:ascii="Times New Roman" w:hAnsi="Times New Roman" w:cs="Times New Roman"/>
          <w:sz w:val="20"/>
          <w:szCs w:val="20"/>
        </w:rPr>
        <w:t xml:space="preserve">. The coordinates were saved as a .txt file in the format required for a finite element solver. The text files were imported to Ansys workbench as a curve that is created from the coordinates file, and later the surfaces were generated from the edges. Fig </w:t>
      </w:r>
      <w:r>
        <w:rPr>
          <w:rFonts w:ascii="Times New Roman" w:hAnsi="Times New Roman" w:cs="Times New Roman"/>
          <w:sz w:val="20"/>
          <w:szCs w:val="20"/>
        </w:rPr>
        <w:t>III</w:t>
      </w:r>
      <w:r w:rsidRPr="00530A41">
        <w:rPr>
          <w:rFonts w:ascii="Times New Roman" w:hAnsi="Times New Roman" w:cs="Times New Roman"/>
          <w:sz w:val="20"/>
          <w:szCs w:val="20"/>
        </w:rPr>
        <w:t xml:space="preserve"> represents </w:t>
      </w:r>
      <w:r>
        <w:rPr>
          <w:rFonts w:ascii="Times New Roman" w:hAnsi="Times New Roman" w:cs="Times New Roman"/>
          <w:sz w:val="20"/>
          <w:szCs w:val="20"/>
        </w:rPr>
        <w:t>segmentation procedure</w:t>
      </w:r>
      <w:r w:rsidRPr="00530A41">
        <w:rPr>
          <w:rFonts w:ascii="Times New Roman" w:hAnsi="Times New Roman" w:cs="Times New Roman"/>
          <w:sz w:val="20"/>
          <w:szCs w:val="20"/>
        </w:rPr>
        <w:t xml:space="preserve"> and boundary conditions </w:t>
      </w:r>
      <w:r>
        <w:rPr>
          <w:rFonts w:ascii="Times New Roman" w:hAnsi="Times New Roman" w:cs="Times New Roman"/>
          <w:sz w:val="20"/>
          <w:szCs w:val="20"/>
        </w:rPr>
        <w:t>used in this study.</w:t>
      </w:r>
    </w:p>
    <w:p w14:paraId="07CECCD4" w14:textId="22041654" w:rsidR="006C24E9" w:rsidRPr="00530A41" w:rsidRDefault="006C24E9" w:rsidP="006C24E9">
      <w:pPr>
        <w:spacing w:beforeLines="50" w:before="156" w:afterLines="50" w:after="156" w:line="276" w:lineRule="auto"/>
        <w:rPr>
          <w:rFonts w:ascii="Times New Roman" w:hAnsi="Times New Roman" w:cs="Times New Roman"/>
          <w:b/>
          <w:bCs/>
          <w:sz w:val="20"/>
          <w:szCs w:val="20"/>
        </w:rPr>
      </w:pPr>
      <w:r>
        <w:rPr>
          <w:rFonts w:ascii="Times New Roman" w:hAnsi="Times New Roman" w:cs="Times New Roman"/>
          <w:b/>
          <w:bCs/>
          <w:sz w:val="20"/>
          <w:szCs w:val="20"/>
        </w:rPr>
        <w:t>Data Analysis</w:t>
      </w:r>
    </w:p>
    <w:p w14:paraId="60AE1D71" w14:textId="6897959E" w:rsidR="00811F37" w:rsidRPr="00811F37" w:rsidRDefault="00811F37" w:rsidP="00811F37">
      <w:pPr>
        <w:spacing w:beforeLines="50" w:before="156" w:afterLines="50" w:after="156" w:line="276" w:lineRule="auto"/>
        <w:rPr>
          <w:rFonts w:ascii="Times New Roman" w:hAnsi="Times New Roman" w:cs="Times New Roman"/>
          <w:sz w:val="20"/>
          <w:szCs w:val="20"/>
        </w:rPr>
      </w:pPr>
      <w:r w:rsidRPr="00811F37">
        <w:rPr>
          <w:rFonts w:ascii="Times New Roman" w:hAnsi="Times New Roman" w:cs="Times New Roman"/>
          <w:sz w:val="20"/>
          <w:szCs w:val="20"/>
        </w:rPr>
        <w:t xml:space="preserve">The histological sections were matched to MRI images based on the bifurcation location and the presence of calcification from histology and low energy x-ray. </w:t>
      </w:r>
      <w:r w:rsidR="00C17D17">
        <w:rPr>
          <w:rFonts w:ascii="Times New Roman" w:hAnsi="Times New Roman" w:cs="Times New Roman"/>
          <w:sz w:val="20"/>
          <w:szCs w:val="20"/>
        </w:rPr>
        <w:t>F</w:t>
      </w:r>
      <w:r w:rsidRPr="00811F37">
        <w:rPr>
          <w:rFonts w:ascii="Times New Roman" w:hAnsi="Times New Roman" w:cs="Times New Roman"/>
          <w:sz w:val="20"/>
          <w:szCs w:val="20"/>
        </w:rPr>
        <w:t>ibrous cap thickness (FCT) was measured at the location of the least thickness covering the lipid core. Fiji (https://imagej.net/Fiji/Downloads) was used to evaluate the staining intensity of H &amp; E (general morphology and calcification), Oil Red O for lipids (stained in red), Masson’s Trichrome for hemorrhage (stained in dark pink), CD68 for inflammation (stained in brown-fluffy appearance). The area staining of lipids (LA), calcification (CA), hemorrhage (HA), and macrophages (CD68 staining- MA) was reported as the percentage of total plaque area calculated from the H &amp; E stain. Neovessels were identified from CD31 positive staining that highlights the endothelial cells on the inner lining of the lumen. The number of neovessels was manually counted using a grid of 1 mm</w:t>
      </w:r>
      <w:r w:rsidR="00E6420C">
        <w:rPr>
          <w:rFonts w:ascii="Times New Roman" w:hAnsi="Times New Roman" w:cs="Times New Roman"/>
          <w:sz w:val="20"/>
          <w:szCs w:val="20"/>
          <w:vertAlign w:val="superscript"/>
        </w:rPr>
        <w:t>2</w:t>
      </w:r>
      <w:r w:rsidRPr="00811F37">
        <w:rPr>
          <w:rFonts w:ascii="Times New Roman" w:hAnsi="Times New Roman" w:cs="Times New Roman"/>
          <w:sz w:val="20"/>
          <w:szCs w:val="20"/>
        </w:rPr>
        <w:t>. The percentage area of staining of different constituents was compared for different sections analysed in the longitudinal direction of each patient and for all the twenty-nine sections analysed. Reduced modulus values obtained from the nanoindentation tests were mapped to the histological images based on the coordinates of the indent location</w:t>
      </w:r>
      <w:r w:rsidR="0039644A">
        <w:rPr>
          <w:rFonts w:ascii="Times New Roman" w:hAnsi="Times New Roman" w:cs="Times New Roman"/>
          <w:sz w:val="20"/>
          <w:szCs w:val="20"/>
        </w:rPr>
        <w:t xml:space="preserve"> (sho</w:t>
      </w:r>
      <w:r w:rsidR="00E9159C">
        <w:rPr>
          <w:rFonts w:ascii="Times New Roman" w:hAnsi="Times New Roman" w:cs="Times New Roman"/>
          <w:sz w:val="20"/>
          <w:szCs w:val="20"/>
        </w:rPr>
        <w:t>wn in Fig. IV)</w:t>
      </w:r>
      <w:r w:rsidRPr="00811F37">
        <w:rPr>
          <w:rFonts w:ascii="Times New Roman" w:hAnsi="Times New Roman" w:cs="Times New Roman"/>
          <w:sz w:val="20"/>
          <w:szCs w:val="20"/>
        </w:rPr>
        <w:t xml:space="preserve">. WSS distribution was inspected along the length and at different sections of the plaque tissue and the variations were compared with the morphology. Maximum structural stresses and their location for each section were identified and compared with the percentage of lipid, calcification, and inflammation. </w:t>
      </w:r>
    </w:p>
    <w:p w14:paraId="4D46EE34" w14:textId="546B305D" w:rsidR="00530A41" w:rsidRDefault="00530A41" w:rsidP="00530A41">
      <w:pPr>
        <w:spacing w:beforeLines="50" w:before="156" w:afterLines="50" w:after="156" w:line="276" w:lineRule="auto"/>
        <w:rPr>
          <w:rFonts w:ascii="Times New Roman" w:hAnsi="Times New Roman" w:cs="Times New Roman"/>
          <w:sz w:val="20"/>
          <w:szCs w:val="20"/>
        </w:rPr>
      </w:pPr>
    </w:p>
    <w:p w14:paraId="2F2B3A4D" w14:textId="28685FA2" w:rsidR="009E1A08" w:rsidRDefault="009E1A08" w:rsidP="00530A41">
      <w:pPr>
        <w:spacing w:beforeLines="50" w:before="156" w:afterLines="50" w:after="156" w:line="276" w:lineRule="auto"/>
        <w:rPr>
          <w:rFonts w:ascii="Times New Roman" w:hAnsi="Times New Roman" w:cs="Times New Roman"/>
          <w:sz w:val="20"/>
          <w:szCs w:val="20"/>
        </w:rPr>
      </w:pPr>
    </w:p>
    <w:p w14:paraId="4729A484" w14:textId="23992D8D" w:rsidR="009E1A08" w:rsidRDefault="009E1A08" w:rsidP="00530A41">
      <w:pPr>
        <w:spacing w:beforeLines="50" w:before="156" w:afterLines="50" w:after="156" w:line="276" w:lineRule="auto"/>
        <w:rPr>
          <w:rFonts w:ascii="Times New Roman" w:hAnsi="Times New Roman" w:cs="Times New Roman"/>
          <w:sz w:val="20"/>
          <w:szCs w:val="20"/>
        </w:rPr>
      </w:pPr>
    </w:p>
    <w:p w14:paraId="46754CA5" w14:textId="1D0A284A" w:rsidR="009E1A08" w:rsidRDefault="009E1A08" w:rsidP="00530A41">
      <w:pPr>
        <w:spacing w:beforeLines="50" w:before="156" w:afterLines="50" w:after="156" w:line="276" w:lineRule="auto"/>
        <w:rPr>
          <w:rFonts w:ascii="Times New Roman" w:hAnsi="Times New Roman" w:cs="Times New Roman"/>
          <w:sz w:val="20"/>
          <w:szCs w:val="20"/>
        </w:rPr>
      </w:pPr>
    </w:p>
    <w:p w14:paraId="29B86A43" w14:textId="22D15BD7" w:rsidR="009E1A08" w:rsidRDefault="009E1A08" w:rsidP="00530A41">
      <w:pPr>
        <w:spacing w:beforeLines="50" w:before="156" w:afterLines="50" w:after="156" w:line="276" w:lineRule="auto"/>
        <w:rPr>
          <w:rFonts w:ascii="Times New Roman" w:hAnsi="Times New Roman" w:cs="Times New Roman"/>
          <w:sz w:val="20"/>
          <w:szCs w:val="20"/>
        </w:rPr>
      </w:pPr>
    </w:p>
    <w:p w14:paraId="54BD163B" w14:textId="750AA814" w:rsidR="009E1A08" w:rsidRDefault="009E1A08" w:rsidP="00530A41">
      <w:pPr>
        <w:spacing w:beforeLines="50" w:before="156" w:afterLines="50" w:after="156" w:line="276" w:lineRule="auto"/>
        <w:rPr>
          <w:rFonts w:ascii="Times New Roman" w:hAnsi="Times New Roman" w:cs="Times New Roman"/>
          <w:sz w:val="20"/>
          <w:szCs w:val="20"/>
        </w:rPr>
      </w:pPr>
    </w:p>
    <w:p w14:paraId="3288FD6F" w14:textId="77777777" w:rsidR="000114CB" w:rsidRDefault="000114CB" w:rsidP="000359EC">
      <w:pPr>
        <w:spacing w:line="276" w:lineRule="auto"/>
        <w:rPr>
          <w:rFonts w:ascii="Times New Roman" w:hAnsi="Times New Roman" w:cs="Times New Roman"/>
          <w:b/>
          <w:bCs/>
          <w:sz w:val="24"/>
          <w:szCs w:val="24"/>
        </w:rPr>
        <w:sectPr w:rsidR="000114CB" w:rsidSect="000114CB">
          <w:pgSz w:w="11906" w:h="16838"/>
          <w:pgMar w:top="1440" w:right="1800" w:bottom="1440" w:left="1800" w:header="851" w:footer="992" w:gutter="0"/>
          <w:cols w:space="425"/>
          <w:docGrid w:type="lines" w:linePitch="312"/>
        </w:sectPr>
      </w:pPr>
    </w:p>
    <w:p w14:paraId="0DB010AF" w14:textId="3D9FB253" w:rsidR="00777CBC" w:rsidRDefault="00777CBC" w:rsidP="000359EC">
      <w:pPr>
        <w:spacing w:line="276" w:lineRule="auto"/>
        <w:rPr>
          <w:rFonts w:ascii="Times New Roman" w:hAnsi="Times New Roman" w:cs="Times New Roman"/>
          <w:b/>
          <w:bCs/>
          <w:sz w:val="24"/>
          <w:szCs w:val="24"/>
        </w:rPr>
      </w:pPr>
      <w:r w:rsidRPr="00152989">
        <w:rPr>
          <w:rFonts w:ascii="Times New Roman" w:hAnsi="Times New Roman" w:cs="Times New Roman"/>
          <w:b/>
          <w:bCs/>
          <w:sz w:val="24"/>
          <w:szCs w:val="24"/>
        </w:rPr>
        <w:lastRenderedPageBreak/>
        <w:t>Supplementa</w:t>
      </w:r>
      <w:r w:rsidR="00A30BAA">
        <w:rPr>
          <w:rFonts w:ascii="Times New Roman" w:hAnsi="Times New Roman" w:cs="Times New Roman"/>
          <w:b/>
          <w:bCs/>
          <w:sz w:val="24"/>
          <w:szCs w:val="24"/>
        </w:rPr>
        <w:t>ry</w:t>
      </w:r>
      <w:r w:rsidRPr="00152989">
        <w:rPr>
          <w:rFonts w:ascii="Times New Roman" w:hAnsi="Times New Roman" w:cs="Times New Roman"/>
          <w:b/>
          <w:bCs/>
          <w:sz w:val="24"/>
          <w:szCs w:val="24"/>
        </w:rPr>
        <w:t xml:space="preserve"> </w:t>
      </w:r>
      <w:r w:rsidR="00F05C0D">
        <w:rPr>
          <w:rFonts w:ascii="Times New Roman" w:hAnsi="Times New Roman" w:cs="Times New Roman"/>
          <w:b/>
          <w:bCs/>
          <w:sz w:val="24"/>
          <w:szCs w:val="24"/>
        </w:rPr>
        <w:t>Figures</w:t>
      </w:r>
      <w:r w:rsidR="009E1A08">
        <w:rPr>
          <w:rFonts w:ascii="Times New Roman" w:hAnsi="Times New Roman" w:cs="Times New Roman"/>
          <w:b/>
          <w:bCs/>
          <w:sz w:val="24"/>
          <w:szCs w:val="24"/>
        </w:rPr>
        <w:t>:</w:t>
      </w:r>
    </w:p>
    <w:p w14:paraId="64B20958" w14:textId="6476C1E8" w:rsidR="009E1A08" w:rsidRDefault="009E1A08" w:rsidP="00813073">
      <w:pPr>
        <w:pStyle w:val="Paragraph"/>
        <w:ind w:firstLine="0"/>
        <w:jc w:val="center"/>
        <w:rPr>
          <w:i/>
        </w:rPr>
      </w:pPr>
      <w:bookmarkStart w:id="4" w:name="_Hlk59608450"/>
      <w:r>
        <w:rPr>
          <w:i/>
          <w:noProof/>
          <w:lang w:val="de-CH" w:eastAsia="de-CH"/>
        </w:rPr>
        <w:drawing>
          <wp:inline distT="0" distB="0" distL="0" distR="0" wp14:anchorId="0D83F1E7" wp14:editId="4294E089">
            <wp:extent cx="7516800" cy="3086853"/>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2356" cy="3093241"/>
                    </a:xfrm>
                    <a:prstGeom prst="rect">
                      <a:avLst/>
                    </a:prstGeom>
                  </pic:spPr>
                </pic:pic>
              </a:graphicData>
            </a:graphic>
          </wp:inline>
        </w:drawing>
      </w:r>
      <w:bookmarkEnd w:id="4"/>
    </w:p>
    <w:p w14:paraId="1D1D70FA" w14:textId="77777777" w:rsidR="009E1A08" w:rsidRPr="00C1366B" w:rsidRDefault="009E1A08" w:rsidP="009E1A08">
      <w:pPr>
        <w:pStyle w:val="Beschriftung"/>
        <w:jc w:val="both"/>
        <w:rPr>
          <w:i w:val="0"/>
          <w:iCs w:val="0"/>
          <w:color w:val="auto"/>
          <w:sz w:val="16"/>
          <w:szCs w:val="16"/>
        </w:rPr>
      </w:pPr>
      <w:r w:rsidRPr="00592FAF">
        <w:rPr>
          <w:b/>
          <w:bCs/>
          <w:i w:val="0"/>
          <w:iCs w:val="0"/>
          <w:color w:val="auto"/>
          <w:sz w:val="16"/>
          <w:szCs w:val="16"/>
        </w:rPr>
        <w:t xml:space="preserve">Fig </w:t>
      </w:r>
      <w:r>
        <w:rPr>
          <w:b/>
          <w:bCs/>
          <w:i w:val="0"/>
          <w:iCs w:val="0"/>
          <w:color w:val="auto"/>
          <w:sz w:val="16"/>
          <w:szCs w:val="16"/>
        </w:rPr>
        <w:t>I</w:t>
      </w:r>
      <w:r w:rsidRPr="00592FAF">
        <w:rPr>
          <w:b/>
          <w:bCs/>
          <w:i w:val="0"/>
          <w:iCs w:val="0"/>
          <w:color w:val="auto"/>
          <w:sz w:val="16"/>
          <w:szCs w:val="16"/>
        </w:rPr>
        <w:t>. Sample Preparation and Sectioning</w:t>
      </w:r>
      <w:r>
        <w:rPr>
          <w:i w:val="0"/>
          <w:iCs w:val="0"/>
          <w:color w:val="auto"/>
          <w:sz w:val="16"/>
          <w:szCs w:val="16"/>
        </w:rPr>
        <w:t xml:space="preserve">. </w:t>
      </w:r>
      <w:r w:rsidRPr="009B6476">
        <w:rPr>
          <w:i w:val="0"/>
          <w:iCs w:val="0"/>
          <w:color w:val="auto"/>
          <w:sz w:val="16"/>
          <w:szCs w:val="16"/>
        </w:rPr>
        <w:t>(</w:t>
      </w:r>
      <w:r>
        <w:rPr>
          <w:i w:val="0"/>
          <w:iCs w:val="0"/>
          <w:color w:val="auto"/>
          <w:sz w:val="16"/>
          <w:szCs w:val="16"/>
        </w:rPr>
        <w:t>a</w:t>
      </w:r>
      <w:r w:rsidRPr="009B6476">
        <w:rPr>
          <w:i w:val="0"/>
          <w:iCs w:val="0"/>
          <w:color w:val="auto"/>
          <w:sz w:val="16"/>
          <w:szCs w:val="16"/>
        </w:rPr>
        <w:t>-I) Sample obtained following CEA; (</w:t>
      </w:r>
      <w:r>
        <w:rPr>
          <w:i w:val="0"/>
          <w:iCs w:val="0"/>
          <w:color w:val="auto"/>
          <w:sz w:val="16"/>
          <w:szCs w:val="16"/>
        </w:rPr>
        <w:t>a</w:t>
      </w:r>
      <w:r w:rsidRPr="009B6476">
        <w:rPr>
          <w:i w:val="0"/>
          <w:iCs w:val="0"/>
          <w:color w:val="auto"/>
          <w:sz w:val="16"/>
          <w:szCs w:val="16"/>
        </w:rPr>
        <w:t>-II) Low energy X-ray to identify the presence of calcium; (</w:t>
      </w:r>
      <w:r>
        <w:rPr>
          <w:i w:val="0"/>
          <w:iCs w:val="0"/>
          <w:color w:val="auto"/>
          <w:sz w:val="16"/>
          <w:szCs w:val="16"/>
        </w:rPr>
        <w:t>a</w:t>
      </w:r>
      <w:r w:rsidRPr="009B6476">
        <w:rPr>
          <w:i w:val="0"/>
          <w:iCs w:val="0"/>
          <w:color w:val="auto"/>
          <w:sz w:val="16"/>
          <w:szCs w:val="16"/>
        </w:rPr>
        <w:t>-III) Cut segments for histological processing and mechanical testing; (</w:t>
      </w:r>
      <w:r>
        <w:rPr>
          <w:i w:val="0"/>
          <w:iCs w:val="0"/>
          <w:color w:val="auto"/>
          <w:sz w:val="16"/>
          <w:szCs w:val="16"/>
        </w:rPr>
        <w:t>a</w:t>
      </w:r>
      <w:r w:rsidRPr="009B6476">
        <w:rPr>
          <w:i w:val="0"/>
          <w:iCs w:val="0"/>
          <w:color w:val="auto"/>
          <w:sz w:val="16"/>
          <w:szCs w:val="16"/>
        </w:rPr>
        <w:t>-IV) Sample embedded in OCT; (</w:t>
      </w:r>
      <w:r>
        <w:rPr>
          <w:i w:val="0"/>
          <w:iCs w:val="0"/>
          <w:color w:val="auto"/>
          <w:sz w:val="16"/>
          <w:szCs w:val="16"/>
        </w:rPr>
        <w:t>a</w:t>
      </w:r>
      <w:r w:rsidRPr="009B6476">
        <w:rPr>
          <w:i w:val="0"/>
          <w:iCs w:val="0"/>
          <w:color w:val="auto"/>
          <w:sz w:val="16"/>
          <w:szCs w:val="16"/>
        </w:rPr>
        <w:t>-V) Snap frozen in liquid Nitrogen; (</w:t>
      </w:r>
      <w:r>
        <w:rPr>
          <w:i w:val="0"/>
          <w:iCs w:val="0"/>
          <w:color w:val="auto"/>
          <w:sz w:val="16"/>
          <w:szCs w:val="16"/>
        </w:rPr>
        <w:t>a</w:t>
      </w:r>
      <w:r w:rsidRPr="009B6476">
        <w:rPr>
          <w:i w:val="0"/>
          <w:iCs w:val="0"/>
          <w:color w:val="auto"/>
          <w:sz w:val="16"/>
          <w:szCs w:val="16"/>
        </w:rPr>
        <w:t>-VI) Cryostat used for sectioning; (</w:t>
      </w:r>
      <w:r>
        <w:rPr>
          <w:i w:val="0"/>
          <w:iCs w:val="0"/>
          <w:color w:val="auto"/>
          <w:sz w:val="16"/>
          <w:szCs w:val="16"/>
        </w:rPr>
        <w:t>a</w:t>
      </w:r>
      <w:r w:rsidRPr="009B6476">
        <w:rPr>
          <w:i w:val="0"/>
          <w:iCs w:val="0"/>
          <w:color w:val="auto"/>
          <w:sz w:val="16"/>
          <w:szCs w:val="16"/>
        </w:rPr>
        <w:t>-VII) Thin slices segmented; (</w:t>
      </w:r>
      <w:r>
        <w:rPr>
          <w:i w:val="0"/>
          <w:iCs w:val="0"/>
          <w:color w:val="auto"/>
          <w:sz w:val="16"/>
          <w:szCs w:val="16"/>
        </w:rPr>
        <w:t>b</w:t>
      </w:r>
      <w:r w:rsidRPr="009B6476">
        <w:rPr>
          <w:i w:val="0"/>
          <w:iCs w:val="0"/>
          <w:color w:val="auto"/>
          <w:sz w:val="16"/>
          <w:szCs w:val="16"/>
        </w:rPr>
        <w:t>-I) Represents one segment of the plaque used for section slices of different thickness; (</w:t>
      </w:r>
      <w:r>
        <w:rPr>
          <w:i w:val="0"/>
          <w:iCs w:val="0"/>
          <w:color w:val="auto"/>
          <w:sz w:val="16"/>
          <w:szCs w:val="16"/>
        </w:rPr>
        <w:t>b</w:t>
      </w:r>
      <w:r w:rsidRPr="009B6476">
        <w:rPr>
          <w:i w:val="0"/>
          <w:iCs w:val="0"/>
          <w:color w:val="auto"/>
          <w:sz w:val="16"/>
          <w:szCs w:val="16"/>
        </w:rPr>
        <w:t>-II) Represents slices for different histological stains (8 µm) and mechanical characterization (30 µm); (</w:t>
      </w:r>
      <w:r>
        <w:rPr>
          <w:i w:val="0"/>
          <w:iCs w:val="0"/>
          <w:color w:val="auto"/>
          <w:sz w:val="16"/>
          <w:szCs w:val="16"/>
        </w:rPr>
        <w:t>b</w:t>
      </w:r>
      <w:r w:rsidRPr="009B6476">
        <w:rPr>
          <w:i w:val="0"/>
          <w:iCs w:val="0"/>
          <w:color w:val="auto"/>
          <w:sz w:val="16"/>
          <w:szCs w:val="16"/>
        </w:rPr>
        <w:t>-III) Represents the samples collected for nanoindentation test; Red colour indicates the first level of sectioning, Green colour indicates the second level of sectioning, Numbers in red colour indicate adjacent slides.</w:t>
      </w:r>
    </w:p>
    <w:p w14:paraId="440A92E4" w14:textId="062AE03D" w:rsidR="009E1A08" w:rsidRDefault="009E1A08" w:rsidP="000359EC">
      <w:pPr>
        <w:spacing w:line="276" w:lineRule="auto"/>
        <w:rPr>
          <w:rFonts w:ascii="Times New Roman" w:eastAsia="SimSun" w:hAnsi="Times New Roman" w:cs="Times New Roman"/>
          <w:b/>
          <w:bCs/>
          <w:color w:val="000000"/>
          <w:kern w:val="0"/>
          <w:sz w:val="24"/>
          <w:szCs w:val="24"/>
        </w:rPr>
      </w:pPr>
    </w:p>
    <w:p w14:paraId="3FC41549" w14:textId="60716CC8" w:rsidR="00EC4F4B" w:rsidRDefault="00B61D05" w:rsidP="00EC4F4B">
      <w:pPr>
        <w:pStyle w:val="Beschriftung"/>
        <w:jc w:val="center"/>
        <w:rPr>
          <w:b/>
          <w:bCs/>
          <w:i w:val="0"/>
          <w:iCs w:val="0"/>
          <w:color w:val="000000"/>
          <w:sz w:val="16"/>
          <w:szCs w:val="16"/>
        </w:rPr>
      </w:pPr>
      <w:r>
        <w:rPr>
          <w:b/>
          <w:bCs/>
          <w:noProof/>
          <w:color w:val="000000"/>
          <w:sz w:val="24"/>
          <w:szCs w:val="24"/>
          <w:lang w:val="de-CH" w:eastAsia="de-CH"/>
        </w:rPr>
        <w:lastRenderedPageBreak/>
        <w:drawing>
          <wp:inline distT="0" distB="0" distL="0" distR="0" wp14:anchorId="76D0F792" wp14:editId="5368EF39">
            <wp:extent cx="5185542" cy="4727575"/>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rotWithShape="1">
                    <a:blip r:embed="rId9" cstate="print">
                      <a:extLst>
                        <a:ext uri="{28A0092B-C50C-407E-A947-70E740481C1C}">
                          <a14:useLocalDpi xmlns:a14="http://schemas.microsoft.com/office/drawing/2010/main" val="0"/>
                        </a:ext>
                      </a:extLst>
                    </a:blip>
                    <a:srcRect l="8742" b="39650"/>
                    <a:stretch/>
                  </pic:blipFill>
                  <pic:spPr bwMode="auto">
                    <a:xfrm>
                      <a:off x="0" y="0"/>
                      <a:ext cx="5185542" cy="4727575"/>
                    </a:xfrm>
                    <a:prstGeom prst="rect">
                      <a:avLst/>
                    </a:prstGeom>
                    <a:ln>
                      <a:noFill/>
                    </a:ln>
                    <a:extLst>
                      <a:ext uri="{53640926-AAD7-44D8-BBD7-CCE9431645EC}">
                        <a14:shadowObscured xmlns:a14="http://schemas.microsoft.com/office/drawing/2010/main"/>
                      </a:ext>
                    </a:extLst>
                  </pic:spPr>
                </pic:pic>
              </a:graphicData>
            </a:graphic>
          </wp:inline>
        </w:drawing>
      </w:r>
    </w:p>
    <w:p w14:paraId="3B5C0146" w14:textId="5E741FFB" w:rsidR="00EC4F4B" w:rsidRDefault="00EC4F4B" w:rsidP="00EC4F4B">
      <w:pPr>
        <w:pStyle w:val="Beschriftung"/>
        <w:jc w:val="both"/>
      </w:pPr>
      <w:r w:rsidRPr="00DF5922">
        <w:rPr>
          <w:b/>
          <w:bCs/>
          <w:i w:val="0"/>
          <w:iCs w:val="0"/>
          <w:color w:val="000000"/>
          <w:sz w:val="16"/>
          <w:szCs w:val="16"/>
        </w:rPr>
        <w:t xml:space="preserve">Fig </w:t>
      </w:r>
      <w:r>
        <w:rPr>
          <w:b/>
          <w:bCs/>
          <w:i w:val="0"/>
          <w:iCs w:val="0"/>
          <w:color w:val="000000"/>
          <w:sz w:val="16"/>
          <w:szCs w:val="16"/>
        </w:rPr>
        <w:t>II</w:t>
      </w:r>
      <w:r w:rsidRPr="00DF5922">
        <w:rPr>
          <w:b/>
          <w:bCs/>
          <w:i w:val="0"/>
          <w:iCs w:val="0"/>
          <w:color w:val="000000"/>
          <w:sz w:val="16"/>
          <w:szCs w:val="16"/>
        </w:rPr>
        <w:t xml:space="preserve">. CFD Model and boundary conditions. </w:t>
      </w:r>
      <w:r w:rsidRPr="00DF5922">
        <w:rPr>
          <w:i w:val="0"/>
          <w:iCs w:val="0"/>
          <w:color w:val="000000"/>
          <w:sz w:val="16"/>
          <w:szCs w:val="16"/>
        </w:rPr>
        <w:t>(</w:t>
      </w:r>
      <w:r w:rsidR="0010287D">
        <w:rPr>
          <w:i w:val="0"/>
          <w:iCs w:val="0"/>
          <w:color w:val="000000"/>
          <w:sz w:val="16"/>
          <w:szCs w:val="16"/>
        </w:rPr>
        <w:t>a</w:t>
      </w:r>
      <w:r w:rsidRPr="00DF5922">
        <w:rPr>
          <w:i w:val="0"/>
          <w:iCs w:val="0"/>
          <w:color w:val="000000"/>
          <w:sz w:val="16"/>
          <w:szCs w:val="16"/>
        </w:rPr>
        <w:t>) Patient-specific carotid bifurcation model of a patient (P-II) representing CCA, ICA and ECA; (</w:t>
      </w:r>
      <w:r w:rsidR="0010287D">
        <w:rPr>
          <w:i w:val="0"/>
          <w:iCs w:val="0"/>
          <w:color w:val="000000"/>
          <w:sz w:val="16"/>
          <w:szCs w:val="16"/>
        </w:rPr>
        <w:t>b</w:t>
      </w:r>
      <w:r w:rsidRPr="00DF5922">
        <w:rPr>
          <w:i w:val="0"/>
          <w:iCs w:val="0"/>
          <w:color w:val="000000"/>
          <w:sz w:val="16"/>
          <w:szCs w:val="16"/>
        </w:rPr>
        <w:t>) Extended model, and boundary conditions; (</w:t>
      </w:r>
      <w:r w:rsidR="0010287D">
        <w:rPr>
          <w:i w:val="0"/>
          <w:iCs w:val="0"/>
          <w:color w:val="000000"/>
          <w:sz w:val="16"/>
          <w:szCs w:val="16"/>
        </w:rPr>
        <w:t>c</w:t>
      </w:r>
      <w:r w:rsidRPr="00DF5922">
        <w:rPr>
          <w:i w:val="0"/>
          <w:iCs w:val="0"/>
          <w:color w:val="000000"/>
          <w:sz w:val="16"/>
          <w:szCs w:val="16"/>
        </w:rPr>
        <w:t>) A time-dependent parabolic mass flow rate profile extracted from phase contrast-MRI (PC-MRI) was defined at the inlet of the CCA, and the outflow at the ICA (0.65) and ECA (0.35) was defined as the ratio of the inlet profile.</w:t>
      </w:r>
    </w:p>
    <w:p w14:paraId="35E93CBB" w14:textId="5B2CBE91" w:rsidR="00B61D05" w:rsidRDefault="00CB2269" w:rsidP="00B61D05">
      <w:pPr>
        <w:spacing w:line="276" w:lineRule="auto"/>
        <w:jc w:val="center"/>
        <w:rPr>
          <w:rFonts w:ascii="Times New Roman" w:eastAsia="SimSun" w:hAnsi="Times New Roman" w:cs="Times New Roman"/>
          <w:b/>
          <w:bCs/>
          <w:color w:val="000000"/>
          <w:kern w:val="0"/>
          <w:sz w:val="24"/>
          <w:szCs w:val="24"/>
        </w:rPr>
      </w:pPr>
      <w:r>
        <w:rPr>
          <w:rFonts w:ascii="Times New Roman" w:eastAsia="SimSun" w:hAnsi="Times New Roman" w:cs="Times New Roman"/>
          <w:b/>
          <w:bCs/>
          <w:noProof/>
          <w:color w:val="000000"/>
          <w:kern w:val="0"/>
          <w:sz w:val="24"/>
          <w:szCs w:val="24"/>
          <w:lang w:val="de-CH" w:eastAsia="de-CH"/>
        </w:rPr>
        <w:lastRenderedPageBreak/>
        <w:drawing>
          <wp:inline distT="0" distB="0" distL="0" distR="0" wp14:anchorId="46A70FEB" wp14:editId="1A4C7FF7">
            <wp:extent cx="6782400" cy="3905298"/>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7456" cy="3919725"/>
                    </a:xfrm>
                    <a:prstGeom prst="rect">
                      <a:avLst/>
                    </a:prstGeom>
                  </pic:spPr>
                </pic:pic>
              </a:graphicData>
            </a:graphic>
          </wp:inline>
        </w:drawing>
      </w:r>
    </w:p>
    <w:p w14:paraId="5265DADD" w14:textId="1B75468F" w:rsidR="0010287D" w:rsidRDefault="0010287D" w:rsidP="0010287D">
      <w:pPr>
        <w:rPr>
          <w:rFonts w:ascii="Times New Roman" w:eastAsia="SimSun" w:hAnsi="Times New Roman" w:cs="Times New Roman"/>
          <w:color w:val="000000"/>
          <w:kern w:val="0"/>
          <w:sz w:val="16"/>
          <w:szCs w:val="16"/>
          <w:lang w:eastAsia="en-US"/>
        </w:rPr>
      </w:pPr>
      <w:r w:rsidRPr="0010287D">
        <w:rPr>
          <w:rFonts w:ascii="Times New Roman" w:eastAsia="SimSun" w:hAnsi="Times New Roman" w:cs="Times New Roman"/>
          <w:b/>
          <w:bCs/>
          <w:color w:val="000000"/>
          <w:kern w:val="0"/>
          <w:sz w:val="16"/>
          <w:szCs w:val="16"/>
          <w:lang w:eastAsia="en-US"/>
        </w:rPr>
        <w:t xml:space="preserve">Fig </w:t>
      </w:r>
      <w:r>
        <w:rPr>
          <w:rFonts w:ascii="Times New Roman" w:eastAsia="SimSun" w:hAnsi="Times New Roman" w:cs="Times New Roman"/>
          <w:b/>
          <w:bCs/>
          <w:color w:val="000000"/>
          <w:kern w:val="0"/>
          <w:sz w:val="16"/>
          <w:szCs w:val="16"/>
          <w:lang w:eastAsia="en-US"/>
        </w:rPr>
        <w:t>III</w:t>
      </w:r>
      <w:r w:rsidRPr="0010287D">
        <w:rPr>
          <w:rFonts w:ascii="Times New Roman" w:eastAsia="SimSun" w:hAnsi="Times New Roman" w:cs="Times New Roman"/>
          <w:b/>
          <w:bCs/>
          <w:color w:val="000000"/>
          <w:kern w:val="0"/>
          <w:sz w:val="16"/>
          <w:szCs w:val="16"/>
          <w:lang w:eastAsia="en-US"/>
        </w:rPr>
        <w:t>. Segmentation and Boundary Conditions for Structural Model.</w:t>
      </w:r>
      <w:r w:rsidRPr="0010287D">
        <w:rPr>
          <w:rFonts w:ascii="Times New Roman" w:eastAsia="SimSun" w:hAnsi="Times New Roman" w:cs="Times New Roman"/>
          <w:color w:val="000000"/>
          <w:kern w:val="0"/>
          <w:sz w:val="16"/>
          <w:szCs w:val="16"/>
          <w:lang w:eastAsia="en-US"/>
        </w:rPr>
        <w:t xml:space="preserve"> (</w:t>
      </w:r>
      <w:r>
        <w:rPr>
          <w:rFonts w:ascii="Times New Roman" w:eastAsia="SimSun" w:hAnsi="Times New Roman" w:cs="Times New Roman"/>
          <w:color w:val="000000"/>
          <w:kern w:val="0"/>
          <w:sz w:val="16"/>
          <w:szCs w:val="16"/>
          <w:lang w:eastAsia="en-US"/>
        </w:rPr>
        <w:t>a</w:t>
      </w:r>
      <w:r w:rsidRPr="0010287D">
        <w:rPr>
          <w:rFonts w:ascii="Times New Roman" w:eastAsia="SimSun" w:hAnsi="Times New Roman" w:cs="Times New Roman"/>
          <w:color w:val="000000"/>
          <w:kern w:val="0"/>
          <w:sz w:val="16"/>
          <w:szCs w:val="16"/>
          <w:lang w:eastAsia="en-US"/>
        </w:rPr>
        <w:t>) Seven MRI sections along the length of the plaque tissue corresponding to histological sections; (</w:t>
      </w:r>
      <w:r>
        <w:rPr>
          <w:rFonts w:ascii="Times New Roman" w:eastAsia="SimSun" w:hAnsi="Times New Roman" w:cs="Times New Roman"/>
          <w:color w:val="000000"/>
          <w:kern w:val="0"/>
          <w:sz w:val="16"/>
          <w:szCs w:val="16"/>
          <w:lang w:eastAsia="en-US"/>
        </w:rPr>
        <w:t>b</w:t>
      </w:r>
      <w:r w:rsidRPr="0010287D">
        <w:rPr>
          <w:rFonts w:ascii="Times New Roman" w:eastAsia="SimSun" w:hAnsi="Times New Roman" w:cs="Times New Roman"/>
          <w:color w:val="000000"/>
          <w:kern w:val="0"/>
          <w:sz w:val="16"/>
          <w:szCs w:val="16"/>
          <w:lang w:eastAsia="en-US"/>
        </w:rPr>
        <w:t>) Represents the MRI section of P-II highlighting the manual segmentation for geometry reconstruction; (</w:t>
      </w:r>
      <w:r>
        <w:rPr>
          <w:rFonts w:ascii="Times New Roman" w:eastAsia="SimSun" w:hAnsi="Times New Roman" w:cs="Times New Roman"/>
          <w:color w:val="000000"/>
          <w:kern w:val="0"/>
          <w:sz w:val="16"/>
          <w:szCs w:val="16"/>
          <w:lang w:eastAsia="en-US"/>
        </w:rPr>
        <w:t>c</w:t>
      </w:r>
      <w:r w:rsidRPr="0010287D">
        <w:rPr>
          <w:rFonts w:ascii="Times New Roman" w:eastAsia="SimSun" w:hAnsi="Times New Roman" w:cs="Times New Roman"/>
          <w:color w:val="000000"/>
          <w:kern w:val="0"/>
          <w:sz w:val="16"/>
          <w:szCs w:val="16"/>
          <w:lang w:eastAsia="en-US"/>
        </w:rPr>
        <w:t>) Represents a reconstructed 2D geometry highlighting the methodology used for calculating the stenosis using ECST; (</w:t>
      </w:r>
      <w:r>
        <w:rPr>
          <w:rFonts w:ascii="Times New Roman" w:eastAsia="SimSun" w:hAnsi="Times New Roman" w:cs="Times New Roman"/>
          <w:color w:val="000000"/>
          <w:kern w:val="0"/>
          <w:sz w:val="16"/>
          <w:szCs w:val="16"/>
          <w:lang w:eastAsia="en-US"/>
        </w:rPr>
        <w:t>d</w:t>
      </w:r>
      <w:r w:rsidRPr="0010287D">
        <w:rPr>
          <w:rFonts w:ascii="Times New Roman" w:eastAsia="SimSun" w:hAnsi="Times New Roman" w:cs="Times New Roman"/>
          <w:color w:val="000000"/>
          <w:kern w:val="0"/>
          <w:sz w:val="16"/>
          <w:szCs w:val="16"/>
          <w:lang w:eastAsia="en-US"/>
        </w:rPr>
        <w:t xml:space="preserve">) Represents the boundary conditions- Pressure on the lumen and elastic support on the outer wall of the artery. </w:t>
      </w:r>
    </w:p>
    <w:p w14:paraId="7D20AF0B" w14:textId="69E823B1" w:rsidR="00315B9F" w:rsidRDefault="00315B9F" w:rsidP="0010287D">
      <w:pPr>
        <w:rPr>
          <w:rFonts w:ascii="Times New Roman" w:eastAsia="SimSun" w:hAnsi="Times New Roman" w:cs="Times New Roman"/>
          <w:color w:val="000000"/>
          <w:kern w:val="0"/>
          <w:sz w:val="16"/>
          <w:szCs w:val="16"/>
          <w:lang w:eastAsia="en-US"/>
        </w:rPr>
      </w:pPr>
    </w:p>
    <w:p w14:paraId="09AE3052" w14:textId="7A80664B" w:rsidR="00315B9F" w:rsidRDefault="00315B9F" w:rsidP="0010287D">
      <w:pPr>
        <w:rPr>
          <w:rFonts w:ascii="Times New Roman" w:eastAsia="SimSun" w:hAnsi="Times New Roman" w:cs="Times New Roman"/>
          <w:color w:val="000000"/>
          <w:kern w:val="0"/>
          <w:sz w:val="16"/>
          <w:szCs w:val="16"/>
          <w:lang w:eastAsia="en-US"/>
        </w:rPr>
      </w:pPr>
    </w:p>
    <w:p w14:paraId="2AE14767" w14:textId="0B86F4EE" w:rsidR="00315B9F" w:rsidRDefault="00315B9F" w:rsidP="0010287D">
      <w:pPr>
        <w:rPr>
          <w:rFonts w:ascii="Times New Roman" w:eastAsia="SimSun" w:hAnsi="Times New Roman" w:cs="Times New Roman"/>
          <w:color w:val="000000"/>
          <w:kern w:val="0"/>
          <w:sz w:val="16"/>
          <w:szCs w:val="16"/>
          <w:lang w:eastAsia="en-US"/>
        </w:rPr>
      </w:pPr>
    </w:p>
    <w:p w14:paraId="536F13FE" w14:textId="0BAAF983" w:rsidR="00315B9F" w:rsidRDefault="00A542EF" w:rsidP="00A542EF">
      <w:pPr>
        <w:jc w:val="center"/>
        <w:rPr>
          <w:rFonts w:ascii="Times New Roman" w:eastAsia="SimSun" w:hAnsi="Times New Roman" w:cs="Times New Roman"/>
          <w:color w:val="000000"/>
          <w:kern w:val="0"/>
          <w:sz w:val="16"/>
          <w:szCs w:val="16"/>
          <w:lang w:eastAsia="en-US"/>
        </w:rPr>
      </w:pPr>
      <w:r>
        <w:rPr>
          <w:rFonts w:ascii="Times New Roman" w:eastAsia="SimSun" w:hAnsi="Times New Roman" w:cs="Times New Roman"/>
          <w:noProof/>
          <w:color w:val="000000"/>
          <w:kern w:val="0"/>
          <w:sz w:val="16"/>
          <w:szCs w:val="16"/>
          <w:lang w:val="de-CH" w:eastAsia="de-CH"/>
        </w:rPr>
        <w:lastRenderedPageBreak/>
        <w:drawing>
          <wp:inline distT="0" distB="0" distL="0" distR="0" wp14:anchorId="3932D408" wp14:editId="3D647102">
            <wp:extent cx="7617730" cy="3544717"/>
            <wp:effectExtent l="0" t="0" r="0" b="0"/>
            <wp:docPr id="10" name="Picture 10"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accessor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5052" cy="3548124"/>
                    </a:xfrm>
                    <a:prstGeom prst="rect">
                      <a:avLst/>
                    </a:prstGeom>
                  </pic:spPr>
                </pic:pic>
              </a:graphicData>
            </a:graphic>
          </wp:inline>
        </w:drawing>
      </w:r>
    </w:p>
    <w:p w14:paraId="1C623AF2" w14:textId="7F7C0BC9" w:rsidR="00315B9F" w:rsidRDefault="00315B9F" w:rsidP="0010287D">
      <w:pPr>
        <w:rPr>
          <w:rFonts w:ascii="Times New Roman" w:eastAsia="SimSun" w:hAnsi="Times New Roman" w:cs="Times New Roman"/>
          <w:color w:val="000000"/>
          <w:kern w:val="0"/>
          <w:sz w:val="16"/>
          <w:szCs w:val="16"/>
          <w:lang w:eastAsia="en-US"/>
        </w:rPr>
      </w:pPr>
    </w:p>
    <w:p w14:paraId="54DD0EDC" w14:textId="3F8FFD0A" w:rsidR="00315B9F" w:rsidRDefault="00315B9F" w:rsidP="0010287D">
      <w:pPr>
        <w:rPr>
          <w:rFonts w:ascii="Times New Roman" w:eastAsia="SimSun" w:hAnsi="Times New Roman" w:cs="Times New Roman"/>
          <w:color w:val="000000"/>
          <w:kern w:val="0"/>
          <w:sz w:val="16"/>
          <w:szCs w:val="16"/>
          <w:lang w:eastAsia="en-US"/>
        </w:rPr>
      </w:pPr>
    </w:p>
    <w:p w14:paraId="11EB50C9" w14:textId="77777777" w:rsidR="00315B9F" w:rsidRPr="0010287D" w:rsidRDefault="00315B9F" w:rsidP="0010287D">
      <w:pPr>
        <w:rPr>
          <w:rFonts w:ascii="Times New Roman" w:eastAsia="SimSun" w:hAnsi="Times New Roman" w:cs="Times New Roman"/>
          <w:color w:val="000000"/>
          <w:kern w:val="0"/>
          <w:sz w:val="16"/>
          <w:szCs w:val="16"/>
          <w:lang w:eastAsia="en-US"/>
        </w:rPr>
      </w:pPr>
    </w:p>
    <w:p w14:paraId="5E9796EB" w14:textId="252DF589" w:rsidR="000114CB" w:rsidRDefault="000470FC" w:rsidP="00E9159C">
      <w:pPr>
        <w:pStyle w:val="Beschriftung"/>
        <w:jc w:val="both"/>
        <w:rPr>
          <w:i w:val="0"/>
          <w:iCs w:val="0"/>
          <w:color w:val="auto"/>
          <w:sz w:val="16"/>
          <w:szCs w:val="16"/>
        </w:rPr>
      </w:pPr>
      <w:r w:rsidRPr="00085FCA">
        <w:rPr>
          <w:b/>
          <w:bCs/>
          <w:i w:val="0"/>
          <w:iCs w:val="0"/>
          <w:color w:val="auto"/>
          <w:sz w:val="16"/>
          <w:szCs w:val="16"/>
        </w:rPr>
        <w:t xml:space="preserve">Fig </w:t>
      </w:r>
      <w:r>
        <w:rPr>
          <w:b/>
          <w:bCs/>
          <w:i w:val="0"/>
          <w:iCs w:val="0"/>
          <w:color w:val="auto"/>
          <w:sz w:val="16"/>
          <w:szCs w:val="16"/>
        </w:rPr>
        <w:t>IV</w:t>
      </w:r>
      <w:r w:rsidRPr="00085FCA">
        <w:rPr>
          <w:b/>
          <w:bCs/>
          <w:i w:val="0"/>
          <w:iCs w:val="0"/>
          <w:color w:val="auto"/>
          <w:sz w:val="16"/>
          <w:szCs w:val="16"/>
        </w:rPr>
        <w:t>.</w:t>
      </w:r>
      <w:r w:rsidRPr="00CF18D4">
        <w:rPr>
          <w:b/>
          <w:bCs/>
          <w:i w:val="0"/>
          <w:iCs w:val="0"/>
          <w:color w:val="auto"/>
          <w:sz w:val="16"/>
          <w:szCs w:val="16"/>
        </w:rPr>
        <w:t xml:space="preserve"> Histological Staining, Nanoindentation Mapping, Geometry Reconstruction for Stress Analysis &amp; Data Analysis</w:t>
      </w:r>
      <w:r>
        <w:rPr>
          <w:b/>
          <w:bCs/>
          <w:i w:val="0"/>
          <w:iCs w:val="0"/>
          <w:color w:val="auto"/>
          <w:sz w:val="16"/>
          <w:szCs w:val="16"/>
        </w:rPr>
        <w:t xml:space="preserve">. </w:t>
      </w:r>
      <w:r w:rsidRPr="00CF18D4">
        <w:rPr>
          <w:i w:val="0"/>
          <w:iCs w:val="0"/>
          <w:color w:val="auto"/>
          <w:sz w:val="16"/>
          <w:szCs w:val="16"/>
        </w:rPr>
        <w:t>(</w:t>
      </w:r>
      <w:r w:rsidR="00D47A04">
        <w:rPr>
          <w:i w:val="0"/>
          <w:iCs w:val="0"/>
          <w:color w:val="auto"/>
          <w:sz w:val="16"/>
          <w:szCs w:val="16"/>
        </w:rPr>
        <w:t>a</w:t>
      </w:r>
      <w:r w:rsidRPr="00CF18D4">
        <w:rPr>
          <w:i w:val="0"/>
          <w:iCs w:val="0"/>
          <w:color w:val="auto"/>
          <w:sz w:val="16"/>
          <w:szCs w:val="16"/>
        </w:rPr>
        <w:t>) Represents H &amp; E staining for a sample slice (P</w:t>
      </w:r>
      <w:r w:rsidR="00CC5282">
        <w:rPr>
          <w:i w:val="0"/>
          <w:iCs w:val="0"/>
          <w:color w:val="auto"/>
          <w:sz w:val="16"/>
          <w:szCs w:val="16"/>
        </w:rPr>
        <w:t>-</w:t>
      </w:r>
      <w:r w:rsidRPr="00CF18D4">
        <w:rPr>
          <w:i w:val="0"/>
          <w:iCs w:val="0"/>
          <w:color w:val="auto"/>
          <w:sz w:val="16"/>
          <w:szCs w:val="16"/>
        </w:rPr>
        <w:t>II); (</w:t>
      </w:r>
      <w:r w:rsidR="00D47A04">
        <w:rPr>
          <w:i w:val="0"/>
          <w:iCs w:val="0"/>
          <w:color w:val="auto"/>
          <w:sz w:val="16"/>
          <w:szCs w:val="16"/>
        </w:rPr>
        <w:t>a</w:t>
      </w:r>
      <w:r w:rsidRPr="00CF18D4">
        <w:rPr>
          <w:i w:val="0"/>
          <w:iCs w:val="0"/>
          <w:color w:val="auto"/>
          <w:sz w:val="16"/>
          <w:szCs w:val="16"/>
        </w:rPr>
        <w:t>-I) Portion of the slice represented in (</w:t>
      </w:r>
      <w:r w:rsidR="00D47A04">
        <w:rPr>
          <w:i w:val="0"/>
          <w:iCs w:val="0"/>
          <w:color w:val="auto"/>
          <w:sz w:val="16"/>
          <w:szCs w:val="16"/>
        </w:rPr>
        <w:t>a</w:t>
      </w:r>
      <w:r w:rsidRPr="00CF18D4">
        <w:rPr>
          <w:i w:val="0"/>
          <w:iCs w:val="0"/>
          <w:color w:val="auto"/>
          <w:sz w:val="16"/>
          <w:szCs w:val="16"/>
        </w:rPr>
        <w:t>) highlighting the haemorrhage; (</w:t>
      </w:r>
      <w:r w:rsidR="00D47A04">
        <w:rPr>
          <w:i w:val="0"/>
          <w:iCs w:val="0"/>
          <w:color w:val="auto"/>
          <w:sz w:val="16"/>
          <w:szCs w:val="16"/>
        </w:rPr>
        <w:t>a</w:t>
      </w:r>
      <w:r w:rsidRPr="00CF18D4">
        <w:rPr>
          <w:i w:val="0"/>
          <w:iCs w:val="0"/>
          <w:color w:val="auto"/>
          <w:sz w:val="16"/>
          <w:szCs w:val="16"/>
        </w:rPr>
        <w:t>-II)  Portion of the slice represented in (</w:t>
      </w:r>
      <w:r w:rsidR="00D47A04">
        <w:rPr>
          <w:i w:val="0"/>
          <w:iCs w:val="0"/>
          <w:color w:val="auto"/>
          <w:sz w:val="16"/>
          <w:szCs w:val="16"/>
        </w:rPr>
        <w:t>a</w:t>
      </w:r>
      <w:r w:rsidRPr="00CF18D4">
        <w:rPr>
          <w:i w:val="0"/>
          <w:iCs w:val="0"/>
          <w:color w:val="auto"/>
          <w:sz w:val="16"/>
          <w:szCs w:val="16"/>
        </w:rPr>
        <w:t>) highlighting the lipids; (</w:t>
      </w:r>
      <w:r w:rsidR="00D47A04">
        <w:rPr>
          <w:i w:val="0"/>
          <w:iCs w:val="0"/>
          <w:color w:val="auto"/>
          <w:sz w:val="16"/>
          <w:szCs w:val="16"/>
        </w:rPr>
        <w:t>b</w:t>
      </w:r>
      <w:r w:rsidRPr="00CF18D4">
        <w:rPr>
          <w:i w:val="0"/>
          <w:iCs w:val="0"/>
          <w:color w:val="auto"/>
          <w:sz w:val="16"/>
          <w:szCs w:val="16"/>
        </w:rPr>
        <w:t>-I) Portion of the slice represented in (</w:t>
      </w:r>
      <w:r w:rsidR="00D47A04">
        <w:rPr>
          <w:i w:val="0"/>
          <w:iCs w:val="0"/>
          <w:color w:val="auto"/>
          <w:sz w:val="16"/>
          <w:szCs w:val="16"/>
        </w:rPr>
        <w:t>b</w:t>
      </w:r>
      <w:r w:rsidRPr="00CF18D4">
        <w:rPr>
          <w:i w:val="0"/>
          <w:iCs w:val="0"/>
          <w:color w:val="auto"/>
          <w:sz w:val="16"/>
          <w:szCs w:val="16"/>
        </w:rPr>
        <w:t>) highlighting the CD68 staining showing the inflammation red circle; (</w:t>
      </w:r>
      <w:r w:rsidR="00144D85">
        <w:rPr>
          <w:i w:val="0"/>
          <w:iCs w:val="0"/>
          <w:color w:val="auto"/>
          <w:sz w:val="16"/>
          <w:szCs w:val="16"/>
        </w:rPr>
        <w:t>b</w:t>
      </w:r>
      <w:r w:rsidRPr="00CF18D4">
        <w:rPr>
          <w:i w:val="0"/>
          <w:iCs w:val="0"/>
          <w:color w:val="auto"/>
          <w:sz w:val="16"/>
          <w:szCs w:val="16"/>
        </w:rPr>
        <w:t>-II); Portion of the slice represented in (</w:t>
      </w:r>
      <w:r w:rsidR="00144D85">
        <w:rPr>
          <w:i w:val="0"/>
          <w:iCs w:val="0"/>
          <w:color w:val="auto"/>
          <w:sz w:val="16"/>
          <w:szCs w:val="16"/>
        </w:rPr>
        <w:t>b</w:t>
      </w:r>
      <w:r w:rsidRPr="00CF18D4">
        <w:rPr>
          <w:i w:val="0"/>
          <w:iCs w:val="0"/>
          <w:color w:val="auto"/>
          <w:sz w:val="16"/>
          <w:szCs w:val="16"/>
        </w:rPr>
        <w:t>) highlighting CD31 staining showing the neovascularization red * indicates neovessels;</w:t>
      </w:r>
      <w:r w:rsidR="00144D85">
        <w:rPr>
          <w:i w:val="0"/>
          <w:iCs w:val="0"/>
          <w:color w:val="auto"/>
          <w:sz w:val="16"/>
          <w:szCs w:val="16"/>
        </w:rPr>
        <w:t xml:space="preserve"> </w:t>
      </w:r>
      <w:r w:rsidRPr="00CF18D4">
        <w:rPr>
          <w:i w:val="0"/>
          <w:iCs w:val="0"/>
          <w:color w:val="auto"/>
          <w:sz w:val="16"/>
          <w:szCs w:val="16"/>
        </w:rPr>
        <w:t>(</w:t>
      </w:r>
      <w:r w:rsidR="00144D85">
        <w:rPr>
          <w:i w:val="0"/>
          <w:iCs w:val="0"/>
          <w:color w:val="auto"/>
          <w:sz w:val="16"/>
          <w:szCs w:val="16"/>
        </w:rPr>
        <w:t>b</w:t>
      </w:r>
      <w:r w:rsidRPr="00CF18D4">
        <w:rPr>
          <w:i w:val="0"/>
          <w:iCs w:val="0"/>
          <w:color w:val="auto"/>
          <w:sz w:val="16"/>
          <w:szCs w:val="16"/>
        </w:rPr>
        <w:t>) Modulus values extracted from nanoindentation test mapped to the tissue type and values indicated by color coding and corresponding color map (P-II)</w:t>
      </w:r>
      <w:r w:rsidR="00E9159C">
        <w:rPr>
          <w:i w:val="0"/>
          <w:iCs w:val="0"/>
          <w:color w:val="auto"/>
          <w:sz w:val="16"/>
          <w:szCs w:val="16"/>
        </w:rPr>
        <w:t>.</w:t>
      </w:r>
    </w:p>
    <w:p w14:paraId="6F3155F1" w14:textId="77777777" w:rsidR="000114CB" w:rsidRDefault="000114CB">
      <w:pPr>
        <w:widowControl/>
        <w:jc w:val="left"/>
        <w:rPr>
          <w:rFonts w:ascii="Times New Roman" w:eastAsia="SimSun" w:hAnsi="Times New Roman" w:cs="Times New Roman"/>
          <w:kern w:val="0"/>
          <w:sz w:val="16"/>
          <w:szCs w:val="16"/>
          <w:lang w:eastAsia="en-US"/>
        </w:rPr>
      </w:pPr>
      <w:r>
        <w:rPr>
          <w:i/>
          <w:iCs/>
          <w:sz w:val="16"/>
          <w:szCs w:val="16"/>
        </w:rPr>
        <w:br w:type="page"/>
      </w:r>
    </w:p>
    <w:p w14:paraId="66A8C386" w14:textId="77777777" w:rsidR="000114CB" w:rsidRDefault="000114CB" w:rsidP="00ED31FB">
      <w:pPr>
        <w:pStyle w:val="Beschriftung"/>
        <w:jc w:val="both"/>
        <w:rPr>
          <w:b/>
          <w:bCs/>
          <w:i w:val="0"/>
          <w:iCs w:val="0"/>
          <w:color w:val="auto"/>
          <w:sz w:val="16"/>
          <w:szCs w:val="16"/>
        </w:rPr>
        <w:sectPr w:rsidR="000114CB" w:rsidSect="000114CB">
          <w:pgSz w:w="16838" w:h="11906" w:orient="landscape"/>
          <w:pgMar w:top="1797" w:right="1440" w:bottom="1797" w:left="1440" w:header="851" w:footer="992" w:gutter="0"/>
          <w:cols w:space="425"/>
          <w:docGrid w:type="linesAndChars" w:linePitch="312"/>
        </w:sectPr>
      </w:pPr>
    </w:p>
    <w:p w14:paraId="580E436F" w14:textId="4C6F58A6" w:rsidR="00ED31FB" w:rsidRDefault="00ED31FB" w:rsidP="00ED31FB">
      <w:pPr>
        <w:pStyle w:val="Beschriftung"/>
        <w:jc w:val="both"/>
        <w:rPr>
          <w:i w:val="0"/>
          <w:iCs w:val="0"/>
          <w:color w:val="auto"/>
          <w:sz w:val="16"/>
          <w:szCs w:val="16"/>
        </w:rPr>
      </w:pPr>
      <w:r>
        <w:rPr>
          <w:b/>
          <w:bCs/>
          <w:i w:val="0"/>
          <w:iCs w:val="0"/>
          <w:color w:val="auto"/>
          <w:sz w:val="16"/>
          <w:szCs w:val="16"/>
        </w:rPr>
        <w:lastRenderedPageBreak/>
        <w:t>Table I: Patient Demographics</w:t>
      </w:r>
    </w:p>
    <w:tbl>
      <w:tblPr>
        <w:tblW w:w="8440" w:type="dxa"/>
        <w:tblLook w:val="04A0" w:firstRow="1" w:lastRow="0" w:firstColumn="1" w:lastColumn="0" w:noHBand="0" w:noVBand="1"/>
      </w:tblPr>
      <w:tblGrid>
        <w:gridCol w:w="1560"/>
        <w:gridCol w:w="1480"/>
        <w:gridCol w:w="960"/>
        <w:gridCol w:w="972"/>
        <w:gridCol w:w="960"/>
        <w:gridCol w:w="1340"/>
        <w:gridCol w:w="1180"/>
      </w:tblGrid>
      <w:tr w:rsidR="00D74D51" w:rsidRPr="00D74D51" w14:paraId="7E4E92EF" w14:textId="77777777" w:rsidTr="00D74D51">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962E9"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 xml:space="preserve">Patient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6C4477B"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F7146C"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P-II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BD74BCD"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P-III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D83C5C6"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P-IV</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3470FA7"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P-V</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8304186"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P-VI</w:t>
            </w:r>
          </w:p>
        </w:tc>
      </w:tr>
      <w:tr w:rsidR="00D74D51" w:rsidRPr="00D74D51" w14:paraId="29D9D182"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767D230" w14:textId="708EDD76" w:rsidR="00D74D51" w:rsidRPr="00D23401" w:rsidRDefault="00A16D52" w:rsidP="00D74D51">
            <w:pPr>
              <w:widowControl/>
              <w:jc w:val="center"/>
              <w:rPr>
                <w:rFonts w:ascii="Times New Roman" w:eastAsia="Times New Roman" w:hAnsi="Times New Roman" w:cs="Times New Roman"/>
                <w:b/>
                <w:bCs/>
                <w:color w:val="000000"/>
                <w:kern w:val="0"/>
                <w:sz w:val="20"/>
                <w:szCs w:val="20"/>
                <w:lang w:val="en-AU" w:eastAsia="en-AU"/>
              </w:rPr>
            </w:pPr>
            <w:r>
              <w:rPr>
                <w:rFonts w:ascii="Times New Roman" w:eastAsia="Times New Roman" w:hAnsi="Times New Roman" w:cs="Times New Roman"/>
                <w:b/>
                <w:bCs/>
                <w:color w:val="000000"/>
                <w:kern w:val="0"/>
                <w:sz w:val="20"/>
                <w:szCs w:val="20"/>
                <w:lang w:val="en-AU" w:eastAsia="en-AU"/>
              </w:rPr>
              <w:t>Side</w:t>
            </w:r>
          </w:p>
        </w:tc>
        <w:tc>
          <w:tcPr>
            <w:tcW w:w="1480" w:type="dxa"/>
            <w:tcBorders>
              <w:top w:val="nil"/>
              <w:left w:val="nil"/>
              <w:bottom w:val="single" w:sz="4" w:space="0" w:color="auto"/>
              <w:right w:val="single" w:sz="4" w:space="0" w:color="auto"/>
            </w:tcBorders>
            <w:shd w:val="clear" w:color="auto" w:fill="auto"/>
            <w:noWrap/>
            <w:vAlign w:val="center"/>
            <w:hideMark/>
          </w:tcPr>
          <w:p w14:paraId="54F73C8D"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Left</w:t>
            </w:r>
          </w:p>
        </w:tc>
        <w:tc>
          <w:tcPr>
            <w:tcW w:w="960" w:type="dxa"/>
            <w:tcBorders>
              <w:top w:val="nil"/>
              <w:left w:val="nil"/>
              <w:bottom w:val="single" w:sz="4" w:space="0" w:color="auto"/>
              <w:right w:val="single" w:sz="4" w:space="0" w:color="auto"/>
            </w:tcBorders>
            <w:shd w:val="clear" w:color="auto" w:fill="auto"/>
            <w:noWrap/>
            <w:vAlign w:val="center"/>
            <w:hideMark/>
          </w:tcPr>
          <w:p w14:paraId="2BDAC125"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Right</w:t>
            </w:r>
          </w:p>
        </w:tc>
        <w:tc>
          <w:tcPr>
            <w:tcW w:w="960" w:type="dxa"/>
            <w:tcBorders>
              <w:top w:val="nil"/>
              <w:left w:val="nil"/>
              <w:bottom w:val="single" w:sz="4" w:space="0" w:color="auto"/>
              <w:right w:val="single" w:sz="4" w:space="0" w:color="auto"/>
            </w:tcBorders>
            <w:shd w:val="clear" w:color="auto" w:fill="auto"/>
            <w:noWrap/>
            <w:vAlign w:val="center"/>
            <w:hideMark/>
          </w:tcPr>
          <w:p w14:paraId="02306CB5"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Right</w:t>
            </w:r>
          </w:p>
        </w:tc>
        <w:tc>
          <w:tcPr>
            <w:tcW w:w="960" w:type="dxa"/>
            <w:tcBorders>
              <w:top w:val="nil"/>
              <w:left w:val="nil"/>
              <w:bottom w:val="single" w:sz="4" w:space="0" w:color="auto"/>
              <w:right w:val="single" w:sz="4" w:space="0" w:color="auto"/>
            </w:tcBorders>
            <w:shd w:val="clear" w:color="auto" w:fill="auto"/>
            <w:noWrap/>
            <w:vAlign w:val="center"/>
            <w:hideMark/>
          </w:tcPr>
          <w:p w14:paraId="16C6FB14"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Right</w:t>
            </w:r>
          </w:p>
        </w:tc>
        <w:tc>
          <w:tcPr>
            <w:tcW w:w="1340" w:type="dxa"/>
            <w:tcBorders>
              <w:top w:val="nil"/>
              <w:left w:val="nil"/>
              <w:bottom w:val="single" w:sz="4" w:space="0" w:color="auto"/>
              <w:right w:val="single" w:sz="4" w:space="0" w:color="auto"/>
            </w:tcBorders>
            <w:shd w:val="clear" w:color="auto" w:fill="auto"/>
            <w:noWrap/>
            <w:vAlign w:val="center"/>
            <w:hideMark/>
          </w:tcPr>
          <w:p w14:paraId="6A9ADEE5"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Right</w:t>
            </w:r>
          </w:p>
        </w:tc>
        <w:tc>
          <w:tcPr>
            <w:tcW w:w="1180" w:type="dxa"/>
            <w:tcBorders>
              <w:top w:val="nil"/>
              <w:left w:val="nil"/>
              <w:bottom w:val="single" w:sz="4" w:space="0" w:color="auto"/>
              <w:right w:val="single" w:sz="4" w:space="0" w:color="auto"/>
            </w:tcBorders>
            <w:shd w:val="clear" w:color="auto" w:fill="auto"/>
            <w:noWrap/>
            <w:vAlign w:val="center"/>
            <w:hideMark/>
          </w:tcPr>
          <w:p w14:paraId="5265E39D"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Right</w:t>
            </w:r>
          </w:p>
        </w:tc>
      </w:tr>
      <w:tr w:rsidR="00D74D51" w:rsidRPr="00D74D51" w14:paraId="24383B7C"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447290B"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Risk</w:t>
            </w:r>
          </w:p>
        </w:tc>
        <w:tc>
          <w:tcPr>
            <w:tcW w:w="1480" w:type="dxa"/>
            <w:tcBorders>
              <w:top w:val="nil"/>
              <w:left w:val="nil"/>
              <w:bottom w:val="single" w:sz="4" w:space="0" w:color="auto"/>
              <w:right w:val="single" w:sz="4" w:space="0" w:color="auto"/>
            </w:tcBorders>
            <w:shd w:val="clear" w:color="auto" w:fill="auto"/>
            <w:noWrap/>
            <w:vAlign w:val="center"/>
            <w:hideMark/>
          </w:tcPr>
          <w:p w14:paraId="58FE430B"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High</w:t>
            </w:r>
          </w:p>
        </w:tc>
        <w:tc>
          <w:tcPr>
            <w:tcW w:w="960" w:type="dxa"/>
            <w:tcBorders>
              <w:top w:val="nil"/>
              <w:left w:val="nil"/>
              <w:bottom w:val="single" w:sz="4" w:space="0" w:color="auto"/>
              <w:right w:val="single" w:sz="4" w:space="0" w:color="auto"/>
            </w:tcBorders>
            <w:shd w:val="clear" w:color="auto" w:fill="auto"/>
            <w:noWrap/>
            <w:vAlign w:val="center"/>
            <w:hideMark/>
          </w:tcPr>
          <w:p w14:paraId="2D5ED1BE"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29A12A36"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Medium</w:t>
            </w:r>
          </w:p>
        </w:tc>
        <w:tc>
          <w:tcPr>
            <w:tcW w:w="960" w:type="dxa"/>
            <w:tcBorders>
              <w:top w:val="nil"/>
              <w:left w:val="nil"/>
              <w:bottom w:val="single" w:sz="4" w:space="0" w:color="auto"/>
              <w:right w:val="single" w:sz="4" w:space="0" w:color="auto"/>
            </w:tcBorders>
            <w:shd w:val="clear" w:color="auto" w:fill="auto"/>
            <w:noWrap/>
            <w:vAlign w:val="center"/>
            <w:hideMark/>
          </w:tcPr>
          <w:p w14:paraId="26DD1856"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Medium</w:t>
            </w:r>
          </w:p>
        </w:tc>
        <w:tc>
          <w:tcPr>
            <w:tcW w:w="1340" w:type="dxa"/>
            <w:tcBorders>
              <w:top w:val="nil"/>
              <w:left w:val="nil"/>
              <w:bottom w:val="single" w:sz="4" w:space="0" w:color="auto"/>
              <w:right w:val="single" w:sz="4" w:space="0" w:color="auto"/>
            </w:tcBorders>
            <w:shd w:val="clear" w:color="auto" w:fill="auto"/>
            <w:noWrap/>
            <w:vAlign w:val="center"/>
            <w:hideMark/>
          </w:tcPr>
          <w:p w14:paraId="0AFB4FFF"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Medium</w:t>
            </w:r>
          </w:p>
        </w:tc>
        <w:tc>
          <w:tcPr>
            <w:tcW w:w="1180" w:type="dxa"/>
            <w:tcBorders>
              <w:top w:val="nil"/>
              <w:left w:val="nil"/>
              <w:bottom w:val="single" w:sz="4" w:space="0" w:color="auto"/>
              <w:right w:val="single" w:sz="4" w:space="0" w:color="auto"/>
            </w:tcBorders>
            <w:shd w:val="clear" w:color="auto" w:fill="auto"/>
            <w:noWrap/>
            <w:vAlign w:val="center"/>
            <w:hideMark/>
          </w:tcPr>
          <w:p w14:paraId="66389851"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High</w:t>
            </w:r>
          </w:p>
        </w:tc>
      </w:tr>
      <w:tr w:rsidR="00D74D51" w:rsidRPr="00D74D51" w14:paraId="49182569"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C4ED8A5"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Stenosis %</w:t>
            </w:r>
          </w:p>
        </w:tc>
        <w:tc>
          <w:tcPr>
            <w:tcW w:w="1480" w:type="dxa"/>
            <w:tcBorders>
              <w:top w:val="nil"/>
              <w:left w:val="nil"/>
              <w:bottom w:val="single" w:sz="4" w:space="0" w:color="auto"/>
              <w:right w:val="single" w:sz="4" w:space="0" w:color="auto"/>
            </w:tcBorders>
            <w:shd w:val="clear" w:color="auto" w:fill="auto"/>
            <w:noWrap/>
            <w:vAlign w:val="center"/>
            <w:hideMark/>
          </w:tcPr>
          <w:p w14:paraId="17D9E831"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95-99</w:t>
            </w:r>
          </w:p>
        </w:tc>
        <w:tc>
          <w:tcPr>
            <w:tcW w:w="960" w:type="dxa"/>
            <w:tcBorders>
              <w:top w:val="nil"/>
              <w:left w:val="nil"/>
              <w:bottom w:val="single" w:sz="4" w:space="0" w:color="auto"/>
              <w:right w:val="single" w:sz="4" w:space="0" w:color="auto"/>
            </w:tcBorders>
            <w:shd w:val="clear" w:color="auto" w:fill="auto"/>
            <w:noWrap/>
            <w:vAlign w:val="center"/>
            <w:hideMark/>
          </w:tcPr>
          <w:p w14:paraId="1DAD66C3"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50-79</w:t>
            </w:r>
          </w:p>
        </w:tc>
        <w:tc>
          <w:tcPr>
            <w:tcW w:w="960" w:type="dxa"/>
            <w:tcBorders>
              <w:top w:val="nil"/>
              <w:left w:val="nil"/>
              <w:bottom w:val="single" w:sz="4" w:space="0" w:color="auto"/>
              <w:right w:val="single" w:sz="4" w:space="0" w:color="auto"/>
            </w:tcBorders>
            <w:shd w:val="clear" w:color="auto" w:fill="auto"/>
            <w:noWrap/>
            <w:vAlign w:val="center"/>
            <w:hideMark/>
          </w:tcPr>
          <w:p w14:paraId="204BFAD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51-70</w:t>
            </w:r>
          </w:p>
        </w:tc>
        <w:tc>
          <w:tcPr>
            <w:tcW w:w="960" w:type="dxa"/>
            <w:tcBorders>
              <w:top w:val="nil"/>
              <w:left w:val="nil"/>
              <w:bottom w:val="single" w:sz="4" w:space="0" w:color="auto"/>
              <w:right w:val="single" w:sz="4" w:space="0" w:color="auto"/>
            </w:tcBorders>
            <w:shd w:val="clear" w:color="auto" w:fill="auto"/>
            <w:noWrap/>
            <w:vAlign w:val="center"/>
            <w:hideMark/>
          </w:tcPr>
          <w:p w14:paraId="1DE2E632"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50-70</w:t>
            </w:r>
          </w:p>
        </w:tc>
        <w:tc>
          <w:tcPr>
            <w:tcW w:w="1340" w:type="dxa"/>
            <w:tcBorders>
              <w:top w:val="nil"/>
              <w:left w:val="nil"/>
              <w:bottom w:val="single" w:sz="4" w:space="0" w:color="auto"/>
              <w:right w:val="single" w:sz="4" w:space="0" w:color="auto"/>
            </w:tcBorders>
            <w:shd w:val="clear" w:color="auto" w:fill="auto"/>
            <w:noWrap/>
            <w:vAlign w:val="center"/>
            <w:hideMark/>
          </w:tcPr>
          <w:p w14:paraId="24A5C8B5"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50-79</w:t>
            </w:r>
          </w:p>
        </w:tc>
        <w:tc>
          <w:tcPr>
            <w:tcW w:w="1180" w:type="dxa"/>
            <w:tcBorders>
              <w:top w:val="nil"/>
              <w:left w:val="nil"/>
              <w:bottom w:val="single" w:sz="4" w:space="0" w:color="auto"/>
              <w:right w:val="single" w:sz="4" w:space="0" w:color="auto"/>
            </w:tcBorders>
            <w:shd w:val="clear" w:color="auto" w:fill="auto"/>
            <w:noWrap/>
            <w:vAlign w:val="center"/>
            <w:hideMark/>
          </w:tcPr>
          <w:p w14:paraId="0711989B"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80-90</w:t>
            </w:r>
          </w:p>
        </w:tc>
      </w:tr>
      <w:tr w:rsidR="00D74D51" w:rsidRPr="00D74D51" w14:paraId="462CA2D8"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E600257"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Age</w:t>
            </w:r>
          </w:p>
        </w:tc>
        <w:tc>
          <w:tcPr>
            <w:tcW w:w="1480" w:type="dxa"/>
            <w:tcBorders>
              <w:top w:val="nil"/>
              <w:left w:val="nil"/>
              <w:bottom w:val="single" w:sz="4" w:space="0" w:color="auto"/>
              <w:right w:val="single" w:sz="4" w:space="0" w:color="auto"/>
            </w:tcBorders>
            <w:shd w:val="clear" w:color="auto" w:fill="auto"/>
            <w:noWrap/>
            <w:vAlign w:val="center"/>
            <w:hideMark/>
          </w:tcPr>
          <w:p w14:paraId="04468B3E"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42</w:t>
            </w:r>
          </w:p>
        </w:tc>
        <w:tc>
          <w:tcPr>
            <w:tcW w:w="960" w:type="dxa"/>
            <w:tcBorders>
              <w:top w:val="nil"/>
              <w:left w:val="nil"/>
              <w:bottom w:val="single" w:sz="4" w:space="0" w:color="auto"/>
              <w:right w:val="single" w:sz="4" w:space="0" w:color="auto"/>
            </w:tcBorders>
            <w:shd w:val="clear" w:color="auto" w:fill="auto"/>
            <w:noWrap/>
            <w:vAlign w:val="center"/>
            <w:hideMark/>
          </w:tcPr>
          <w:p w14:paraId="21586F84"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77</w:t>
            </w:r>
          </w:p>
        </w:tc>
        <w:tc>
          <w:tcPr>
            <w:tcW w:w="960" w:type="dxa"/>
            <w:tcBorders>
              <w:top w:val="nil"/>
              <w:left w:val="nil"/>
              <w:bottom w:val="single" w:sz="4" w:space="0" w:color="auto"/>
              <w:right w:val="single" w:sz="4" w:space="0" w:color="auto"/>
            </w:tcBorders>
            <w:shd w:val="clear" w:color="auto" w:fill="auto"/>
            <w:noWrap/>
            <w:vAlign w:val="center"/>
            <w:hideMark/>
          </w:tcPr>
          <w:p w14:paraId="58BAD1F3"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76</w:t>
            </w:r>
          </w:p>
        </w:tc>
        <w:tc>
          <w:tcPr>
            <w:tcW w:w="960" w:type="dxa"/>
            <w:tcBorders>
              <w:top w:val="nil"/>
              <w:left w:val="nil"/>
              <w:bottom w:val="single" w:sz="4" w:space="0" w:color="auto"/>
              <w:right w:val="single" w:sz="4" w:space="0" w:color="auto"/>
            </w:tcBorders>
            <w:shd w:val="clear" w:color="auto" w:fill="auto"/>
            <w:noWrap/>
            <w:vAlign w:val="center"/>
            <w:hideMark/>
          </w:tcPr>
          <w:p w14:paraId="12153D8F"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61</w:t>
            </w:r>
          </w:p>
        </w:tc>
        <w:tc>
          <w:tcPr>
            <w:tcW w:w="1340" w:type="dxa"/>
            <w:tcBorders>
              <w:top w:val="nil"/>
              <w:left w:val="nil"/>
              <w:bottom w:val="single" w:sz="4" w:space="0" w:color="auto"/>
              <w:right w:val="single" w:sz="4" w:space="0" w:color="auto"/>
            </w:tcBorders>
            <w:shd w:val="clear" w:color="auto" w:fill="auto"/>
            <w:noWrap/>
            <w:vAlign w:val="center"/>
            <w:hideMark/>
          </w:tcPr>
          <w:p w14:paraId="53E7481A"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76</w:t>
            </w:r>
          </w:p>
        </w:tc>
        <w:tc>
          <w:tcPr>
            <w:tcW w:w="1180" w:type="dxa"/>
            <w:tcBorders>
              <w:top w:val="nil"/>
              <w:left w:val="nil"/>
              <w:bottom w:val="single" w:sz="4" w:space="0" w:color="auto"/>
              <w:right w:val="single" w:sz="4" w:space="0" w:color="auto"/>
            </w:tcBorders>
            <w:shd w:val="clear" w:color="auto" w:fill="auto"/>
            <w:noWrap/>
            <w:vAlign w:val="center"/>
            <w:hideMark/>
          </w:tcPr>
          <w:p w14:paraId="6AC5ED47"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78</w:t>
            </w:r>
          </w:p>
        </w:tc>
      </w:tr>
      <w:tr w:rsidR="00D74D51" w:rsidRPr="00D74D51" w14:paraId="330C4517"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702198"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Sex</w:t>
            </w:r>
          </w:p>
        </w:tc>
        <w:tc>
          <w:tcPr>
            <w:tcW w:w="1480" w:type="dxa"/>
            <w:tcBorders>
              <w:top w:val="nil"/>
              <w:left w:val="nil"/>
              <w:bottom w:val="single" w:sz="4" w:space="0" w:color="auto"/>
              <w:right w:val="single" w:sz="4" w:space="0" w:color="auto"/>
            </w:tcBorders>
            <w:shd w:val="clear" w:color="auto" w:fill="auto"/>
            <w:noWrap/>
            <w:vAlign w:val="center"/>
            <w:hideMark/>
          </w:tcPr>
          <w:p w14:paraId="1DC597FE"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c>
          <w:tcPr>
            <w:tcW w:w="960" w:type="dxa"/>
            <w:tcBorders>
              <w:top w:val="nil"/>
              <w:left w:val="nil"/>
              <w:bottom w:val="single" w:sz="4" w:space="0" w:color="auto"/>
              <w:right w:val="single" w:sz="4" w:space="0" w:color="auto"/>
            </w:tcBorders>
            <w:shd w:val="clear" w:color="auto" w:fill="auto"/>
            <w:noWrap/>
            <w:vAlign w:val="center"/>
            <w:hideMark/>
          </w:tcPr>
          <w:p w14:paraId="4064A19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c>
          <w:tcPr>
            <w:tcW w:w="960" w:type="dxa"/>
            <w:tcBorders>
              <w:top w:val="nil"/>
              <w:left w:val="nil"/>
              <w:bottom w:val="single" w:sz="4" w:space="0" w:color="auto"/>
              <w:right w:val="single" w:sz="4" w:space="0" w:color="auto"/>
            </w:tcBorders>
            <w:shd w:val="clear" w:color="auto" w:fill="auto"/>
            <w:noWrap/>
            <w:vAlign w:val="center"/>
            <w:hideMark/>
          </w:tcPr>
          <w:p w14:paraId="6F983881"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c>
          <w:tcPr>
            <w:tcW w:w="960" w:type="dxa"/>
            <w:tcBorders>
              <w:top w:val="nil"/>
              <w:left w:val="nil"/>
              <w:bottom w:val="single" w:sz="4" w:space="0" w:color="auto"/>
              <w:right w:val="single" w:sz="4" w:space="0" w:color="auto"/>
            </w:tcBorders>
            <w:shd w:val="clear" w:color="auto" w:fill="auto"/>
            <w:noWrap/>
            <w:vAlign w:val="center"/>
            <w:hideMark/>
          </w:tcPr>
          <w:p w14:paraId="3DBCA97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c>
          <w:tcPr>
            <w:tcW w:w="1340" w:type="dxa"/>
            <w:tcBorders>
              <w:top w:val="nil"/>
              <w:left w:val="nil"/>
              <w:bottom w:val="single" w:sz="4" w:space="0" w:color="auto"/>
              <w:right w:val="single" w:sz="4" w:space="0" w:color="auto"/>
            </w:tcBorders>
            <w:shd w:val="clear" w:color="auto" w:fill="auto"/>
            <w:noWrap/>
            <w:vAlign w:val="center"/>
            <w:hideMark/>
          </w:tcPr>
          <w:p w14:paraId="09BE3D22"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c>
          <w:tcPr>
            <w:tcW w:w="1180" w:type="dxa"/>
            <w:tcBorders>
              <w:top w:val="nil"/>
              <w:left w:val="nil"/>
              <w:bottom w:val="single" w:sz="4" w:space="0" w:color="auto"/>
              <w:right w:val="single" w:sz="4" w:space="0" w:color="auto"/>
            </w:tcBorders>
            <w:shd w:val="clear" w:color="auto" w:fill="auto"/>
            <w:noWrap/>
            <w:vAlign w:val="center"/>
            <w:hideMark/>
          </w:tcPr>
          <w:p w14:paraId="623C0157"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M</w:t>
            </w:r>
          </w:p>
        </w:tc>
      </w:tr>
      <w:tr w:rsidR="00D74D51" w:rsidRPr="00D74D51" w14:paraId="4A483DDC"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8C35F11"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Hypertension</w:t>
            </w:r>
          </w:p>
        </w:tc>
        <w:tc>
          <w:tcPr>
            <w:tcW w:w="1480" w:type="dxa"/>
            <w:tcBorders>
              <w:top w:val="nil"/>
              <w:left w:val="nil"/>
              <w:bottom w:val="single" w:sz="4" w:space="0" w:color="auto"/>
              <w:right w:val="single" w:sz="4" w:space="0" w:color="auto"/>
            </w:tcBorders>
            <w:shd w:val="clear" w:color="auto" w:fill="auto"/>
            <w:noWrap/>
            <w:vAlign w:val="center"/>
            <w:hideMark/>
          </w:tcPr>
          <w:p w14:paraId="7A22F59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2A34FA7A"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4D79D297"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5590D481"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No</w:t>
            </w:r>
          </w:p>
        </w:tc>
        <w:tc>
          <w:tcPr>
            <w:tcW w:w="1340" w:type="dxa"/>
            <w:tcBorders>
              <w:top w:val="nil"/>
              <w:left w:val="nil"/>
              <w:bottom w:val="single" w:sz="4" w:space="0" w:color="auto"/>
              <w:right w:val="single" w:sz="4" w:space="0" w:color="auto"/>
            </w:tcBorders>
            <w:shd w:val="clear" w:color="auto" w:fill="auto"/>
            <w:noWrap/>
            <w:vAlign w:val="center"/>
            <w:hideMark/>
          </w:tcPr>
          <w:p w14:paraId="3035370D"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1180" w:type="dxa"/>
            <w:tcBorders>
              <w:top w:val="nil"/>
              <w:left w:val="nil"/>
              <w:bottom w:val="single" w:sz="4" w:space="0" w:color="auto"/>
              <w:right w:val="single" w:sz="4" w:space="0" w:color="auto"/>
            </w:tcBorders>
            <w:shd w:val="clear" w:color="auto" w:fill="auto"/>
            <w:noWrap/>
            <w:vAlign w:val="center"/>
            <w:hideMark/>
          </w:tcPr>
          <w:p w14:paraId="048DAD91"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r>
      <w:tr w:rsidR="00D74D51" w:rsidRPr="00D74D51" w14:paraId="4A181D05"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07A04E0" w14:textId="71F6831D"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 xml:space="preserve">High </w:t>
            </w:r>
            <w:r w:rsidR="00414DA4" w:rsidRPr="00D23401">
              <w:rPr>
                <w:rFonts w:ascii="Times New Roman" w:eastAsia="Times New Roman" w:hAnsi="Times New Roman" w:cs="Times New Roman"/>
                <w:b/>
                <w:bCs/>
                <w:color w:val="000000"/>
                <w:kern w:val="0"/>
                <w:sz w:val="20"/>
                <w:szCs w:val="20"/>
                <w:lang w:val="en-AU" w:eastAsia="en-AU"/>
              </w:rPr>
              <w:t>Cholesterol</w:t>
            </w:r>
          </w:p>
        </w:tc>
        <w:tc>
          <w:tcPr>
            <w:tcW w:w="1480" w:type="dxa"/>
            <w:tcBorders>
              <w:top w:val="nil"/>
              <w:left w:val="nil"/>
              <w:bottom w:val="single" w:sz="4" w:space="0" w:color="auto"/>
              <w:right w:val="single" w:sz="4" w:space="0" w:color="auto"/>
            </w:tcBorders>
            <w:shd w:val="clear" w:color="auto" w:fill="auto"/>
            <w:noWrap/>
            <w:vAlign w:val="center"/>
            <w:hideMark/>
          </w:tcPr>
          <w:p w14:paraId="7419EB0D"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215B3E3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446EC4C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960" w:type="dxa"/>
            <w:tcBorders>
              <w:top w:val="nil"/>
              <w:left w:val="nil"/>
              <w:bottom w:val="single" w:sz="4" w:space="0" w:color="auto"/>
              <w:right w:val="single" w:sz="4" w:space="0" w:color="auto"/>
            </w:tcBorders>
            <w:shd w:val="clear" w:color="auto" w:fill="auto"/>
            <w:noWrap/>
            <w:vAlign w:val="center"/>
            <w:hideMark/>
          </w:tcPr>
          <w:p w14:paraId="68800FB6"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1340" w:type="dxa"/>
            <w:tcBorders>
              <w:top w:val="nil"/>
              <w:left w:val="nil"/>
              <w:bottom w:val="single" w:sz="4" w:space="0" w:color="auto"/>
              <w:right w:val="single" w:sz="4" w:space="0" w:color="auto"/>
            </w:tcBorders>
            <w:shd w:val="clear" w:color="auto" w:fill="auto"/>
            <w:noWrap/>
            <w:vAlign w:val="center"/>
            <w:hideMark/>
          </w:tcPr>
          <w:p w14:paraId="13E797E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c>
          <w:tcPr>
            <w:tcW w:w="1180" w:type="dxa"/>
            <w:tcBorders>
              <w:top w:val="nil"/>
              <w:left w:val="nil"/>
              <w:bottom w:val="single" w:sz="4" w:space="0" w:color="auto"/>
              <w:right w:val="single" w:sz="4" w:space="0" w:color="auto"/>
            </w:tcBorders>
            <w:shd w:val="clear" w:color="auto" w:fill="auto"/>
            <w:noWrap/>
            <w:vAlign w:val="center"/>
            <w:hideMark/>
          </w:tcPr>
          <w:p w14:paraId="36BB4A24"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Yes</w:t>
            </w:r>
          </w:p>
        </w:tc>
      </w:tr>
      <w:tr w:rsidR="00D74D51" w:rsidRPr="00D74D51" w14:paraId="56D212BB"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A1E2FC5"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Diabetes</w:t>
            </w:r>
          </w:p>
        </w:tc>
        <w:tc>
          <w:tcPr>
            <w:tcW w:w="1480" w:type="dxa"/>
            <w:tcBorders>
              <w:top w:val="nil"/>
              <w:left w:val="nil"/>
              <w:bottom w:val="single" w:sz="4" w:space="0" w:color="auto"/>
              <w:right w:val="single" w:sz="4" w:space="0" w:color="auto"/>
            </w:tcBorders>
            <w:shd w:val="clear" w:color="auto" w:fill="auto"/>
            <w:noWrap/>
            <w:vAlign w:val="center"/>
            <w:hideMark/>
          </w:tcPr>
          <w:p w14:paraId="131B6213"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No</w:t>
            </w:r>
          </w:p>
        </w:tc>
        <w:tc>
          <w:tcPr>
            <w:tcW w:w="960" w:type="dxa"/>
            <w:tcBorders>
              <w:top w:val="nil"/>
              <w:left w:val="nil"/>
              <w:bottom w:val="single" w:sz="4" w:space="0" w:color="auto"/>
              <w:right w:val="single" w:sz="4" w:space="0" w:color="auto"/>
            </w:tcBorders>
            <w:shd w:val="clear" w:color="auto" w:fill="auto"/>
            <w:noWrap/>
            <w:vAlign w:val="center"/>
            <w:hideMark/>
          </w:tcPr>
          <w:p w14:paraId="1C8E2DA6"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No</w:t>
            </w:r>
          </w:p>
        </w:tc>
        <w:tc>
          <w:tcPr>
            <w:tcW w:w="960" w:type="dxa"/>
            <w:tcBorders>
              <w:top w:val="nil"/>
              <w:left w:val="nil"/>
              <w:bottom w:val="single" w:sz="4" w:space="0" w:color="auto"/>
              <w:right w:val="single" w:sz="4" w:space="0" w:color="auto"/>
            </w:tcBorders>
            <w:shd w:val="clear" w:color="auto" w:fill="auto"/>
            <w:noWrap/>
            <w:vAlign w:val="center"/>
            <w:hideMark/>
          </w:tcPr>
          <w:p w14:paraId="1579FC5E"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Type2</w:t>
            </w:r>
          </w:p>
        </w:tc>
        <w:tc>
          <w:tcPr>
            <w:tcW w:w="960" w:type="dxa"/>
            <w:tcBorders>
              <w:top w:val="nil"/>
              <w:left w:val="nil"/>
              <w:bottom w:val="single" w:sz="4" w:space="0" w:color="auto"/>
              <w:right w:val="single" w:sz="4" w:space="0" w:color="auto"/>
            </w:tcBorders>
            <w:shd w:val="clear" w:color="auto" w:fill="auto"/>
            <w:noWrap/>
            <w:vAlign w:val="center"/>
            <w:hideMark/>
          </w:tcPr>
          <w:p w14:paraId="03D36B6F"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No</w:t>
            </w:r>
          </w:p>
        </w:tc>
        <w:tc>
          <w:tcPr>
            <w:tcW w:w="1340" w:type="dxa"/>
            <w:tcBorders>
              <w:top w:val="nil"/>
              <w:left w:val="nil"/>
              <w:bottom w:val="single" w:sz="4" w:space="0" w:color="auto"/>
              <w:right w:val="single" w:sz="4" w:space="0" w:color="auto"/>
            </w:tcBorders>
            <w:shd w:val="clear" w:color="auto" w:fill="auto"/>
            <w:noWrap/>
            <w:vAlign w:val="center"/>
            <w:hideMark/>
          </w:tcPr>
          <w:p w14:paraId="60CD272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No</w:t>
            </w:r>
          </w:p>
        </w:tc>
        <w:tc>
          <w:tcPr>
            <w:tcW w:w="1180" w:type="dxa"/>
            <w:tcBorders>
              <w:top w:val="nil"/>
              <w:left w:val="nil"/>
              <w:bottom w:val="single" w:sz="4" w:space="0" w:color="auto"/>
              <w:right w:val="single" w:sz="4" w:space="0" w:color="auto"/>
            </w:tcBorders>
            <w:shd w:val="clear" w:color="auto" w:fill="auto"/>
            <w:noWrap/>
            <w:vAlign w:val="center"/>
            <w:hideMark/>
          </w:tcPr>
          <w:p w14:paraId="396445AF"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Type2</w:t>
            </w:r>
          </w:p>
        </w:tc>
      </w:tr>
      <w:tr w:rsidR="00D74D51" w:rsidRPr="00D74D51" w14:paraId="602622AB" w14:textId="77777777" w:rsidTr="00D74D5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42566B3"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Smoking</w:t>
            </w:r>
          </w:p>
        </w:tc>
        <w:tc>
          <w:tcPr>
            <w:tcW w:w="1480" w:type="dxa"/>
            <w:tcBorders>
              <w:top w:val="nil"/>
              <w:left w:val="nil"/>
              <w:bottom w:val="single" w:sz="4" w:space="0" w:color="auto"/>
              <w:right w:val="single" w:sz="4" w:space="0" w:color="auto"/>
            </w:tcBorders>
            <w:shd w:val="clear" w:color="auto" w:fill="auto"/>
            <w:noWrap/>
            <w:vAlign w:val="center"/>
            <w:hideMark/>
          </w:tcPr>
          <w:p w14:paraId="39E1C7E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c>
          <w:tcPr>
            <w:tcW w:w="960" w:type="dxa"/>
            <w:tcBorders>
              <w:top w:val="nil"/>
              <w:left w:val="nil"/>
              <w:bottom w:val="single" w:sz="4" w:space="0" w:color="auto"/>
              <w:right w:val="single" w:sz="4" w:space="0" w:color="auto"/>
            </w:tcBorders>
            <w:shd w:val="clear" w:color="auto" w:fill="auto"/>
            <w:noWrap/>
            <w:vAlign w:val="center"/>
            <w:hideMark/>
          </w:tcPr>
          <w:p w14:paraId="25BED1D2"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c>
          <w:tcPr>
            <w:tcW w:w="960" w:type="dxa"/>
            <w:tcBorders>
              <w:top w:val="nil"/>
              <w:left w:val="nil"/>
              <w:bottom w:val="single" w:sz="4" w:space="0" w:color="auto"/>
              <w:right w:val="single" w:sz="4" w:space="0" w:color="auto"/>
            </w:tcBorders>
            <w:shd w:val="clear" w:color="auto" w:fill="auto"/>
            <w:noWrap/>
            <w:vAlign w:val="center"/>
            <w:hideMark/>
          </w:tcPr>
          <w:p w14:paraId="24842428"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c>
          <w:tcPr>
            <w:tcW w:w="960" w:type="dxa"/>
            <w:tcBorders>
              <w:top w:val="nil"/>
              <w:left w:val="nil"/>
              <w:bottom w:val="single" w:sz="4" w:space="0" w:color="auto"/>
              <w:right w:val="single" w:sz="4" w:space="0" w:color="auto"/>
            </w:tcBorders>
            <w:shd w:val="clear" w:color="auto" w:fill="auto"/>
            <w:noWrap/>
            <w:vAlign w:val="center"/>
            <w:hideMark/>
          </w:tcPr>
          <w:p w14:paraId="7C6BD537"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c>
          <w:tcPr>
            <w:tcW w:w="1340" w:type="dxa"/>
            <w:tcBorders>
              <w:top w:val="nil"/>
              <w:left w:val="nil"/>
              <w:bottom w:val="single" w:sz="4" w:space="0" w:color="auto"/>
              <w:right w:val="single" w:sz="4" w:space="0" w:color="auto"/>
            </w:tcBorders>
            <w:shd w:val="clear" w:color="auto" w:fill="auto"/>
            <w:noWrap/>
            <w:vAlign w:val="center"/>
            <w:hideMark/>
          </w:tcPr>
          <w:p w14:paraId="4FDF9225"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c>
          <w:tcPr>
            <w:tcW w:w="1180" w:type="dxa"/>
            <w:tcBorders>
              <w:top w:val="nil"/>
              <w:left w:val="nil"/>
              <w:bottom w:val="single" w:sz="4" w:space="0" w:color="auto"/>
              <w:right w:val="single" w:sz="4" w:space="0" w:color="auto"/>
            </w:tcBorders>
            <w:shd w:val="clear" w:color="auto" w:fill="auto"/>
            <w:noWrap/>
            <w:vAlign w:val="center"/>
            <w:hideMark/>
          </w:tcPr>
          <w:p w14:paraId="4EF67653"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Former</w:t>
            </w:r>
          </w:p>
        </w:tc>
      </w:tr>
      <w:tr w:rsidR="00D74D51" w:rsidRPr="00D74D51" w14:paraId="6D9BC948" w14:textId="77777777" w:rsidTr="00D74D51">
        <w:trPr>
          <w:trHeight w:val="12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20CF621"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Symptomatic</w:t>
            </w:r>
          </w:p>
        </w:tc>
        <w:tc>
          <w:tcPr>
            <w:tcW w:w="1480" w:type="dxa"/>
            <w:tcBorders>
              <w:top w:val="nil"/>
              <w:left w:val="nil"/>
              <w:bottom w:val="single" w:sz="4" w:space="0" w:color="auto"/>
              <w:right w:val="single" w:sz="4" w:space="0" w:color="auto"/>
            </w:tcBorders>
            <w:shd w:val="clear" w:color="auto" w:fill="auto"/>
            <w:noWrap/>
            <w:vAlign w:val="bottom"/>
            <w:hideMark/>
          </w:tcPr>
          <w:p w14:paraId="364B1B11" w14:textId="1E9F96CD" w:rsidR="00D74D51" w:rsidRPr="00D23401" w:rsidRDefault="00D74D51" w:rsidP="00D74D51">
            <w:pPr>
              <w:widowControl/>
              <w:jc w:val="left"/>
              <w:rPr>
                <w:rFonts w:ascii="Times New Roman" w:eastAsia="Times New Roman" w:hAnsi="Times New Roman" w:cs="Times New Roman"/>
                <w:color w:val="000000"/>
                <w:kern w:val="0"/>
                <w:sz w:val="20"/>
                <w:szCs w:val="20"/>
                <w:lang w:val="en-AU" w:eastAsia="en-AU"/>
              </w:rPr>
            </w:pPr>
          </w:p>
        </w:tc>
        <w:tc>
          <w:tcPr>
            <w:tcW w:w="960" w:type="dxa"/>
            <w:tcBorders>
              <w:top w:val="nil"/>
              <w:left w:val="nil"/>
              <w:bottom w:val="single" w:sz="4" w:space="0" w:color="auto"/>
              <w:right w:val="single" w:sz="4" w:space="0" w:color="auto"/>
            </w:tcBorders>
            <w:shd w:val="clear" w:color="auto" w:fill="auto"/>
            <w:vAlign w:val="center"/>
            <w:hideMark/>
          </w:tcPr>
          <w:p w14:paraId="7A5A352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Ischemic Stroke</w:t>
            </w:r>
          </w:p>
        </w:tc>
        <w:tc>
          <w:tcPr>
            <w:tcW w:w="960" w:type="dxa"/>
            <w:tcBorders>
              <w:top w:val="nil"/>
              <w:left w:val="nil"/>
              <w:bottom w:val="single" w:sz="4" w:space="0" w:color="auto"/>
              <w:right w:val="single" w:sz="4" w:space="0" w:color="auto"/>
            </w:tcBorders>
            <w:shd w:val="clear" w:color="auto" w:fill="auto"/>
            <w:vAlign w:val="center"/>
            <w:hideMark/>
          </w:tcPr>
          <w:p w14:paraId="71B66BDD" w14:textId="0F61594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 xml:space="preserve">Transient Ischemic </w:t>
            </w:r>
            <w:r w:rsidR="00065D81">
              <w:rPr>
                <w:rFonts w:ascii="Times New Roman" w:eastAsia="Times New Roman" w:hAnsi="Times New Roman" w:cs="Times New Roman"/>
                <w:color w:val="000000"/>
                <w:kern w:val="0"/>
                <w:sz w:val="20"/>
                <w:szCs w:val="20"/>
                <w:lang w:val="en-AU" w:eastAsia="en-AU"/>
              </w:rPr>
              <w:t>Attack</w:t>
            </w:r>
          </w:p>
        </w:tc>
        <w:tc>
          <w:tcPr>
            <w:tcW w:w="960" w:type="dxa"/>
            <w:tcBorders>
              <w:top w:val="nil"/>
              <w:left w:val="nil"/>
              <w:bottom w:val="single" w:sz="4" w:space="0" w:color="auto"/>
              <w:right w:val="single" w:sz="4" w:space="0" w:color="auto"/>
            </w:tcBorders>
            <w:shd w:val="clear" w:color="auto" w:fill="auto"/>
            <w:vAlign w:val="center"/>
            <w:hideMark/>
          </w:tcPr>
          <w:p w14:paraId="7E54F4CB"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Ischemic Stroke</w:t>
            </w:r>
          </w:p>
        </w:tc>
        <w:tc>
          <w:tcPr>
            <w:tcW w:w="1340" w:type="dxa"/>
            <w:tcBorders>
              <w:top w:val="nil"/>
              <w:left w:val="nil"/>
              <w:bottom w:val="single" w:sz="4" w:space="0" w:color="auto"/>
              <w:right w:val="single" w:sz="4" w:space="0" w:color="auto"/>
            </w:tcBorders>
            <w:shd w:val="clear" w:color="auto" w:fill="auto"/>
            <w:vAlign w:val="center"/>
            <w:hideMark/>
          </w:tcPr>
          <w:p w14:paraId="1C400529" w14:textId="2E39CB03"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 xml:space="preserve">Acute Visual Loss, </w:t>
            </w:r>
            <w:r w:rsidR="00A16D52" w:rsidRPr="00D23401">
              <w:rPr>
                <w:rFonts w:ascii="Times New Roman" w:eastAsia="Times New Roman" w:hAnsi="Times New Roman" w:cs="Times New Roman"/>
                <w:color w:val="000000"/>
                <w:kern w:val="0"/>
                <w:sz w:val="20"/>
                <w:szCs w:val="20"/>
                <w:lang w:val="en-AU" w:eastAsia="en-AU"/>
              </w:rPr>
              <w:t>Haemorrhage</w:t>
            </w:r>
            <w:r w:rsidRPr="00D23401">
              <w:rPr>
                <w:rFonts w:ascii="Times New Roman" w:eastAsia="Times New Roman" w:hAnsi="Times New Roman" w:cs="Times New Roman"/>
                <w:color w:val="000000"/>
                <w:kern w:val="0"/>
                <w:sz w:val="20"/>
                <w:szCs w:val="20"/>
                <w:lang w:val="en-AU" w:eastAsia="en-AU"/>
              </w:rPr>
              <w:t xml:space="preserve"> at imaging</w:t>
            </w:r>
          </w:p>
        </w:tc>
        <w:tc>
          <w:tcPr>
            <w:tcW w:w="1180" w:type="dxa"/>
            <w:tcBorders>
              <w:top w:val="nil"/>
              <w:left w:val="nil"/>
              <w:bottom w:val="single" w:sz="4" w:space="0" w:color="auto"/>
              <w:right w:val="single" w:sz="4" w:space="0" w:color="auto"/>
            </w:tcBorders>
            <w:shd w:val="clear" w:color="auto" w:fill="auto"/>
            <w:noWrap/>
            <w:vAlign w:val="bottom"/>
            <w:hideMark/>
          </w:tcPr>
          <w:p w14:paraId="5F12C1A5" w14:textId="6B690B37" w:rsidR="00D74D51" w:rsidRPr="00D23401" w:rsidRDefault="00D74D51" w:rsidP="00D74D51">
            <w:pPr>
              <w:widowControl/>
              <w:jc w:val="left"/>
              <w:rPr>
                <w:rFonts w:ascii="Times New Roman" w:eastAsia="Times New Roman" w:hAnsi="Times New Roman" w:cs="Times New Roman"/>
                <w:color w:val="000000"/>
                <w:kern w:val="0"/>
                <w:sz w:val="20"/>
                <w:szCs w:val="20"/>
                <w:lang w:val="en-AU" w:eastAsia="en-AU"/>
              </w:rPr>
            </w:pPr>
          </w:p>
        </w:tc>
      </w:tr>
      <w:tr w:rsidR="00D74D51" w:rsidRPr="00D74D51" w14:paraId="0163FA41" w14:textId="77777777" w:rsidTr="00D74D51">
        <w:trPr>
          <w:trHeight w:val="10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C85B00B" w14:textId="77777777" w:rsidR="00D74D51" w:rsidRPr="00D23401" w:rsidRDefault="00D74D51" w:rsidP="00D74D51">
            <w:pPr>
              <w:widowControl/>
              <w:jc w:val="center"/>
              <w:rPr>
                <w:rFonts w:ascii="Times New Roman" w:eastAsia="Times New Roman" w:hAnsi="Times New Roman" w:cs="Times New Roman"/>
                <w:b/>
                <w:bCs/>
                <w:color w:val="000000"/>
                <w:kern w:val="0"/>
                <w:sz w:val="20"/>
                <w:szCs w:val="20"/>
                <w:lang w:val="en-AU" w:eastAsia="en-AU"/>
              </w:rPr>
            </w:pPr>
            <w:r w:rsidRPr="00D23401">
              <w:rPr>
                <w:rFonts w:ascii="Times New Roman" w:eastAsia="Times New Roman" w:hAnsi="Times New Roman" w:cs="Times New Roman"/>
                <w:b/>
                <w:bCs/>
                <w:color w:val="000000"/>
                <w:kern w:val="0"/>
                <w:sz w:val="20"/>
                <w:szCs w:val="20"/>
                <w:lang w:val="en-AU" w:eastAsia="en-AU"/>
              </w:rPr>
              <w:t>Asymptomatic</w:t>
            </w:r>
          </w:p>
        </w:tc>
        <w:tc>
          <w:tcPr>
            <w:tcW w:w="1480" w:type="dxa"/>
            <w:tcBorders>
              <w:top w:val="nil"/>
              <w:left w:val="nil"/>
              <w:bottom w:val="single" w:sz="4" w:space="0" w:color="auto"/>
              <w:right w:val="single" w:sz="4" w:space="0" w:color="auto"/>
            </w:tcBorders>
            <w:shd w:val="clear" w:color="auto" w:fill="auto"/>
            <w:vAlign w:val="bottom"/>
            <w:hideMark/>
          </w:tcPr>
          <w:p w14:paraId="7FBF4439"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High Grade Stenosis at young age</w:t>
            </w:r>
          </w:p>
        </w:tc>
        <w:tc>
          <w:tcPr>
            <w:tcW w:w="960" w:type="dxa"/>
            <w:tcBorders>
              <w:top w:val="nil"/>
              <w:left w:val="nil"/>
              <w:bottom w:val="single" w:sz="4" w:space="0" w:color="auto"/>
              <w:right w:val="single" w:sz="4" w:space="0" w:color="auto"/>
            </w:tcBorders>
            <w:shd w:val="clear" w:color="auto" w:fill="auto"/>
            <w:noWrap/>
            <w:vAlign w:val="bottom"/>
            <w:hideMark/>
          </w:tcPr>
          <w:p w14:paraId="67A941AE" w14:textId="37E02788"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63499D88" w14:textId="2D594B46"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p>
        </w:tc>
        <w:tc>
          <w:tcPr>
            <w:tcW w:w="960" w:type="dxa"/>
            <w:tcBorders>
              <w:top w:val="nil"/>
              <w:left w:val="nil"/>
              <w:bottom w:val="single" w:sz="4" w:space="0" w:color="auto"/>
              <w:right w:val="single" w:sz="4" w:space="0" w:color="auto"/>
            </w:tcBorders>
            <w:shd w:val="clear" w:color="auto" w:fill="auto"/>
            <w:noWrap/>
            <w:vAlign w:val="bottom"/>
            <w:hideMark/>
          </w:tcPr>
          <w:p w14:paraId="1A2D44C6" w14:textId="55A97F1D"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p>
        </w:tc>
        <w:tc>
          <w:tcPr>
            <w:tcW w:w="1340" w:type="dxa"/>
            <w:tcBorders>
              <w:top w:val="nil"/>
              <w:left w:val="nil"/>
              <w:bottom w:val="single" w:sz="4" w:space="0" w:color="auto"/>
              <w:right w:val="single" w:sz="4" w:space="0" w:color="auto"/>
            </w:tcBorders>
            <w:shd w:val="clear" w:color="auto" w:fill="auto"/>
            <w:noWrap/>
            <w:vAlign w:val="bottom"/>
            <w:hideMark/>
          </w:tcPr>
          <w:p w14:paraId="55B415A7" w14:textId="627E6EB3"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p>
        </w:tc>
        <w:tc>
          <w:tcPr>
            <w:tcW w:w="1180" w:type="dxa"/>
            <w:tcBorders>
              <w:top w:val="nil"/>
              <w:left w:val="nil"/>
              <w:bottom w:val="single" w:sz="4" w:space="0" w:color="auto"/>
              <w:right w:val="single" w:sz="4" w:space="0" w:color="auto"/>
            </w:tcBorders>
            <w:shd w:val="clear" w:color="auto" w:fill="auto"/>
            <w:vAlign w:val="bottom"/>
            <w:hideMark/>
          </w:tcPr>
          <w:p w14:paraId="78AF8A92" w14:textId="77777777" w:rsidR="00D74D51" w:rsidRPr="00D23401" w:rsidRDefault="00D74D51" w:rsidP="00D74D51">
            <w:pPr>
              <w:widowControl/>
              <w:jc w:val="center"/>
              <w:rPr>
                <w:rFonts w:ascii="Times New Roman" w:eastAsia="Times New Roman" w:hAnsi="Times New Roman" w:cs="Times New Roman"/>
                <w:color w:val="000000"/>
                <w:kern w:val="0"/>
                <w:sz w:val="20"/>
                <w:szCs w:val="20"/>
                <w:lang w:val="en-AU" w:eastAsia="en-AU"/>
              </w:rPr>
            </w:pPr>
            <w:r w:rsidRPr="00D23401">
              <w:rPr>
                <w:rFonts w:ascii="Times New Roman" w:eastAsia="Times New Roman" w:hAnsi="Times New Roman" w:cs="Times New Roman"/>
                <w:color w:val="000000"/>
                <w:kern w:val="0"/>
                <w:sz w:val="20"/>
                <w:szCs w:val="20"/>
                <w:lang w:val="en-AU" w:eastAsia="en-AU"/>
              </w:rPr>
              <w:t>88% Stenosis at Imaging</w:t>
            </w:r>
          </w:p>
        </w:tc>
      </w:tr>
    </w:tbl>
    <w:p w14:paraId="6B9C2F7E" w14:textId="77777777" w:rsidR="00ED31FB" w:rsidRPr="00777E75" w:rsidRDefault="00ED31FB" w:rsidP="00ED31FB">
      <w:pPr>
        <w:rPr>
          <w:lang w:eastAsia="en-US"/>
        </w:rPr>
      </w:pPr>
    </w:p>
    <w:p w14:paraId="246E497C" w14:textId="238F48D7" w:rsidR="00BA0224" w:rsidRDefault="00BA0224" w:rsidP="00BA0224">
      <w:pPr>
        <w:spacing w:line="276"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21D701F2" w14:textId="77777777" w:rsidR="0040448E" w:rsidRPr="0040448E" w:rsidRDefault="00406AB6" w:rsidP="0040448E">
      <w:pPr>
        <w:pStyle w:val="EndNoteBibliography"/>
        <w:ind w:left="720" w:hanging="720"/>
        <w:rPr>
          <w:rFonts w:ascii="Times New Roman" w:hAnsi="Times New Roman" w:cs="Times New Roman"/>
        </w:rPr>
      </w:pPr>
      <w:r w:rsidRPr="0040448E">
        <w:rPr>
          <w:rFonts w:ascii="Times New Roman" w:hAnsi="Times New Roman" w:cs="Times New Roman"/>
          <w:lang w:eastAsia="en-US"/>
        </w:rPr>
        <w:fldChar w:fldCharType="begin"/>
      </w:r>
      <w:r w:rsidRPr="0040448E">
        <w:rPr>
          <w:rFonts w:ascii="Times New Roman" w:hAnsi="Times New Roman" w:cs="Times New Roman"/>
          <w:lang w:eastAsia="en-US"/>
        </w:rPr>
        <w:instrText xml:space="preserve"> ADDIN EN.REFLIST </w:instrText>
      </w:r>
      <w:r w:rsidRPr="0040448E">
        <w:rPr>
          <w:rFonts w:ascii="Times New Roman" w:hAnsi="Times New Roman" w:cs="Times New Roman"/>
          <w:lang w:eastAsia="en-US"/>
        </w:rPr>
        <w:fldChar w:fldCharType="separate"/>
      </w:r>
      <w:r w:rsidR="0040448E" w:rsidRPr="0040448E">
        <w:rPr>
          <w:rFonts w:ascii="Times New Roman" w:hAnsi="Times New Roman" w:cs="Times New Roman"/>
        </w:rPr>
        <w:t>1.</w:t>
      </w:r>
      <w:r w:rsidR="0040448E" w:rsidRPr="0040448E">
        <w:rPr>
          <w:rFonts w:ascii="Times New Roman" w:hAnsi="Times New Roman" w:cs="Times New Roman"/>
        </w:rPr>
        <w:tab/>
        <w:t xml:space="preserve">Mendieta, J.B., D. Fontanarosa, J. Wang, P.K. Paritala, T. McGahan, T. Lloyd, Z.J.B. Li, and M.i. Mechanobiology, </w:t>
      </w:r>
      <w:r w:rsidR="0040448E" w:rsidRPr="0040448E">
        <w:rPr>
          <w:rFonts w:ascii="Times New Roman" w:hAnsi="Times New Roman" w:cs="Times New Roman"/>
          <w:i/>
        </w:rPr>
        <w:t>The importance of blood rheology in patient-specific computational fluid dynamics simulation of stenotic carotid arteries.</w:t>
      </w:r>
      <w:r w:rsidR="0040448E" w:rsidRPr="0040448E">
        <w:rPr>
          <w:rFonts w:ascii="Times New Roman" w:hAnsi="Times New Roman" w:cs="Times New Roman"/>
        </w:rPr>
        <w:t xml:space="preserve"> 2020: p. 1-14.</w:t>
      </w:r>
    </w:p>
    <w:p w14:paraId="4E8EB7C6" w14:textId="6206984F" w:rsidR="00B5565E" w:rsidRPr="0040448E" w:rsidRDefault="0040448E" w:rsidP="009A662D">
      <w:pPr>
        <w:pStyle w:val="EndNoteBibliography"/>
        <w:ind w:left="720" w:hanging="720"/>
        <w:rPr>
          <w:rFonts w:ascii="Times New Roman" w:hAnsi="Times New Roman" w:cs="Times New Roman"/>
          <w:lang w:eastAsia="en-US"/>
        </w:rPr>
      </w:pPr>
      <w:r w:rsidRPr="0040448E">
        <w:rPr>
          <w:rFonts w:ascii="Times New Roman" w:hAnsi="Times New Roman" w:cs="Times New Roman"/>
        </w:rPr>
        <w:t>2.</w:t>
      </w:r>
      <w:r w:rsidRPr="0040448E">
        <w:rPr>
          <w:rFonts w:ascii="Times New Roman" w:hAnsi="Times New Roman" w:cs="Times New Roman"/>
        </w:rPr>
        <w:tab/>
        <w:t xml:space="preserve">Paritala, P.K., P.K.D.V. Yarlagadda, J. Wang, Y. Gu, and Z. Li, </w:t>
      </w:r>
      <w:r w:rsidRPr="0040448E">
        <w:rPr>
          <w:rFonts w:ascii="Times New Roman" w:hAnsi="Times New Roman" w:cs="Times New Roman"/>
          <w:i/>
        </w:rPr>
        <w:t>Numerical investigation of atherosclerotic plaque rupture using optical coherence tomography imaging and XFEM</w:t>
      </w:r>
      <w:bookmarkStart w:id="5" w:name="_GoBack"/>
      <w:bookmarkEnd w:id="5"/>
      <w:r w:rsidRPr="0040448E">
        <w:rPr>
          <w:rFonts w:ascii="Times New Roman" w:hAnsi="Times New Roman" w:cs="Times New Roman"/>
          <w:i/>
        </w:rPr>
        <w:t>.</w:t>
      </w:r>
      <w:r w:rsidRPr="0040448E">
        <w:rPr>
          <w:rFonts w:ascii="Times New Roman" w:hAnsi="Times New Roman" w:cs="Times New Roman"/>
        </w:rPr>
        <w:t xml:space="preserve"> Engineering Fracture Mechanics, 2018. </w:t>
      </w:r>
      <w:r w:rsidRPr="0040448E">
        <w:rPr>
          <w:rFonts w:ascii="Times New Roman" w:hAnsi="Times New Roman" w:cs="Times New Roman"/>
          <w:b/>
        </w:rPr>
        <w:t>204</w:t>
      </w:r>
      <w:r w:rsidRPr="0040448E">
        <w:rPr>
          <w:rFonts w:ascii="Times New Roman" w:hAnsi="Times New Roman" w:cs="Times New Roman"/>
        </w:rPr>
        <w:t>: p. 531-541.</w:t>
      </w:r>
      <w:r w:rsidR="00406AB6" w:rsidRPr="0040448E">
        <w:rPr>
          <w:rFonts w:ascii="Times New Roman" w:hAnsi="Times New Roman" w:cs="Times New Roman"/>
          <w:lang w:eastAsia="en-US"/>
        </w:rPr>
        <w:fldChar w:fldCharType="end"/>
      </w:r>
    </w:p>
    <w:sectPr w:rsidR="00B5565E" w:rsidRPr="0040448E" w:rsidSect="000114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2EB5C" w14:textId="77777777" w:rsidR="00151AE5" w:rsidRDefault="00151AE5" w:rsidP="00DC7A1C">
      <w:r>
        <w:separator/>
      </w:r>
    </w:p>
  </w:endnote>
  <w:endnote w:type="continuationSeparator" w:id="0">
    <w:p w14:paraId="34FEFEAD" w14:textId="77777777" w:rsidR="00151AE5" w:rsidRDefault="00151AE5" w:rsidP="00DC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alaLancetPro">
    <w:altName w:val="Cambria"/>
    <w:panose1 w:val="00000000000000000000"/>
    <w:charset w:val="00"/>
    <w:family w:val="roman"/>
    <w:notTrueType/>
    <w:pitch w:val="default"/>
  </w:font>
  <w:font w:name="KaiTi_GB2312">
    <w:altName w:val="Microsoft YaHei"/>
    <w:charset w:val="86"/>
    <w:family w:val="modern"/>
    <w:pitch w:val="default"/>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05730" w14:textId="77777777" w:rsidR="00151AE5" w:rsidRDefault="00151AE5" w:rsidP="00DC7A1C">
      <w:r>
        <w:separator/>
      </w:r>
    </w:p>
  </w:footnote>
  <w:footnote w:type="continuationSeparator" w:id="0">
    <w:p w14:paraId="2CD59941" w14:textId="77777777" w:rsidR="00151AE5" w:rsidRDefault="00151AE5" w:rsidP="00DC7A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O3MDQxMjS1NDezsDRT0lEKTi0uzszPAykwqQUAREOKLiwAAAA="/>
    <w:docVar w:name="EN.InstantFormat" w:val="&lt;ENInstantFormat&gt;&lt;Enabled&gt;1&lt;/Enabled&gt;&lt;ScanUnformatted&gt;1&lt;/ScanUnformatted&gt;&lt;ScanChanges&gt;1&lt;/ScanChanges&gt;&lt;Suspended&gt;0&lt;/Suspended&gt;&lt;/ENInstantFormat&gt;"/>
    <w:docVar w:name="EN.Layout" w:val="&lt;ENLayout&gt;&lt;Style&gt;Numbered_1&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zrav5dc9vseoerstnvxswmtravrwtfpepf&quot;&gt;EndNote Library&lt;record-ids&gt;&lt;item&gt;1160&lt;/item&gt;&lt;item&gt;1494&lt;/item&gt;&lt;/record-ids&gt;&lt;/item&gt;&lt;/Libraries&gt;"/>
  </w:docVars>
  <w:rsids>
    <w:rsidRoot w:val="00305E44"/>
    <w:rsid w:val="00005233"/>
    <w:rsid w:val="000114CB"/>
    <w:rsid w:val="00012457"/>
    <w:rsid w:val="000312C9"/>
    <w:rsid w:val="000359EC"/>
    <w:rsid w:val="000470FC"/>
    <w:rsid w:val="00065D81"/>
    <w:rsid w:val="00066920"/>
    <w:rsid w:val="00085965"/>
    <w:rsid w:val="00094D02"/>
    <w:rsid w:val="00097D05"/>
    <w:rsid w:val="000B2028"/>
    <w:rsid w:val="000D2AE1"/>
    <w:rsid w:val="0010287D"/>
    <w:rsid w:val="001067DB"/>
    <w:rsid w:val="00126EB3"/>
    <w:rsid w:val="001310D3"/>
    <w:rsid w:val="00144D85"/>
    <w:rsid w:val="00151AE5"/>
    <w:rsid w:val="00152989"/>
    <w:rsid w:val="001E27C1"/>
    <w:rsid w:val="001E4AEC"/>
    <w:rsid w:val="001F74BE"/>
    <w:rsid w:val="002874A7"/>
    <w:rsid w:val="00293C35"/>
    <w:rsid w:val="002A42ED"/>
    <w:rsid w:val="002B79C4"/>
    <w:rsid w:val="002D10C9"/>
    <w:rsid w:val="002E4641"/>
    <w:rsid w:val="002F363B"/>
    <w:rsid w:val="00305E44"/>
    <w:rsid w:val="00315B9F"/>
    <w:rsid w:val="00351003"/>
    <w:rsid w:val="00356ED6"/>
    <w:rsid w:val="0037228A"/>
    <w:rsid w:val="0039644A"/>
    <w:rsid w:val="003972C4"/>
    <w:rsid w:val="003F2969"/>
    <w:rsid w:val="00400708"/>
    <w:rsid w:val="0040197D"/>
    <w:rsid w:val="0040448E"/>
    <w:rsid w:val="00406AB6"/>
    <w:rsid w:val="00414DA4"/>
    <w:rsid w:val="004206AF"/>
    <w:rsid w:val="00422B45"/>
    <w:rsid w:val="00443411"/>
    <w:rsid w:val="00450163"/>
    <w:rsid w:val="004A6B38"/>
    <w:rsid w:val="004D4512"/>
    <w:rsid w:val="004D4C0F"/>
    <w:rsid w:val="00502293"/>
    <w:rsid w:val="00503A77"/>
    <w:rsid w:val="00521163"/>
    <w:rsid w:val="00530A41"/>
    <w:rsid w:val="00531EDC"/>
    <w:rsid w:val="00533C7E"/>
    <w:rsid w:val="00544F25"/>
    <w:rsid w:val="00580A68"/>
    <w:rsid w:val="005B6215"/>
    <w:rsid w:val="005D35E7"/>
    <w:rsid w:val="005E103E"/>
    <w:rsid w:val="005E15B9"/>
    <w:rsid w:val="005F1D12"/>
    <w:rsid w:val="005F2586"/>
    <w:rsid w:val="00654C59"/>
    <w:rsid w:val="006565FB"/>
    <w:rsid w:val="006621E1"/>
    <w:rsid w:val="0067086E"/>
    <w:rsid w:val="00671D4D"/>
    <w:rsid w:val="006754F2"/>
    <w:rsid w:val="006A3D09"/>
    <w:rsid w:val="006A6840"/>
    <w:rsid w:val="006B74D4"/>
    <w:rsid w:val="006C24E9"/>
    <w:rsid w:val="007062B7"/>
    <w:rsid w:val="00707069"/>
    <w:rsid w:val="00716AAA"/>
    <w:rsid w:val="00717CD1"/>
    <w:rsid w:val="0073367C"/>
    <w:rsid w:val="007379F7"/>
    <w:rsid w:val="00753DD1"/>
    <w:rsid w:val="00755A6F"/>
    <w:rsid w:val="0075633F"/>
    <w:rsid w:val="00777CBC"/>
    <w:rsid w:val="00777E75"/>
    <w:rsid w:val="007833BE"/>
    <w:rsid w:val="007856C2"/>
    <w:rsid w:val="007A6640"/>
    <w:rsid w:val="007A6F72"/>
    <w:rsid w:val="007B14B3"/>
    <w:rsid w:val="007B551B"/>
    <w:rsid w:val="007F3B3F"/>
    <w:rsid w:val="00810C3C"/>
    <w:rsid w:val="00811F37"/>
    <w:rsid w:val="00813073"/>
    <w:rsid w:val="008205BE"/>
    <w:rsid w:val="00831E2B"/>
    <w:rsid w:val="0086331C"/>
    <w:rsid w:val="008861D0"/>
    <w:rsid w:val="0089629D"/>
    <w:rsid w:val="008C6857"/>
    <w:rsid w:val="008D6E49"/>
    <w:rsid w:val="0091275C"/>
    <w:rsid w:val="00915DCC"/>
    <w:rsid w:val="00924C11"/>
    <w:rsid w:val="00964277"/>
    <w:rsid w:val="009906C9"/>
    <w:rsid w:val="009910A7"/>
    <w:rsid w:val="009A662D"/>
    <w:rsid w:val="009E1A08"/>
    <w:rsid w:val="00A05AD6"/>
    <w:rsid w:val="00A066DE"/>
    <w:rsid w:val="00A16D52"/>
    <w:rsid w:val="00A30BAA"/>
    <w:rsid w:val="00A542EF"/>
    <w:rsid w:val="00A60997"/>
    <w:rsid w:val="00A6775E"/>
    <w:rsid w:val="00B00789"/>
    <w:rsid w:val="00B43458"/>
    <w:rsid w:val="00B5565E"/>
    <w:rsid w:val="00B61D05"/>
    <w:rsid w:val="00BA0224"/>
    <w:rsid w:val="00BB3C3D"/>
    <w:rsid w:val="00BB5D38"/>
    <w:rsid w:val="00C00244"/>
    <w:rsid w:val="00C02E6E"/>
    <w:rsid w:val="00C17D17"/>
    <w:rsid w:val="00C261F5"/>
    <w:rsid w:val="00C3263E"/>
    <w:rsid w:val="00C35C37"/>
    <w:rsid w:val="00C53F8B"/>
    <w:rsid w:val="00C63A0D"/>
    <w:rsid w:val="00C862FA"/>
    <w:rsid w:val="00C86CCA"/>
    <w:rsid w:val="00CB2269"/>
    <w:rsid w:val="00CC5282"/>
    <w:rsid w:val="00CD0A1D"/>
    <w:rsid w:val="00CE23A6"/>
    <w:rsid w:val="00D00C0A"/>
    <w:rsid w:val="00D11A55"/>
    <w:rsid w:val="00D23401"/>
    <w:rsid w:val="00D44B6B"/>
    <w:rsid w:val="00D47A04"/>
    <w:rsid w:val="00D56484"/>
    <w:rsid w:val="00D57BF0"/>
    <w:rsid w:val="00D74D51"/>
    <w:rsid w:val="00D758AA"/>
    <w:rsid w:val="00D9499F"/>
    <w:rsid w:val="00DB0585"/>
    <w:rsid w:val="00DC1696"/>
    <w:rsid w:val="00DC7A1C"/>
    <w:rsid w:val="00DF6CFF"/>
    <w:rsid w:val="00E120A4"/>
    <w:rsid w:val="00E17573"/>
    <w:rsid w:val="00E41E8D"/>
    <w:rsid w:val="00E45F46"/>
    <w:rsid w:val="00E511AF"/>
    <w:rsid w:val="00E6420C"/>
    <w:rsid w:val="00E65764"/>
    <w:rsid w:val="00E71F7A"/>
    <w:rsid w:val="00E854A6"/>
    <w:rsid w:val="00E9159C"/>
    <w:rsid w:val="00EB28F5"/>
    <w:rsid w:val="00EB2E21"/>
    <w:rsid w:val="00EC3AC8"/>
    <w:rsid w:val="00EC4F4B"/>
    <w:rsid w:val="00ED31FB"/>
    <w:rsid w:val="00EE4FA3"/>
    <w:rsid w:val="00F05C0D"/>
    <w:rsid w:val="00F2060E"/>
    <w:rsid w:val="00F24B63"/>
    <w:rsid w:val="00F41BE3"/>
    <w:rsid w:val="00F67B59"/>
    <w:rsid w:val="00F801F2"/>
    <w:rsid w:val="00FB4134"/>
    <w:rsid w:val="00FF35D4"/>
    <w:rsid w:val="00FF56A6"/>
    <w:rsid w:val="4B214BC8"/>
    <w:rsid w:val="759F494A"/>
    <w:rsid w:val="79B2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081B3"/>
  <w15:docId w15:val="{BC618F83-19CB-4BBB-BF4F-327ECD84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ngXian" w:eastAsia="DengXian" w:hAnsi="DengXian" w:cs="DengXi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rPr>
      <w:rFonts w:asciiTheme="minorHAnsi" w:eastAsiaTheme="minorEastAsia" w:hAnsiTheme="minorHAnsi" w:cstheme="minorBidi"/>
      <w:kern w:val="2"/>
      <w:sz w:val="21"/>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qFormat/>
    <w:rPr>
      <w:sz w:val="18"/>
      <w:szCs w:val="18"/>
    </w:rPr>
  </w:style>
  <w:style w:type="paragraph" w:styleId="Fuzeile">
    <w:name w:val="footer"/>
    <w:basedOn w:val="Standard"/>
    <w:link w:val="FuzeileZchn"/>
    <w:uiPriority w:val="99"/>
    <w:unhideWhenUsed/>
    <w:pPr>
      <w:tabs>
        <w:tab w:val="center" w:pos="4153"/>
        <w:tab w:val="right" w:pos="8306"/>
      </w:tabs>
      <w:snapToGrid w:val="0"/>
      <w:jc w:val="left"/>
    </w:pPr>
    <w:rPr>
      <w:sz w:val="18"/>
      <w:szCs w:val="18"/>
    </w:rPr>
  </w:style>
  <w:style w:type="paragraph" w:styleId="Kopfzeile">
    <w:name w:val="header"/>
    <w:basedOn w:val="Standard"/>
    <w:link w:val="KopfzeileZchn"/>
    <w:uiPriority w:val="99"/>
    <w:unhideWhenUsed/>
    <w:pPr>
      <w:pBdr>
        <w:bottom w:val="single" w:sz="6" w:space="1" w:color="auto"/>
      </w:pBdr>
      <w:tabs>
        <w:tab w:val="center" w:pos="4153"/>
        <w:tab w:val="right" w:pos="8306"/>
      </w:tabs>
      <w:snapToGrid w:val="0"/>
      <w:jc w:val="center"/>
    </w:pPr>
    <w:rPr>
      <w:sz w:val="18"/>
      <w:szCs w:val="18"/>
    </w:rPr>
  </w:style>
  <w:style w:type="paragraph" w:styleId="HTMLVorformatiert">
    <w:name w:val="HTML Preformatted"/>
    <w:basedOn w:val="Standard"/>
    <w:link w:val="HTMLVorformatiertZchn"/>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KopfzeileZchn">
    <w:name w:val="Kopfzeile Zchn"/>
    <w:basedOn w:val="Absatz-Standardschriftart"/>
    <w:link w:val="Kopfzeile"/>
    <w:uiPriority w:val="99"/>
    <w:rPr>
      <w:sz w:val="18"/>
      <w:szCs w:val="18"/>
    </w:rPr>
  </w:style>
  <w:style w:type="character" w:customStyle="1" w:styleId="FuzeileZchn">
    <w:name w:val="Fußzeile Zchn"/>
    <w:basedOn w:val="Absatz-Standardschriftart"/>
    <w:link w:val="Fuzeile"/>
    <w:uiPriority w:val="99"/>
    <w:rPr>
      <w:sz w:val="18"/>
      <w:szCs w:val="18"/>
    </w:rPr>
  </w:style>
  <w:style w:type="character" w:customStyle="1" w:styleId="HTMLVorformatiertZchn">
    <w:name w:val="HTML Vorformatiert Zchn"/>
    <w:basedOn w:val="Absatz-Standardschriftart"/>
    <w:link w:val="HTMLVorformatiert"/>
    <w:uiPriority w:val="99"/>
    <w:rPr>
      <w:rFonts w:ascii="SimSun" w:eastAsia="SimSun" w:hAnsi="SimSun" w:cs="SimSun"/>
      <w:kern w:val="0"/>
      <w:sz w:val="24"/>
      <w:szCs w:val="24"/>
    </w:rPr>
  </w:style>
  <w:style w:type="character" w:customStyle="1" w:styleId="fontstyle11">
    <w:name w:val="fontstyle11"/>
    <w:basedOn w:val="Absatz-Standardschriftart"/>
    <w:qFormat/>
    <w:rPr>
      <w:rFonts w:ascii="ScalaLancetPro" w:hAnsi="ScalaLancetPro" w:hint="default"/>
      <w:color w:val="000000"/>
      <w:sz w:val="18"/>
      <w:szCs w:val="18"/>
    </w:rPr>
  </w:style>
  <w:style w:type="character" w:customStyle="1" w:styleId="SprechblasentextZchn">
    <w:name w:val="Sprechblasentext Zchn"/>
    <w:basedOn w:val="Absatz-Standardschriftart"/>
    <w:link w:val="Sprechblasentext"/>
    <w:uiPriority w:val="99"/>
    <w:semiHidden/>
    <w:qFormat/>
    <w:rPr>
      <w:sz w:val="18"/>
      <w:szCs w:val="18"/>
    </w:rPr>
  </w:style>
  <w:style w:type="table" w:customStyle="1" w:styleId="1">
    <w:name w:val="普通表格1"/>
    <w:semiHidden/>
    <w:rPr>
      <w:rFonts w:hint="eastAsia"/>
    </w:rPr>
    <w:tblPr>
      <w:tblCellMar>
        <w:top w:w="0" w:type="dxa"/>
        <w:left w:w="108" w:type="dxa"/>
        <w:bottom w:w="0" w:type="dxa"/>
        <w:right w:w="108" w:type="dxa"/>
      </w:tblCellMar>
    </w:tblPr>
  </w:style>
  <w:style w:type="paragraph" w:customStyle="1" w:styleId="10">
    <w:name w:val="正文1"/>
    <w:rsid w:val="00A60997"/>
    <w:pPr>
      <w:widowControl w:val="0"/>
      <w:jc w:val="both"/>
    </w:pPr>
    <w:rPr>
      <w:rFonts w:cs="Times New Roman"/>
      <w:kern w:val="2"/>
      <w:sz w:val="21"/>
      <w:szCs w:val="21"/>
    </w:rPr>
  </w:style>
  <w:style w:type="character" w:customStyle="1" w:styleId="15">
    <w:name w:val="15"/>
    <w:basedOn w:val="Absatz-Standardschriftart"/>
    <w:qFormat/>
    <w:rsid w:val="00A60997"/>
    <w:rPr>
      <w:rFonts w:ascii="ScalaLancetPro" w:hAnsi="ScalaLancetPro" w:hint="default"/>
      <w:color w:val="000000"/>
      <w:sz w:val="18"/>
      <w:szCs w:val="18"/>
    </w:rPr>
  </w:style>
  <w:style w:type="paragraph" w:customStyle="1" w:styleId="Normal1">
    <w:name w:val="Normal1"/>
    <w:rsid w:val="00A60997"/>
    <w:pPr>
      <w:widowControl w:val="0"/>
      <w:jc w:val="both"/>
    </w:pPr>
    <w:rPr>
      <w:rFonts w:cs="Times New Roman"/>
      <w:kern w:val="2"/>
      <w:sz w:val="21"/>
      <w:szCs w:val="21"/>
    </w:rPr>
  </w:style>
  <w:style w:type="paragraph" w:customStyle="1" w:styleId="HTML1">
    <w:name w:val="HTML 预设格式1"/>
    <w:basedOn w:val="Standard"/>
    <w:semiHidden/>
    <w:rsid w:val="00F2060E"/>
    <w:pPr>
      <w:widowControl/>
      <w:jc w:val="left"/>
    </w:pPr>
    <w:rPr>
      <w:rFonts w:ascii="SimSun" w:eastAsia="SimSun" w:hAnsi="SimSun" w:cs="SimSun"/>
      <w:kern w:val="0"/>
      <w:sz w:val="24"/>
      <w:szCs w:val="24"/>
    </w:rPr>
  </w:style>
  <w:style w:type="character" w:customStyle="1" w:styleId="16">
    <w:name w:val="16"/>
    <w:basedOn w:val="Absatz-Standardschriftart"/>
    <w:rsid w:val="00F2060E"/>
    <w:rPr>
      <w:rFonts w:ascii="ScalaLancetPro" w:hAnsi="ScalaLancetPro" w:hint="default"/>
      <w:color w:val="000000"/>
      <w:sz w:val="18"/>
      <w:szCs w:val="18"/>
    </w:rPr>
  </w:style>
  <w:style w:type="paragraph" w:styleId="Textkrper-Zeileneinzug">
    <w:name w:val="Body Text Indent"/>
    <w:basedOn w:val="Standard"/>
    <w:link w:val="Textkrper-ZeileneinzugZchn"/>
    <w:qFormat/>
    <w:rsid w:val="001E27C1"/>
    <w:pPr>
      <w:spacing w:line="480" w:lineRule="exact"/>
      <w:ind w:firstLineChars="200" w:firstLine="640"/>
    </w:pPr>
    <w:rPr>
      <w:rFonts w:ascii="KaiTi_GB2312" w:eastAsia="KaiTi_GB2312" w:hAnsi="Times New Roman" w:cs="Times New Roman"/>
      <w:sz w:val="32"/>
      <w:szCs w:val="20"/>
    </w:rPr>
  </w:style>
  <w:style w:type="character" w:customStyle="1" w:styleId="Textkrper-ZeileneinzugZchn">
    <w:name w:val="Textkörper-Zeileneinzug Zchn"/>
    <w:basedOn w:val="Absatz-Standardschriftart"/>
    <w:link w:val="Textkrper-Zeileneinzug"/>
    <w:qFormat/>
    <w:rsid w:val="001E27C1"/>
    <w:rPr>
      <w:rFonts w:ascii="KaiTi_GB2312" w:eastAsia="KaiTi_GB2312" w:hAnsi="Times New Roman" w:cs="Times New Roman"/>
      <w:kern w:val="2"/>
      <w:sz w:val="32"/>
    </w:rPr>
  </w:style>
  <w:style w:type="paragraph" w:customStyle="1" w:styleId="Paragraph">
    <w:name w:val="Paragraph"/>
    <w:basedOn w:val="Standard"/>
    <w:link w:val="ParagraphChar"/>
    <w:rsid w:val="0073367C"/>
    <w:pPr>
      <w:widowControl/>
      <w:spacing w:before="120"/>
      <w:ind w:firstLine="720"/>
      <w:jc w:val="left"/>
    </w:pPr>
    <w:rPr>
      <w:rFonts w:ascii="Times New Roman" w:eastAsia="Times New Roman" w:hAnsi="Times New Roman" w:cs="Times New Roman"/>
      <w:kern w:val="0"/>
      <w:sz w:val="24"/>
      <w:szCs w:val="24"/>
      <w:lang w:eastAsia="en-US"/>
    </w:rPr>
  </w:style>
  <w:style w:type="character" w:customStyle="1" w:styleId="ParagraphChar">
    <w:name w:val="Paragraph Char"/>
    <w:basedOn w:val="Absatz-Standardschriftart"/>
    <w:link w:val="Paragraph"/>
    <w:rsid w:val="0073367C"/>
    <w:rPr>
      <w:rFonts w:ascii="Times New Roman" w:eastAsia="Times New Roman" w:hAnsi="Times New Roman" w:cs="Times New Roman"/>
      <w:sz w:val="24"/>
      <w:szCs w:val="24"/>
      <w:lang w:eastAsia="en-US"/>
    </w:rPr>
  </w:style>
  <w:style w:type="paragraph" w:styleId="Beschriftung">
    <w:name w:val="caption"/>
    <w:basedOn w:val="Standard"/>
    <w:next w:val="Standard"/>
    <w:unhideWhenUsed/>
    <w:qFormat/>
    <w:rsid w:val="0073367C"/>
    <w:pPr>
      <w:widowControl/>
      <w:spacing w:after="200"/>
      <w:jc w:val="left"/>
    </w:pPr>
    <w:rPr>
      <w:rFonts w:ascii="Times New Roman" w:eastAsia="SimSun" w:hAnsi="Times New Roman" w:cs="Times New Roman"/>
      <w:i/>
      <w:iCs/>
      <w:color w:val="1F497D"/>
      <w:kern w:val="0"/>
      <w:sz w:val="18"/>
      <w:szCs w:val="18"/>
      <w:lang w:eastAsia="en-US"/>
    </w:rPr>
  </w:style>
  <w:style w:type="paragraph" w:customStyle="1" w:styleId="EndNoteBibliographyTitle">
    <w:name w:val="EndNote Bibliography Title"/>
    <w:basedOn w:val="Standard"/>
    <w:link w:val="EndNoteBibliographyTitleChar"/>
    <w:rsid w:val="00B5565E"/>
    <w:pPr>
      <w:jc w:val="center"/>
    </w:pPr>
    <w:rPr>
      <w:rFonts w:ascii="DengXian" w:eastAsia="DengXian" w:hAnsi="DengXian"/>
      <w:noProof/>
      <w:sz w:val="20"/>
    </w:rPr>
  </w:style>
  <w:style w:type="character" w:customStyle="1" w:styleId="EndNoteBibliographyTitleChar">
    <w:name w:val="EndNote Bibliography Title Char"/>
    <w:basedOn w:val="Absatz-Standardschriftart"/>
    <w:link w:val="EndNoteBibliographyTitle"/>
    <w:rsid w:val="00B5565E"/>
    <w:rPr>
      <w:rFonts w:cstheme="minorBidi"/>
      <w:noProof/>
      <w:kern w:val="2"/>
      <w:szCs w:val="22"/>
    </w:rPr>
  </w:style>
  <w:style w:type="paragraph" w:customStyle="1" w:styleId="EndNoteBibliography">
    <w:name w:val="EndNote Bibliography"/>
    <w:basedOn w:val="Standard"/>
    <w:link w:val="EndNoteBibliographyChar"/>
    <w:rsid w:val="00B5565E"/>
    <w:rPr>
      <w:rFonts w:ascii="DengXian" w:eastAsia="DengXian" w:hAnsi="DengXian"/>
      <w:noProof/>
      <w:sz w:val="20"/>
    </w:rPr>
  </w:style>
  <w:style w:type="character" w:customStyle="1" w:styleId="EndNoteBibliographyChar">
    <w:name w:val="EndNote Bibliography Char"/>
    <w:basedOn w:val="Absatz-Standardschriftart"/>
    <w:link w:val="EndNoteBibliography"/>
    <w:rsid w:val="00B5565E"/>
    <w:rPr>
      <w:rFonts w:cstheme="minorBidi"/>
      <w:noProof/>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70409">
      <w:bodyDiv w:val="1"/>
      <w:marLeft w:val="0"/>
      <w:marRight w:val="0"/>
      <w:marTop w:val="0"/>
      <w:marBottom w:val="0"/>
      <w:divBdr>
        <w:top w:val="none" w:sz="0" w:space="0" w:color="auto"/>
        <w:left w:val="none" w:sz="0" w:space="0" w:color="auto"/>
        <w:bottom w:val="none" w:sz="0" w:space="0" w:color="auto"/>
        <w:right w:val="none" w:sz="0" w:space="0" w:color="auto"/>
      </w:divBdr>
    </w:div>
    <w:div w:id="302733686">
      <w:bodyDiv w:val="1"/>
      <w:marLeft w:val="0"/>
      <w:marRight w:val="0"/>
      <w:marTop w:val="0"/>
      <w:marBottom w:val="0"/>
      <w:divBdr>
        <w:top w:val="none" w:sz="0" w:space="0" w:color="auto"/>
        <w:left w:val="none" w:sz="0" w:space="0" w:color="auto"/>
        <w:bottom w:val="none" w:sz="0" w:space="0" w:color="auto"/>
        <w:right w:val="none" w:sz="0" w:space="0" w:color="auto"/>
      </w:divBdr>
    </w:div>
    <w:div w:id="449008141">
      <w:bodyDiv w:val="1"/>
      <w:marLeft w:val="0"/>
      <w:marRight w:val="0"/>
      <w:marTop w:val="0"/>
      <w:marBottom w:val="0"/>
      <w:divBdr>
        <w:top w:val="none" w:sz="0" w:space="0" w:color="auto"/>
        <w:left w:val="none" w:sz="0" w:space="0" w:color="auto"/>
        <w:bottom w:val="none" w:sz="0" w:space="0" w:color="auto"/>
        <w:right w:val="none" w:sz="0" w:space="0" w:color="auto"/>
      </w:divBdr>
    </w:div>
    <w:div w:id="575289109">
      <w:bodyDiv w:val="1"/>
      <w:marLeft w:val="0"/>
      <w:marRight w:val="0"/>
      <w:marTop w:val="0"/>
      <w:marBottom w:val="0"/>
      <w:divBdr>
        <w:top w:val="none" w:sz="0" w:space="0" w:color="auto"/>
        <w:left w:val="none" w:sz="0" w:space="0" w:color="auto"/>
        <w:bottom w:val="none" w:sz="0" w:space="0" w:color="auto"/>
        <w:right w:val="none" w:sz="0" w:space="0" w:color="auto"/>
      </w:divBdr>
    </w:div>
    <w:div w:id="991637320">
      <w:bodyDiv w:val="1"/>
      <w:marLeft w:val="0"/>
      <w:marRight w:val="0"/>
      <w:marTop w:val="0"/>
      <w:marBottom w:val="0"/>
      <w:divBdr>
        <w:top w:val="none" w:sz="0" w:space="0" w:color="auto"/>
        <w:left w:val="none" w:sz="0" w:space="0" w:color="auto"/>
        <w:bottom w:val="none" w:sz="0" w:space="0" w:color="auto"/>
        <w:right w:val="none" w:sz="0" w:space="0" w:color="auto"/>
      </w:divBdr>
    </w:div>
    <w:div w:id="1181355922">
      <w:bodyDiv w:val="1"/>
      <w:marLeft w:val="0"/>
      <w:marRight w:val="0"/>
      <w:marTop w:val="0"/>
      <w:marBottom w:val="0"/>
      <w:divBdr>
        <w:top w:val="none" w:sz="0" w:space="0" w:color="auto"/>
        <w:left w:val="none" w:sz="0" w:space="0" w:color="auto"/>
        <w:bottom w:val="none" w:sz="0" w:space="0" w:color="auto"/>
        <w:right w:val="none" w:sz="0" w:space="0" w:color="auto"/>
      </w:divBdr>
    </w:div>
    <w:div w:id="2003504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98F44-61AE-40C7-8420-379FCFED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1505</Words>
  <Characters>9485</Characters>
  <Application>Microsoft Office Word</Application>
  <DocSecurity>0</DocSecurity>
  <Lines>79</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臧 乃亮</dc:creator>
  <cp:lastModifiedBy>Karin Stettler</cp:lastModifiedBy>
  <cp:revision>2</cp:revision>
  <cp:lastPrinted>2020-01-02T11:47:00Z</cp:lastPrinted>
  <dcterms:created xsi:type="dcterms:W3CDTF">2021-02-09T10:01:00Z</dcterms:created>
  <dcterms:modified xsi:type="dcterms:W3CDTF">2021-02-09T10:01:00Z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1033-11.2.0.8342</vt:lpwstr>
  </property>
</Properties>
</file>