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F5C" w:rsidRPr="00E14F47" w:rsidRDefault="00511F5C" w:rsidP="00511F5C">
      <w:pPr>
        <w:rPr>
          <w:b/>
          <w:lang w:val="en-US"/>
        </w:rPr>
      </w:pPr>
      <w:r>
        <w:rPr>
          <w:b/>
          <w:lang w:val="en-US"/>
        </w:rPr>
        <w:t>SUPPLEMENTAL MATERIAL</w:t>
      </w:r>
    </w:p>
    <w:p w:rsidR="00511F5C" w:rsidRDefault="00511F5C" w:rsidP="00511F5C">
      <w:pPr>
        <w:spacing w:line="480" w:lineRule="auto"/>
        <w:jc w:val="both"/>
        <w:rPr>
          <w:b/>
          <w:lang w:val="en-US"/>
        </w:rPr>
      </w:pPr>
    </w:p>
    <w:p w:rsidR="00511F5C" w:rsidRPr="00B20E3B" w:rsidRDefault="00520184" w:rsidP="00511F5C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Supplemental </w:t>
      </w:r>
      <w:r w:rsidR="00511F5C" w:rsidRPr="00B20E3B">
        <w:rPr>
          <w:b/>
          <w:lang w:val="en-US"/>
        </w:rPr>
        <w:t>Figure 1. Catalonia acute stroke healthcare center</w:t>
      </w:r>
      <w:r w:rsidR="00511F5C">
        <w:rPr>
          <w:b/>
          <w:lang w:val="en-US"/>
        </w:rPr>
        <w:t>s</w:t>
      </w:r>
      <w:r w:rsidR="00511F5C" w:rsidRPr="00B20E3B">
        <w:rPr>
          <w:b/>
          <w:lang w:val="en-US"/>
        </w:rPr>
        <w:t xml:space="preserve"> and regions.</w:t>
      </w:r>
    </w:p>
    <w:p w:rsidR="00511F5C" w:rsidRPr="00B20E3B" w:rsidRDefault="00511F5C" w:rsidP="00511F5C">
      <w:pPr>
        <w:spacing w:line="480" w:lineRule="auto"/>
        <w:jc w:val="both"/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0C1F7860" wp14:editId="2E59ACC7">
            <wp:extent cx="5400040" cy="555815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sIct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F5C" w:rsidRPr="00AA5ACB" w:rsidRDefault="00511F5C" w:rsidP="00511F5C">
      <w:pPr>
        <w:spacing w:line="480" w:lineRule="auto"/>
        <w:jc w:val="both"/>
        <w:rPr>
          <w:color w:val="000000" w:themeColor="text1"/>
          <w:lang w:val="en-US"/>
        </w:rPr>
      </w:pPr>
    </w:p>
    <w:p w:rsidR="00511F5C" w:rsidRPr="00AA5ACB" w:rsidRDefault="00511F5C" w:rsidP="00511F5C">
      <w:pPr>
        <w:pStyle w:val="NormalWeb"/>
        <w:shd w:val="clear" w:color="auto" w:fill="FFFFFF" w:themeFill="background1"/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lang w:val="en-US"/>
        </w:rPr>
      </w:pPr>
      <w:r w:rsidRPr="00AA5ACB">
        <w:rPr>
          <w:color w:val="000000" w:themeColor="text1"/>
          <w:lang w:val="en-US"/>
        </w:rPr>
        <w:t xml:space="preserve">Catalonia acute stroke healthcare system is divided in eight different regions. Acute stroke care is provided in 28 Hospitals: 6 comprehensive stroke centers, 8 primary stroke centers and 14 telestroke centers. </w:t>
      </w:r>
    </w:p>
    <w:p w:rsidR="00511F5C" w:rsidRPr="00B20E3B" w:rsidRDefault="00511F5C" w:rsidP="00511F5C">
      <w:pPr>
        <w:pStyle w:val="NormalWeb"/>
        <w:shd w:val="clear" w:color="auto" w:fill="FFFFFF" w:themeFill="background1"/>
        <w:spacing w:before="0" w:beforeAutospacing="0" w:after="0" w:afterAutospacing="0" w:line="480" w:lineRule="auto"/>
        <w:jc w:val="both"/>
        <w:textAlignment w:val="baseline"/>
        <w:rPr>
          <w:color w:val="484848"/>
          <w:sz w:val="22"/>
          <w:szCs w:val="22"/>
          <w:lang w:val="en-US"/>
        </w:rPr>
      </w:pPr>
    </w:p>
    <w:p w:rsidR="00511F5C" w:rsidRPr="00B20E3B" w:rsidRDefault="00511F5C" w:rsidP="00511F5C">
      <w:pPr>
        <w:pStyle w:val="NormalWeb"/>
        <w:shd w:val="clear" w:color="auto" w:fill="FFFFFF" w:themeFill="background1"/>
        <w:spacing w:before="0" w:beforeAutospacing="0" w:after="0" w:afterAutospacing="0" w:line="480" w:lineRule="auto"/>
        <w:jc w:val="both"/>
        <w:textAlignment w:val="baseline"/>
        <w:rPr>
          <w:color w:val="484848"/>
          <w:sz w:val="22"/>
          <w:szCs w:val="22"/>
          <w:lang w:val="en-US"/>
        </w:rPr>
      </w:pPr>
    </w:p>
    <w:p w:rsidR="00511F5C" w:rsidRPr="00B20E3B" w:rsidRDefault="00511F5C" w:rsidP="00511F5C">
      <w:pPr>
        <w:shd w:val="clear" w:color="auto" w:fill="FFFFFF" w:themeFill="background1"/>
        <w:spacing w:before="240" w:line="480" w:lineRule="auto"/>
        <w:jc w:val="both"/>
        <w:rPr>
          <w:b/>
        </w:rPr>
      </w:pPr>
      <w:r w:rsidRPr="00B20E3B">
        <w:rPr>
          <w:b/>
        </w:rPr>
        <w:lastRenderedPageBreak/>
        <w:t>Barcelona (1.821.570 habitants)</w:t>
      </w:r>
      <w:r>
        <w:rPr>
          <w:b/>
        </w:rPr>
        <w:t xml:space="preserve">: </w:t>
      </w:r>
      <w:r w:rsidRPr="00B20E3B">
        <w:t>Hospital del Mar – Parc de Salut Mar (1), Hospital de la Santa Creu i Sant Pau (2), Hospital Universitari Vall d’Hebron (3), Hospital Clínic (4)</w:t>
      </w:r>
    </w:p>
    <w:p w:rsidR="00511F5C" w:rsidRPr="00B20E3B" w:rsidRDefault="00511F5C" w:rsidP="00511F5C">
      <w:pPr>
        <w:pStyle w:val="NormalWeb"/>
        <w:shd w:val="clear" w:color="auto" w:fill="FFFFFF" w:themeFill="background1"/>
        <w:spacing w:before="240" w:beforeAutospacing="0" w:after="0" w:afterAutospacing="0" w:line="480" w:lineRule="auto"/>
        <w:jc w:val="both"/>
        <w:textAlignment w:val="baseline"/>
        <w:rPr>
          <w:sz w:val="22"/>
          <w:szCs w:val="22"/>
        </w:rPr>
      </w:pPr>
      <w:r w:rsidRPr="00B20E3B">
        <w:rPr>
          <w:b/>
          <w:sz w:val="22"/>
          <w:szCs w:val="22"/>
        </w:rPr>
        <w:t>Barcelona south metropolitan region (1.444.589 habitants)</w:t>
      </w:r>
      <w:r>
        <w:rPr>
          <w:sz w:val="22"/>
          <w:szCs w:val="22"/>
        </w:rPr>
        <w:t xml:space="preserve">: </w:t>
      </w:r>
      <w:r w:rsidRPr="00B20E3B">
        <w:rPr>
          <w:sz w:val="22"/>
          <w:szCs w:val="22"/>
        </w:rPr>
        <w:t>Hospital de Bellvitge (5), Hospital Comarcal de l’Alt Penedès (16), Hospital d’Igualada (17), Hospital de Sant Joan Despí Moisès Broggi (7)</w:t>
      </w:r>
      <w:r>
        <w:rPr>
          <w:sz w:val="22"/>
          <w:szCs w:val="22"/>
        </w:rPr>
        <w:t>, C</w:t>
      </w:r>
      <w:r w:rsidRPr="00B20E3B">
        <w:rPr>
          <w:sz w:val="22"/>
          <w:szCs w:val="22"/>
        </w:rPr>
        <w:t>onsorci Sanitari Garraf (15)</w:t>
      </w:r>
    </w:p>
    <w:p w:rsidR="00511F5C" w:rsidRPr="00B20E3B" w:rsidRDefault="00511F5C" w:rsidP="00511F5C">
      <w:pPr>
        <w:pStyle w:val="NormalWeb"/>
        <w:shd w:val="clear" w:color="auto" w:fill="FFFFFF" w:themeFill="background1"/>
        <w:spacing w:before="240" w:beforeAutospacing="0" w:after="0" w:afterAutospacing="0" w:line="480" w:lineRule="auto"/>
        <w:jc w:val="both"/>
        <w:textAlignment w:val="baseline"/>
        <w:rPr>
          <w:sz w:val="22"/>
          <w:szCs w:val="22"/>
        </w:rPr>
      </w:pPr>
      <w:r w:rsidRPr="00B20E3B">
        <w:rPr>
          <w:b/>
          <w:sz w:val="22"/>
          <w:szCs w:val="22"/>
        </w:rPr>
        <w:t>Barcelona north metropolitan region (814.322 habitants)</w:t>
      </w:r>
      <w:r>
        <w:rPr>
          <w:sz w:val="22"/>
          <w:szCs w:val="22"/>
        </w:rPr>
        <w:t xml:space="preserve">: </w:t>
      </w:r>
      <w:r w:rsidRPr="00B20E3B">
        <w:rPr>
          <w:sz w:val="22"/>
          <w:szCs w:val="22"/>
        </w:rPr>
        <w:t>Hospital Germans Trias i Pujol (6), Hospital de Mataró (Consorci Sanitari del Maresme) (19)</w:t>
      </w:r>
    </w:p>
    <w:p w:rsidR="00511F5C" w:rsidRPr="00B20E3B" w:rsidRDefault="00511F5C" w:rsidP="00511F5C">
      <w:pPr>
        <w:pStyle w:val="NormalWeb"/>
        <w:shd w:val="clear" w:color="auto" w:fill="FFFFFF" w:themeFill="background1"/>
        <w:spacing w:before="240" w:beforeAutospacing="0" w:after="0" w:afterAutospacing="0" w:line="480" w:lineRule="auto"/>
        <w:jc w:val="both"/>
        <w:textAlignment w:val="baseline"/>
        <w:rPr>
          <w:sz w:val="22"/>
          <w:szCs w:val="22"/>
        </w:rPr>
      </w:pPr>
      <w:r w:rsidRPr="00B20E3B">
        <w:rPr>
          <w:b/>
          <w:sz w:val="22"/>
          <w:szCs w:val="22"/>
        </w:rPr>
        <w:t>Tarragona (775.734 habitants)</w:t>
      </w:r>
      <w:r>
        <w:rPr>
          <w:sz w:val="22"/>
          <w:szCs w:val="22"/>
        </w:rPr>
        <w:t xml:space="preserve">: </w:t>
      </w:r>
      <w:r w:rsidRPr="00B20E3B">
        <w:rPr>
          <w:sz w:val="22"/>
          <w:szCs w:val="22"/>
        </w:rPr>
        <w:t>Hospital Joan XXIII (13), Hospital de Tortosa Verge de la Cinta (14), Hospital Comarcal de Móra d’Ebre (28)</w:t>
      </w:r>
    </w:p>
    <w:p w:rsidR="00511F5C" w:rsidRPr="00B20E3B" w:rsidRDefault="00511F5C" w:rsidP="00511F5C">
      <w:pPr>
        <w:shd w:val="clear" w:color="auto" w:fill="FFFFFF" w:themeFill="background1"/>
        <w:spacing w:before="240" w:line="480" w:lineRule="auto"/>
        <w:jc w:val="both"/>
        <w:rPr>
          <w:b/>
        </w:rPr>
      </w:pPr>
      <w:r w:rsidRPr="00B20E3B">
        <w:rPr>
          <w:b/>
        </w:rPr>
        <w:t>Central Catalonia (277.377 habitants)</w:t>
      </w:r>
      <w:r>
        <w:rPr>
          <w:b/>
        </w:rPr>
        <w:t xml:space="preserve">: </w:t>
      </w:r>
      <w:r w:rsidRPr="00B20E3B">
        <w:t>Centre Hospitalari de Manresa – Fundació Althaia (10)</w:t>
      </w:r>
      <w:r w:rsidRPr="00B20E3B">
        <w:rPr>
          <w:b/>
        </w:rPr>
        <w:t xml:space="preserve">, </w:t>
      </w:r>
      <w:r w:rsidRPr="00B20E3B">
        <w:t>Hospital de la Cerdanya (25)</w:t>
      </w:r>
    </w:p>
    <w:p w:rsidR="00511F5C" w:rsidRPr="00B20E3B" w:rsidRDefault="00511F5C" w:rsidP="00511F5C">
      <w:pPr>
        <w:shd w:val="clear" w:color="auto" w:fill="FFFFFF" w:themeFill="background1"/>
        <w:spacing w:before="240" w:line="480" w:lineRule="auto"/>
        <w:jc w:val="both"/>
        <w:rPr>
          <w:b/>
        </w:rPr>
      </w:pPr>
      <w:r w:rsidRPr="00B20E3B">
        <w:rPr>
          <w:b/>
        </w:rPr>
        <w:t>Girona (718.901 habitants)</w:t>
      </w:r>
      <w:r>
        <w:rPr>
          <w:b/>
        </w:rPr>
        <w:t xml:space="preserve">: </w:t>
      </w:r>
      <w:r w:rsidRPr="00B20E3B">
        <w:t>Hospital Universitari de Girona Josep Trueta (12), Hospital de Palamós (21), Hospital de Figueres – Fundació Salut Empordà (22), Hospital d’Olot i Comarcal de la Garrotxa (23), Hospital de Campdevànol (24)</w:t>
      </w:r>
    </w:p>
    <w:p w:rsidR="00511F5C" w:rsidRPr="00B20E3B" w:rsidRDefault="00511F5C" w:rsidP="00511F5C">
      <w:pPr>
        <w:shd w:val="clear" w:color="auto" w:fill="FFFFFF" w:themeFill="background1"/>
        <w:spacing w:before="240" w:line="480" w:lineRule="auto"/>
        <w:jc w:val="both"/>
        <w:rPr>
          <w:b/>
        </w:rPr>
      </w:pPr>
      <w:r w:rsidRPr="00B20E3B">
        <w:rPr>
          <w:b/>
        </w:rPr>
        <w:t>Lleida (408.887 habitants)</w:t>
      </w:r>
      <w:r>
        <w:rPr>
          <w:b/>
        </w:rPr>
        <w:t xml:space="preserve">: </w:t>
      </w:r>
      <w:r w:rsidRPr="00B20E3B">
        <w:t>Hospital Universitari Arnau de Vilanova (12), Fundació Sant Hospital de la Seu d’Urgell (26), Hospital Comarcal del Pallars (27)</w:t>
      </w:r>
    </w:p>
    <w:p w:rsidR="00511F5C" w:rsidRPr="00B20E3B" w:rsidRDefault="00511F5C" w:rsidP="00511F5C">
      <w:pPr>
        <w:shd w:val="clear" w:color="auto" w:fill="FFFFFF" w:themeFill="background1"/>
        <w:spacing w:before="240" w:line="480" w:lineRule="auto"/>
        <w:jc w:val="both"/>
        <w:rPr>
          <w:b/>
        </w:rPr>
      </w:pPr>
      <w:r w:rsidRPr="00B20E3B">
        <w:rPr>
          <w:b/>
        </w:rPr>
        <w:t>Vallès (1.257.525 habitants)</w:t>
      </w:r>
      <w:r>
        <w:rPr>
          <w:b/>
        </w:rPr>
        <w:t xml:space="preserve">: </w:t>
      </w:r>
      <w:r w:rsidRPr="00B20E3B">
        <w:t>Consorci Corporació Sanitària Parc Taulí de Sabadell (8), Hospital Universitari Mútua Terrassa (9), Hospital General de Granollers (18), Consorci Hospitalari de Vic (20)</w:t>
      </w:r>
    </w:p>
    <w:p w:rsidR="00511F5C" w:rsidRPr="00B20E3B" w:rsidRDefault="00511F5C" w:rsidP="00511F5C">
      <w:pPr>
        <w:pStyle w:val="NormalWeb"/>
        <w:shd w:val="clear" w:color="auto" w:fill="FFFFFF" w:themeFill="background1"/>
        <w:spacing w:before="240" w:beforeAutospacing="0" w:after="0" w:afterAutospacing="0" w:line="480" w:lineRule="auto"/>
        <w:jc w:val="both"/>
        <w:textAlignment w:val="baseline"/>
        <w:rPr>
          <w:sz w:val="22"/>
          <w:szCs w:val="22"/>
        </w:rPr>
      </w:pPr>
    </w:p>
    <w:p w:rsidR="00BE5ED8" w:rsidRDefault="00BE5ED8">
      <w:pPr>
        <w:rPr>
          <w:b/>
        </w:rPr>
      </w:pPr>
      <w:r>
        <w:rPr>
          <w:b/>
        </w:rPr>
        <w:br w:type="page"/>
      </w:r>
    </w:p>
    <w:p w:rsidR="00BE5ED8" w:rsidRPr="00BE5ED8" w:rsidRDefault="00520184" w:rsidP="00BE5ED8">
      <w:pPr>
        <w:widowControl w:val="0"/>
        <w:autoSpaceDE w:val="0"/>
        <w:autoSpaceDN w:val="0"/>
        <w:adjustRightInd w:val="0"/>
        <w:spacing w:after="240" w:line="480" w:lineRule="auto"/>
        <w:ind w:left="640" w:hanging="640"/>
        <w:jc w:val="both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Supplemental </w:t>
      </w:r>
      <w:r w:rsidR="00BE5ED8" w:rsidRPr="00BE5ED8">
        <w:rPr>
          <w:b/>
          <w:bCs/>
          <w:lang w:val="en-US"/>
        </w:rPr>
        <w:t>Table 1. Stroke Code activations and baseline characteristics</w:t>
      </w:r>
    </w:p>
    <w:tbl>
      <w:tblPr>
        <w:tblStyle w:val="Tablaconcuadrcula"/>
        <w:tblW w:w="963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706"/>
        <w:gridCol w:w="1554"/>
        <w:gridCol w:w="1276"/>
        <w:gridCol w:w="850"/>
      </w:tblGrid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CF07F5">
              <w:rPr>
                <w:b/>
                <w:sz w:val="22"/>
                <w:szCs w:val="22"/>
                <w:lang w:val="en-US"/>
              </w:rPr>
              <w:t>Control period</w:t>
            </w:r>
          </w:p>
        </w:tc>
        <w:tc>
          <w:tcPr>
            <w:tcW w:w="1554" w:type="dxa"/>
          </w:tcPr>
          <w:p w:rsidR="00BE5ED8" w:rsidRPr="00CF07F5" w:rsidRDefault="00BE5ED8" w:rsidP="00DB1683">
            <w:pPr>
              <w:tabs>
                <w:tab w:val="left" w:pos="467"/>
              </w:tabs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CF07F5">
              <w:rPr>
                <w:b/>
                <w:sz w:val="22"/>
                <w:szCs w:val="22"/>
                <w:lang w:val="en-US"/>
              </w:rPr>
              <w:t>Pandemic</w:t>
            </w: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CF07F5">
              <w:rPr>
                <w:b/>
                <w:bCs/>
                <w:sz w:val="22"/>
                <w:szCs w:val="22"/>
                <w:lang w:val="en-US"/>
              </w:rPr>
              <w:t xml:space="preserve">Relative </w:t>
            </w:r>
            <w:r w:rsidRPr="00CF07F5">
              <w:rPr>
                <w:b/>
                <w:sz w:val="22"/>
                <w:szCs w:val="22"/>
                <w:lang w:val="en-US"/>
              </w:rPr>
              <w:t>Difference</w:t>
            </w: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CF07F5">
              <w:rPr>
                <w:b/>
                <w:sz w:val="22"/>
                <w:szCs w:val="22"/>
                <w:lang w:val="en-US"/>
              </w:rPr>
              <w:t>P value</w:t>
            </w:r>
          </w:p>
        </w:tc>
      </w:tr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CF07F5">
              <w:rPr>
                <w:b/>
                <w:sz w:val="22"/>
                <w:szCs w:val="22"/>
                <w:lang w:val="en-US"/>
              </w:rPr>
              <w:t xml:space="preserve">Number of Stroke </w:t>
            </w:r>
            <w:r w:rsidRPr="00CF07F5">
              <w:rPr>
                <w:b/>
                <w:bCs/>
                <w:sz w:val="22"/>
                <w:szCs w:val="22"/>
                <w:lang w:val="en-US"/>
              </w:rPr>
              <w:t>Codes</w:t>
            </w: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1033</w:t>
            </w:r>
          </w:p>
        </w:tc>
        <w:tc>
          <w:tcPr>
            <w:tcW w:w="1554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805</w:t>
            </w: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-22%</w:t>
            </w: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CF07F5">
              <w:rPr>
                <w:b/>
                <w:sz w:val="22"/>
                <w:szCs w:val="22"/>
                <w:lang w:val="en-US"/>
              </w:rPr>
              <w:t>Age</w:t>
            </w: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71.6</w:t>
            </w:r>
            <w:r w:rsidRPr="00CF07F5">
              <w:rPr>
                <w:rFonts w:eastAsia="Symbol"/>
                <w:sz w:val="22"/>
                <w:szCs w:val="22"/>
                <w:lang w:val="en-US"/>
              </w:rPr>
              <w:t>±</w:t>
            </w:r>
            <w:r w:rsidRPr="00CF07F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54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71.2</w:t>
            </w:r>
            <w:r w:rsidRPr="00CF07F5">
              <w:rPr>
                <w:rFonts w:eastAsia="Symbol"/>
                <w:sz w:val="22"/>
                <w:szCs w:val="22"/>
                <w:lang w:val="en-US"/>
              </w:rPr>
              <w:t>±</w:t>
            </w:r>
            <w:r w:rsidRPr="00CF07F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0.383</w:t>
            </w:r>
          </w:p>
        </w:tc>
      </w:tr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CF07F5">
              <w:rPr>
                <w:b/>
                <w:sz w:val="22"/>
                <w:szCs w:val="22"/>
                <w:lang w:val="en-US"/>
              </w:rPr>
              <w:t>Gender</w:t>
            </w:r>
            <w:r w:rsidRPr="00CF07F5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CF07F5">
              <w:rPr>
                <w:sz w:val="22"/>
                <w:szCs w:val="22"/>
                <w:lang w:val="en-US"/>
              </w:rPr>
              <w:t>women, (% of stroke code activations)</w:t>
            </w: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480 (46%)</w:t>
            </w:r>
          </w:p>
        </w:tc>
        <w:tc>
          <w:tcPr>
            <w:tcW w:w="1554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334 (41%)</w:t>
            </w: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-5%</w:t>
            </w: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0.033</w:t>
            </w:r>
          </w:p>
        </w:tc>
      </w:tr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F07F5">
              <w:rPr>
                <w:b/>
                <w:bCs/>
                <w:sz w:val="22"/>
                <w:szCs w:val="22"/>
                <w:lang w:val="en-US"/>
              </w:rPr>
              <w:t>Unknown time from onset or wake-up</w:t>
            </w:r>
          </w:p>
          <w:p w:rsidR="00BE5ED8" w:rsidRPr="00CF07F5" w:rsidRDefault="00BE5ED8" w:rsidP="00DB1683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(% of stroke code activations)</w:t>
            </w: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337 (33%)</w:t>
            </w:r>
          </w:p>
        </w:tc>
        <w:tc>
          <w:tcPr>
            <w:tcW w:w="1554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336 (42%)</w:t>
            </w: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+9%</w:t>
            </w: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&lt;0.001</w:t>
            </w:r>
          </w:p>
        </w:tc>
      </w:tr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CF07F5">
              <w:rPr>
                <w:b/>
                <w:bCs/>
                <w:sz w:val="22"/>
                <w:szCs w:val="22"/>
                <w:lang w:val="en-US"/>
              </w:rPr>
              <w:t>Diagnosis</w:t>
            </w: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&lt;0.001</w:t>
            </w:r>
          </w:p>
        </w:tc>
      </w:tr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 xml:space="preserve">   Ischemic</w:t>
            </w: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663</w:t>
            </w:r>
          </w:p>
        </w:tc>
        <w:tc>
          <w:tcPr>
            <w:tcW w:w="1554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503</w:t>
            </w: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-24%</w:t>
            </w: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 xml:space="preserve">   ICH</w:t>
            </w: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125</w:t>
            </w:r>
          </w:p>
        </w:tc>
        <w:tc>
          <w:tcPr>
            <w:tcW w:w="1554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156</w:t>
            </w: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+24%</w:t>
            </w: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 xml:space="preserve">   TIA</w:t>
            </w: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554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-12%</w:t>
            </w: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 xml:space="preserve">   Mimic</w:t>
            </w: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198</w:t>
            </w:r>
          </w:p>
        </w:tc>
        <w:tc>
          <w:tcPr>
            <w:tcW w:w="1554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-47%</w:t>
            </w: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F07F5">
              <w:rPr>
                <w:b/>
                <w:bCs/>
                <w:sz w:val="22"/>
                <w:szCs w:val="22"/>
                <w:lang w:val="en-US"/>
              </w:rPr>
              <w:t>Source of Stroke Code activation</w:t>
            </w: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&lt;0.001</w:t>
            </w:r>
          </w:p>
        </w:tc>
      </w:tr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 xml:space="preserve">  EMS with pre-notification</w:t>
            </w: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547</w:t>
            </w:r>
          </w:p>
        </w:tc>
        <w:tc>
          <w:tcPr>
            <w:tcW w:w="1554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406</w:t>
            </w: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-26%</w:t>
            </w: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 xml:space="preserve">  EMS without pre-notification</w:t>
            </w: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117</w:t>
            </w:r>
          </w:p>
        </w:tc>
        <w:tc>
          <w:tcPr>
            <w:tcW w:w="1554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159</w:t>
            </w: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+36%</w:t>
            </w: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 xml:space="preserve">  ED of no stroke-ready centers</w:t>
            </w: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554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-38%</w:t>
            </w: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 xml:space="preserve">  ED of stroke-ready centers (private transport)</w:t>
            </w: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175</w:t>
            </w:r>
          </w:p>
        </w:tc>
        <w:tc>
          <w:tcPr>
            <w:tcW w:w="1554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-39%</w:t>
            </w: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 xml:space="preserve">  In-hospital (previously admitted)</w:t>
            </w: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554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-17%</w:t>
            </w: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CF07F5">
              <w:rPr>
                <w:b/>
                <w:sz w:val="22"/>
                <w:szCs w:val="22"/>
                <w:lang w:val="en-US"/>
              </w:rPr>
              <w:t>Clinical characteristics</w:t>
            </w: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 xml:space="preserve">   NIHSS</w:t>
            </w: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7 [4-16]</w:t>
            </w:r>
          </w:p>
        </w:tc>
        <w:tc>
          <w:tcPr>
            <w:tcW w:w="1554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8 [4-17]</w:t>
            </w: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0.083</w:t>
            </w:r>
          </w:p>
        </w:tc>
      </w:tr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 xml:space="preserve">   NIHSS in ischemic stroke</w:t>
            </w: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7 [3-14]</w:t>
            </w:r>
          </w:p>
        </w:tc>
        <w:tc>
          <w:tcPr>
            <w:tcW w:w="1554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8 [3-16]</w:t>
            </w: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0.307</w:t>
            </w:r>
          </w:p>
        </w:tc>
      </w:tr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 xml:space="preserve">   NIHSS in ICH</w:t>
            </w: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11 [6-21]</w:t>
            </w:r>
          </w:p>
        </w:tc>
        <w:tc>
          <w:tcPr>
            <w:tcW w:w="1554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14 [5-21]</w:t>
            </w: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0.913</w:t>
            </w:r>
          </w:p>
        </w:tc>
      </w:tr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 xml:space="preserve">   Minor stroke (NIHSS 0-5) </w:t>
            </w:r>
          </w:p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 xml:space="preserve">   (% of ischemic stroke)</w:t>
            </w: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305 (46%)</w:t>
            </w:r>
          </w:p>
        </w:tc>
        <w:tc>
          <w:tcPr>
            <w:tcW w:w="1554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234 (47%)</w:t>
            </w: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+1%</w:t>
            </w: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0.831</w:t>
            </w:r>
          </w:p>
        </w:tc>
      </w:tr>
      <w:tr w:rsidR="00BE5ED8" w:rsidRPr="00CF07F5" w:rsidTr="00DB1683">
        <w:trPr>
          <w:trHeight w:val="340"/>
          <w:jc w:val="center"/>
        </w:trPr>
        <w:tc>
          <w:tcPr>
            <w:tcW w:w="4248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 xml:space="preserve">   LVO (% of ischemic stroke)</w:t>
            </w:r>
          </w:p>
        </w:tc>
        <w:tc>
          <w:tcPr>
            <w:tcW w:w="170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155 (23%)</w:t>
            </w:r>
          </w:p>
        </w:tc>
        <w:tc>
          <w:tcPr>
            <w:tcW w:w="1554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114 (23%)</w:t>
            </w:r>
          </w:p>
        </w:tc>
        <w:tc>
          <w:tcPr>
            <w:tcW w:w="1276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BE5ED8" w:rsidRPr="00CF07F5" w:rsidRDefault="00BE5ED8" w:rsidP="00DB16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F07F5">
              <w:rPr>
                <w:sz w:val="22"/>
                <w:szCs w:val="22"/>
                <w:lang w:val="en-US"/>
              </w:rPr>
              <w:t>0.774</w:t>
            </w:r>
          </w:p>
        </w:tc>
      </w:tr>
    </w:tbl>
    <w:p w:rsidR="00BE5ED8" w:rsidRDefault="00BE5ED8" w:rsidP="00BE5ED8">
      <w:pPr>
        <w:widowControl w:val="0"/>
        <w:autoSpaceDE w:val="0"/>
        <w:autoSpaceDN w:val="0"/>
        <w:adjustRightInd w:val="0"/>
        <w:spacing w:after="240" w:line="480" w:lineRule="auto"/>
        <w:ind w:left="640" w:hanging="640"/>
        <w:jc w:val="both"/>
        <w:rPr>
          <w:b/>
          <w:sz w:val="22"/>
          <w:szCs w:val="22"/>
          <w:lang w:val="en-US"/>
        </w:rPr>
      </w:pPr>
    </w:p>
    <w:p w:rsidR="002D3D5F" w:rsidRDefault="00520184" w:rsidP="0005765E">
      <w:pPr>
        <w:spacing w:after="240" w:line="480" w:lineRule="auto"/>
        <w:jc w:val="both"/>
        <w:rPr>
          <w:lang w:val="en-US"/>
        </w:rPr>
      </w:pPr>
      <w:r>
        <w:rPr>
          <w:b/>
          <w:sz w:val="22"/>
          <w:szCs w:val="22"/>
          <w:lang w:val="en-US"/>
        </w:rPr>
        <w:t xml:space="preserve">Legend: </w:t>
      </w:r>
      <w:r w:rsidRPr="00E14F47">
        <w:rPr>
          <w:lang w:val="en-US"/>
        </w:rPr>
        <w:t xml:space="preserve">Data are presented as n (%) for categorical variables and as mean ± SD or median [interquartile range] for continuous variables. ICH: intracranial hemorrhage; TIA: transient ischemic attack; EMS: emergency medical system; ED: emergency department; NIHSS: National Institutes of Health Stroke Scale; LVO: large vessel occlusion. </w:t>
      </w:r>
    </w:p>
    <w:p w:rsidR="00C6069E" w:rsidRDefault="00C6069E" w:rsidP="00C6069E">
      <w:pPr>
        <w:spacing w:line="360" w:lineRule="auto"/>
        <w:jc w:val="both"/>
        <w:rPr>
          <w:b/>
          <w:color w:val="000000" w:themeColor="text1"/>
          <w:lang w:val="en-US"/>
        </w:rPr>
      </w:pPr>
      <w:r w:rsidRPr="00C6069E">
        <w:rPr>
          <w:b/>
          <w:lang w:val="en-US"/>
        </w:rPr>
        <w:lastRenderedPageBreak/>
        <w:t xml:space="preserve">Supplemental Table 2. </w:t>
      </w:r>
      <w:r w:rsidRPr="00C6069E">
        <w:rPr>
          <w:b/>
          <w:color w:val="000000" w:themeColor="text1"/>
          <w:lang w:val="en-US"/>
        </w:rPr>
        <w:t>Clinical characteristics of 90-days assessed patients depending on study period</w:t>
      </w:r>
    </w:p>
    <w:p w:rsidR="00C6069E" w:rsidRDefault="00C6069E" w:rsidP="00C6069E">
      <w:pPr>
        <w:spacing w:line="360" w:lineRule="auto"/>
        <w:jc w:val="both"/>
        <w:rPr>
          <w:b/>
          <w:color w:val="000000" w:themeColor="text1"/>
          <w:lang w:val="en-US"/>
        </w:rPr>
      </w:pPr>
    </w:p>
    <w:tbl>
      <w:tblPr>
        <w:tblStyle w:val="Tablaconcuadrcula"/>
        <w:tblW w:w="8693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984"/>
        <w:gridCol w:w="1997"/>
        <w:gridCol w:w="884"/>
      </w:tblGrid>
      <w:tr w:rsidR="00C6069E" w:rsidRPr="00CF07F5" w:rsidTr="00C6069E">
        <w:trPr>
          <w:trHeight w:val="343"/>
          <w:jc w:val="center"/>
        </w:trPr>
        <w:tc>
          <w:tcPr>
            <w:tcW w:w="3828" w:type="dxa"/>
          </w:tcPr>
          <w:p w:rsidR="00C6069E" w:rsidRPr="00CF07F5" w:rsidRDefault="00C6069E" w:rsidP="0097061E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6069E" w:rsidRDefault="00C6069E" w:rsidP="00C6069E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F07F5">
              <w:rPr>
                <w:b/>
                <w:sz w:val="22"/>
                <w:szCs w:val="22"/>
                <w:lang w:val="en-US"/>
              </w:rPr>
              <w:t>Control period</w:t>
            </w:r>
          </w:p>
          <w:p w:rsidR="00C6069E" w:rsidRPr="00CF07F5" w:rsidRDefault="00C6069E" w:rsidP="00C6069E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n=334/1033</w:t>
            </w:r>
          </w:p>
        </w:tc>
        <w:tc>
          <w:tcPr>
            <w:tcW w:w="1997" w:type="dxa"/>
            <w:vAlign w:val="center"/>
          </w:tcPr>
          <w:p w:rsidR="00C6069E" w:rsidRDefault="00C6069E" w:rsidP="00C6069E">
            <w:pPr>
              <w:tabs>
                <w:tab w:val="left" w:pos="467"/>
              </w:tabs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F07F5">
              <w:rPr>
                <w:b/>
                <w:sz w:val="22"/>
                <w:szCs w:val="22"/>
                <w:lang w:val="en-US"/>
              </w:rPr>
              <w:t>Pandemic</w:t>
            </w:r>
          </w:p>
          <w:p w:rsidR="00C6069E" w:rsidRPr="00CF07F5" w:rsidRDefault="00C6069E" w:rsidP="00C6069E">
            <w:pPr>
              <w:tabs>
                <w:tab w:val="left" w:pos="467"/>
              </w:tabs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n=362/805</w:t>
            </w:r>
          </w:p>
        </w:tc>
        <w:tc>
          <w:tcPr>
            <w:tcW w:w="884" w:type="dxa"/>
            <w:vAlign w:val="center"/>
          </w:tcPr>
          <w:p w:rsidR="00C6069E" w:rsidRPr="00CF07F5" w:rsidRDefault="00C6069E" w:rsidP="00C6069E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 </w:t>
            </w:r>
            <w:r w:rsidRPr="00CF07F5">
              <w:rPr>
                <w:b/>
                <w:sz w:val="22"/>
                <w:szCs w:val="22"/>
                <w:lang w:val="en-US"/>
              </w:rPr>
              <w:t>value</w:t>
            </w:r>
          </w:p>
        </w:tc>
      </w:tr>
      <w:tr w:rsidR="00C6069E" w:rsidRPr="00CF07F5" w:rsidTr="00C6069E">
        <w:trPr>
          <w:trHeight w:val="343"/>
          <w:jc w:val="center"/>
        </w:trPr>
        <w:tc>
          <w:tcPr>
            <w:tcW w:w="3828" w:type="dxa"/>
            <w:vAlign w:val="center"/>
          </w:tcPr>
          <w:p w:rsidR="00C6069E" w:rsidRPr="008C07EE" w:rsidRDefault="00C6069E" w:rsidP="00C6069E">
            <w:pPr>
              <w:spacing w:line="360" w:lineRule="auto"/>
              <w:rPr>
                <w:rFonts w:ascii="Times" w:hAnsi="Times" w:cs="Calibri"/>
                <w:b/>
                <w:color w:val="000000"/>
              </w:rPr>
            </w:pPr>
            <w:r w:rsidRPr="008C07EE">
              <w:rPr>
                <w:rFonts w:ascii="Times" w:hAnsi="Times" w:cs="Calibri"/>
                <w:b/>
                <w:color w:val="000000"/>
                <w:bdr w:val="none" w:sz="0" w:space="0" w:color="auto" w:frame="1"/>
                <w:lang w:val="en-US"/>
              </w:rPr>
              <w:t>Sex, women</w:t>
            </w:r>
          </w:p>
        </w:tc>
        <w:tc>
          <w:tcPr>
            <w:tcW w:w="1984" w:type="dxa"/>
            <w:vAlign w:val="center"/>
          </w:tcPr>
          <w:p w:rsidR="00C6069E" w:rsidRPr="008C07E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8C07EE"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152 (45.5%)</w:t>
            </w:r>
          </w:p>
        </w:tc>
        <w:tc>
          <w:tcPr>
            <w:tcW w:w="1997" w:type="dxa"/>
            <w:vAlign w:val="center"/>
          </w:tcPr>
          <w:p w:rsidR="00C6069E" w:rsidRPr="008C07E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8C07EE"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146 (40.3%)</w:t>
            </w:r>
          </w:p>
        </w:tc>
        <w:tc>
          <w:tcPr>
            <w:tcW w:w="884" w:type="dxa"/>
            <w:vAlign w:val="center"/>
          </w:tcPr>
          <w:p w:rsidR="00C6069E" w:rsidRPr="008C07E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8C07EE"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0.192</w:t>
            </w:r>
          </w:p>
        </w:tc>
      </w:tr>
      <w:tr w:rsidR="00C6069E" w:rsidRPr="00CF07F5" w:rsidTr="00C6069E">
        <w:trPr>
          <w:trHeight w:val="343"/>
          <w:jc w:val="center"/>
        </w:trPr>
        <w:tc>
          <w:tcPr>
            <w:tcW w:w="3828" w:type="dxa"/>
            <w:vAlign w:val="center"/>
          </w:tcPr>
          <w:p w:rsidR="00C6069E" w:rsidRPr="008C07EE" w:rsidRDefault="00C6069E" w:rsidP="00C6069E">
            <w:pPr>
              <w:spacing w:line="360" w:lineRule="auto"/>
              <w:rPr>
                <w:rFonts w:ascii="Times" w:hAnsi="Times" w:cs="Calibri"/>
                <w:b/>
                <w:color w:val="000000"/>
              </w:rPr>
            </w:pPr>
            <w:r w:rsidRPr="008C07EE">
              <w:rPr>
                <w:rFonts w:ascii="Times" w:hAnsi="Times" w:cs="Calibri"/>
                <w:b/>
                <w:color w:val="000000"/>
                <w:bdr w:val="none" w:sz="0" w:space="0" w:color="auto" w:frame="1"/>
                <w:lang w:val="en-US"/>
              </w:rPr>
              <w:t>Age </w:t>
            </w:r>
          </w:p>
        </w:tc>
        <w:tc>
          <w:tcPr>
            <w:tcW w:w="1984" w:type="dxa"/>
            <w:vAlign w:val="center"/>
          </w:tcPr>
          <w:p w:rsidR="00C6069E" w:rsidRPr="008C07E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8C07EE"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76 [65.8 – 82]</w:t>
            </w:r>
          </w:p>
        </w:tc>
        <w:tc>
          <w:tcPr>
            <w:tcW w:w="1997" w:type="dxa"/>
            <w:vAlign w:val="center"/>
          </w:tcPr>
          <w:p w:rsidR="00C6069E" w:rsidRPr="008C07E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8C07EE"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76 [65 – 83]</w:t>
            </w:r>
          </w:p>
        </w:tc>
        <w:tc>
          <w:tcPr>
            <w:tcW w:w="884" w:type="dxa"/>
            <w:vAlign w:val="center"/>
          </w:tcPr>
          <w:p w:rsidR="00C6069E" w:rsidRPr="008C07E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8C07EE"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0.790</w:t>
            </w:r>
          </w:p>
        </w:tc>
      </w:tr>
      <w:tr w:rsidR="00C6069E" w:rsidRPr="00CF07F5" w:rsidTr="00C6069E">
        <w:trPr>
          <w:trHeight w:val="343"/>
          <w:jc w:val="center"/>
        </w:trPr>
        <w:tc>
          <w:tcPr>
            <w:tcW w:w="3828" w:type="dxa"/>
            <w:vAlign w:val="center"/>
          </w:tcPr>
          <w:p w:rsidR="00C6069E" w:rsidRPr="008C07EE" w:rsidRDefault="00C6069E" w:rsidP="00C6069E">
            <w:pPr>
              <w:spacing w:line="360" w:lineRule="auto"/>
              <w:rPr>
                <w:rFonts w:ascii="Times" w:hAnsi="Times" w:cs="Calibri"/>
                <w:b/>
                <w:color w:val="000000"/>
              </w:rPr>
            </w:pPr>
            <w:r w:rsidRPr="008C07EE">
              <w:rPr>
                <w:rFonts w:ascii="Times" w:hAnsi="Times" w:cs="Calibri"/>
                <w:b/>
                <w:color w:val="000000"/>
                <w:bdr w:val="none" w:sz="0" w:space="0" w:color="auto" w:frame="1"/>
                <w:lang w:val="en-US"/>
              </w:rPr>
              <w:t>Baseline mRS </w:t>
            </w:r>
          </w:p>
        </w:tc>
        <w:tc>
          <w:tcPr>
            <w:tcW w:w="1984" w:type="dxa"/>
            <w:vAlign w:val="center"/>
          </w:tcPr>
          <w:p w:rsidR="00C6069E" w:rsidRPr="008C07E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8C07EE"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0 [0 – 2]</w:t>
            </w:r>
          </w:p>
        </w:tc>
        <w:tc>
          <w:tcPr>
            <w:tcW w:w="1997" w:type="dxa"/>
            <w:vAlign w:val="center"/>
          </w:tcPr>
          <w:p w:rsidR="00C6069E" w:rsidRPr="008C07E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8C07EE"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0 [0 – 1]</w:t>
            </w:r>
          </w:p>
        </w:tc>
        <w:tc>
          <w:tcPr>
            <w:tcW w:w="884" w:type="dxa"/>
            <w:vAlign w:val="center"/>
          </w:tcPr>
          <w:p w:rsidR="00C6069E" w:rsidRPr="008C07E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8C07EE"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0.065</w:t>
            </w:r>
          </w:p>
        </w:tc>
      </w:tr>
      <w:tr w:rsidR="00C6069E" w:rsidRPr="00CF07F5" w:rsidTr="00C6069E">
        <w:trPr>
          <w:trHeight w:val="343"/>
          <w:jc w:val="center"/>
        </w:trPr>
        <w:tc>
          <w:tcPr>
            <w:tcW w:w="3828" w:type="dxa"/>
            <w:vAlign w:val="center"/>
          </w:tcPr>
          <w:p w:rsidR="00C6069E" w:rsidRPr="008C07EE" w:rsidRDefault="00C6069E" w:rsidP="00C6069E">
            <w:pPr>
              <w:spacing w:line="360" w:lineRule="auto"/>
              <w:rPr>
                <w:rFonts w:ascii="Times" w:hAnsi="Times" w:cs="Calibri"/>
                <w:b/>
                <w:color w:val="000000"/>
              </w:rPr>
            </w:pPr>
            <w:r w:rsidRPr="008C07EE">
              <w:rPr>
                <w:rFonts w:ascii="Times" w:hAnsi="Times" w:cs="Calibri"/>
                <w:b/>
                <w:color w:val="000000"/>
                <w:bdr w:val="none" w:sz="0" w:space="0" w:color="auto" w:frame="1"/>
                <w:lang w:val="en-US"/>
              </w:rPr>
              <w:t>Onset to arrival</w:t>
            </w:r>
            <w:r>
              <w:rPr>
                <w:rFonts w:ascii="Times" w:hAnsi="Times" w:cs="Calibri"/>
                <w:b/>
                <w:color w:val="000000"/>
                <w:bdr w:val="none" w:sz="0" w:space="0" w:color="auto" w:frame="1"/>
                <w:lang w:val="en-US"/>
              </w:rPr>
              <w:t xml:space="preserve"> (</w:t>
            </w:r>
            <w:r w:rsidRPr="008C07EE">
              <w:rPr>
                <w:rFonts w:ascii="Times" w:hAnsi="Times" w:cs="Calibri"/>
                <w:color w:val="000000"/>
                <w:bdr w:val="none" w:sz="0" w:space="0" w:color="auto" w:frame="1"/>
                <w:lang w:val="en-US"/>
              </w:rPr>
              <w:t>min</w:t>
            </w:r>
            <w:r>
              <w:rPr>
                <w:rFonts w:ascii="Times" w:hAnsi="Times" w:cs="Calibri"/>
                <w:color w:val="000000"/>
                <w:bdr w:val="none" w:sz="0" w:space="0" w:color="auto" w:frame="1"/>
                <w:lang w:val="en-US"/>
              </w:rPr>
              <w:t>utes)</w:t>
            </w:r>
          </w:p>
        </w:tc>
        <w:tc>
          <w:tcPr>
            <w:tcW w:w="1984" w:type="dxa"/>
            <w:vAlign w:val="center"/>
          </w:tcPr>
          <w:p w:rsidR="00C6069E" w:rsidRPr="008C07E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8C07EE"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43 [18 – 143]</w:t>
            </w:r>
          </w:p>
        </w:tc>
        <w:tc>
          <w:tcPr>
            <w:tcW w:w="1997" w:type="dxa"/>
            <w:vAlign w:val="center"/>
          </w:tcPr>
          <w:p w:rsidR="00C6069E" w:rsidRPr="008C07E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8C07EE"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150 [72.7 – 510]</w:t>
            </w:r>
          </w:p>
        </w:tc>
        <w:tc>
          <w:tcPr>
            <w:tcW w:w="884" w:type="dxa"/>
            <w:vAlign w:val="center"/>
          </w:tcPr>
          <w:p w:rsidR="00C6069E" w:rsidRPr="008C07E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8C07EE">
              <w:rPr>
                <w:rFonts w:ascii="Times" w:hAnsi="Times" w:cs="Calibri"/>
                <w:color w:val="000000"/>
                <w:sz w:val="22"/>
                <w:szCs w:val="22"/>
              </w:rPr>
              <w:t>&lt;0.0</w:t>
            </w:r>
            <w:r w:rsidR="00BD2981">
              <w:rPr>
                <w:rFonts w:ascii="Times" w:hAnsi="Times" w:cs="Calibri"/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  <w:r w:rsidRPr="008C07EE">
              <w:rPr>
                <w:rFonts w:ascii="Times" w:hAnsi="Times" w:cs="Calibri"/>
                <w:color w:val="000000"/>
                <w:sz w:val="22"/>
                <w:szCs w:val="22"/>
              </w:rPr>
              <w:t>1</w:t>
            </w:r>
          </w:p>
        </w:tc>
      </w:tr>
      <w:tr w:rsidR="00C6069E" w:rsidRPr="00CF07F5" w:rsidTr="00C6069E">
        <w:trPr>
          <w:trHeight w:val="343"/>
          <w:jc w:val="center"/>
        </w:trPr>
        <w:tc>
          <w:tcPr>
            <w:tcW w:w="3828" w:type="dxa"/>
            <w:vAlign w:val="center"/>
          </w:tcPr>
          <w:p w:rsidR="00C6069E" w:rsidRPr="008C07EE" w:rsidRDefault="00C6069E" w:rsidP="00C6069E">
            <w:pPr>
              <w:spacing w:line="360" w:lineRule="auto"/>
              <w:rPr>
                <w:rFonts w:ascii="Times" w:hAnsi="Times" w:cs="Calibri"/>
                <w:b/>
                <w:color w:val="000000"/>
              </w:rPr>
            </w:pPr>
            <w:r w:rsidRPr="008C07EE">
              <w:rPr>
                <w:rFonts w:ascii="Times" w:hAnsi="Times" w:cs="Calibri"/>
                <w:b/>
                <w:color w:val="000000"/>
                <w:bdr w:val="none" w:sz="0" w:space="0" w:color="auto" w:frame="1"/>
                <w:lang w:val="en-US"/>
              </w:rPr>
              <w:t>NIHSS at arrival </w:t>
            </w:r>
          </w:p>
        </w:tc>
        <w:tc>
          <w:tcPr>
            <w:tcW w:w="1984" w:type="dxa"/>
            <w:vAlign w:val="center"/>
          </w:tcPr>
          <w:p w:rsidR="00C6069E" w:rsidRPr="008C07E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8C07EE"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11 [6 – 19]</w:t>
            </w:r>
          </w:p>
        </w:tc>
        <w:tc>
          <w:tcPr>
            <w:tcW w:w="1997" w:type="dxa"/>
            <w:vAlign w:val="center"/>
          </w:tcPr>
          <w:p w:rsidR="00C6069E" w:rsidRPr="008C07E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8C07EE"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13 [8 – 19]</w:t>
            </w:r>
          </w:p>
        </w:tc>
        <w:tc>
          <w:tcPr>
            <w:tcW w:w="884" w:type="dxa"/>
            <w:vAlign w:val="center"/>
          </w:tcPr>
          <w:p w:rsidR="00C6069E" w:rsidRPr="008C07E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8C07EE">
              <w:rPr>
                <w:rFonts w:ascii="Times" w:hAnsi="Times" w:cs="Calibri"/>
                <w:color w:val="000000"/>
                <w:sz w:val="22"/>
                <w:szCs w:val="22"/>
              </w:rPr>
              <w:t>0.061</w:t>
            </w:r>
          </w:p>
        </w:tc>
      </w:tr>
      <w:tr w:rsidR="00C6069E" w:rsidRPr="00CF07F5" w:rsidTr="00C6069E">
        <w:trPr>
          <w:trHeight w:val="343"/>
          <w:jc w:val="center"/>
        </w:trPr>
        <w:tc>
          <w:tcPr>
            <w:tcW w:w="3828" w:type="dxa"/>
            <w:vAlign w:val="center"/>
          </w:tcPr>
          <w:p w:rsidR="00C6069E" w:rsidRPr="008C07EE" w:rsidRDefault="00C6069E" w:rsidP="00C6069E">
            <w:pPr>
              <w:spacing w:line="360" w:lineRule="auto"/>
              <w:rPr>
                <w:rFonts w:ascii="Times" w:hAnsi="Times" w:cs="Calibri"/>
                <w:b/>
                <w:color w:val="000000"/>
              </w:rPr>
            </w:pPr>
            <w:r w:rsidRPr="008C07EE">
              <w:rPr>
                <w:rFonts w:ascii="Times" w:hAnsi="Times" w:cs="Calibri"/>
                <w:b/>
                <w:color w:val="000000"/>
                <w:bdr w:val="none" w:sz="0" w:space="0" w:color="auto" w:frame="1"/>
                <w:lang w:val="en-US"/>
              </w:rPr>
              <w:t>LVO</w:t>
            </w:r>
          </w:p>
        </w:tc>
        <w:tc>
          <w:tcPr>
            <w:tcW w:w="1984" w:type="dxa"/>
            <w:vAlign w:val="center"/>
          </w:tcPr>
          <w:p w:rsidR="00C6069E" w:rsidRPr="008C07E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8C07EE"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118 (42.4%)</w:t>
            </w:r>
          </w:p>
        </w:tc>
        <w:tc>
          <w:tcPr>
            <w:tcW w:w="1997" w:type="dxa"/>
            <w:vAlign w:val="center"/>
          </w:tcPr>
          <w:p w:rsidR="00C6069E" w:rsidRPr="008C07E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8C07EE"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95 (34.4%)</w:t>
            </w:r>
          </w:p>
        </w:tc>
        <w:tc>
          <w:tcPr>
            <w:tcW w:w="884" w:type="dxa"/>
            <w:vAlign w:val="center"/>
          </w:tcPr>
          <w:p w:rsidR="00C6069E" w:rsidRPr="008C07E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8C07EE">
              <w:rPr>
                <w:rFonts w:ascii="Times" w:hAnsi="Times" w:cs="Calibri"/>
                <w:color w:val="000000"/>
                <w:sz w:val="22"/>
                <w:szCs w:val="22"/>
              </w:rPr>
              <w:t>0.011</w:t>
            </w:r>
          </w:p>
        </w:tc>
      </w:tr>
      <w:tr w:rsidR="00C6069E" w:rsidRPr="00CF07F5" w:rsidTr="00C6069E">
        <w:trPr>
          <w:trHeight w:val="343"/>
          <w:jc w:val="center"/>
        </w:trPr>
        <w:tc>
          <w:tcPr>
            <w:tcW w:w="3828" w:type="dxa"/>
            <w:vAlign w:val="center"/>
          </w:tcPr>
          <w:p w:rsidR="00C6069E" w:rsidRPr="00C6069E" w:rsidRDefault="00C6069E" w:rsidP="00C6069E">
            <w:pPr>
              <w:spacing w:line="360" w:lineRule="auto"/>
              <w:rPr>
                <w:rFonts w:ascii="Times" w:hAnsi="Times" w:cs="Calibri"/>
                <w:b/>
                <w:color w:val="000000"/>
                <w:bdr w:val="none" w:sz="0" w:space="0" w:color="auto" w:frame="1"/>
                <w:lang w:val="en-US"/>
              </w:rPr>
            </w:pPr>
            <w:r w:rsidRPr="00C6069E">
              <w:rPr>
                <w:rFonts w:ascii="Times" w:hAnsi="Times" w:cs="Calibri"/>
                <w:b/>
                <w:color w:val="000000"/>
                <w:bdr w:val="none" w:sz="0" w:space="0" w:color="auto" w:frame="1"/>
                <w:lang w:val="en-US"/>
              </w:rPr>
              <w:t>Mortality at 90 days</w:t>
            </w:r>
          </w:p>
        </w:tc>
        <w:tc>
          <w:tcPr>
            <w:tcW w:w="1984" w:type="dxa"/>
            <w:vAlign w:val="center"/>
          </w:tcPr>
          <w:p w:rsidR="00C6069E" w:rsidRPr="00C6069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C6069E"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85 (25.4%)</w:t>
            </w:r>
          </w:p>
        </w:tc>
        <w:tc>
          <w:tcPr>
            <w:tcW w:w="1997" w:type="dxa"/>
            <w:vAlign w:val="center"/>
          </w:tcPr>
          <w:p w:rsidR="00C6069E" w:rsidRPr="00C6069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C6069E"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126 (34.8%)</w:t>
            </w:r>
          </w:p>
        </w:tc>
        <w:tc>
          <w:tcPr>
            <w:tcW w:w="884" w:type="dxa"/>
            <w:vAlign w:val="center"/>
          </w:tcPr>
          <w:p w:rsidR="00C6069E" w:rsidRPr="00C6069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C6069E">
              <w:rPr>
                <w:rFonts w:ascii="Times" w:hAnsi="Times" w:cs="Calibri"/>
                <w:color w:val="000000"/>
                <w:sz w:val="22"/>
                <w:szCs w:val="22"/>
              </w:rPr>
              <w:t>0.007</w:t>
            </w:r>
          </w:p>
        </w:tc>
      </w:tr>
      <w:tr w:rsidR="00C6069E" w:rsidRPr="00CF07F5" w:rsidTr="00C6069E">
        <w:trPr>
          <w:trHeight w:val="343"/>
          <w:jc w:val="center"/>
        </w:trPr>
        <w:tc>
          <w:tcPr>
            <w:tcW w:w="3828" w:type="dxa"/>
            <w:vAlign w:val="center"/>
          </w:tcPr>
          <w:p w:rsidR="00C6069E" w:rsidRPr="00C6069E" w:rsidRDefault="00C6069E" w:rsidP="00C6069E">
            <w:pPr>
              <w:spacing w:line="360" w:lineRule="auto"/>
              <w:rPr>
                <w:rFonts w:ascii="Times" w:hAnsi="Times" w:cs="Calibri"/>
                <w:b/>
                <w:color w:val="000000"/>
                <w:bdr w:val="none" w:sz="0" w:space="0" w:color="auto" w:frame="1"/>
                <w:lang w:val="en-US"/>
              </w:rPr>
            </w:pPr>
            <w:r w:rsidRPr="00C6069E">
              <w:rPr>
                <w:rFonts w:ascii="Times" w:hAnsi="Times" w:cs="Calibri"/>
                <w:b/>
                <w:color w:val="000000"/>
                <w:bdr w:val="none" w:sz="0" w:space="0" w:color="auto" w:frame="1"/>
                <w:lang w:val="en-US"/>
              </w:rPr>
              <w:t>mRS≤2 at 90 days</w:t>
            </w:r>
          </w:p>
        </w:tc>
        <w:tc>
          <w:tcPr>
            <w:tcW w:w="1984" w:type="dxa"/>
            <w:vAlign w:val="center"/>
          </w:tcPr>
          <w:p w:rsidR="00C6069E" w:rsidRPr="00C6069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C6069E"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135 (40.4%)</w:t>
            </w:r>
          </w:p>
        </w:tc>
        <w:tc>
          <w:tcPr>
            <w:tcW w:w="1997" w:type="dxa"/>
            <w:vAlign w:val="center"/>
          </w:tcPr>
          <w:p w:rsidR="00C6069E" w:rsidRPr="00C6069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C6069E">
              <w:rPr>
                <w:rFonts w:ascii="Times" w:hAnsi="Times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106 (29.3%)</w:t>
            </w:r>
          </w:p>
        </w:tc>
        <w:tc>
          <w:tcPr>
            <w:tcW w:w="884" w:type="dxa"/>
            <w:vAlign w:val="center"/>
          </w:tcPr>
          <w:p w:rsidR="00C6069E" w:rsidRPr="00C6069E" w:rsidRDefault="00C6069E" w:rsidP="00C6069E">
            <w:pPr>
              <w:spacing w:line="360" w:lineRule="auto"/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C6069E">
              <w:rPr>
                <w:rFonts w:ascii="Times" w:hAnsi="Times" w:cs="Calibri"/>
                <w:color w:val="000000"/>
                <w:sz w:val="22"/>
                <w:szCs w:val="22"/>
              </w:rPr>
              <w:t>0.002</w:t>
            </w:r>
          </w:p>
        </w:tc>
      </w:tr>
    </w:tbl>
    <w:p w:rsidR="00C6069E" w:rsidRPr="00C6069E" w:rsidRDefault="00C6069E" w:rsidP="00C6069E">
      <w:pPr>
        <w:spacing w:line="360" w:lineRule="auto"/>
        <w:jc w:val="both"/>
        <w:rPr>
          <w:b/>
          <w:color w:val="000000" w:themeColor="text1"/>
          <w:lang w:val="en-US"/>
        </w:rPr>
      </w:pPr>
    </w:p>
    <w:p w:rsidR="00C6069E" w:rsidRDefault="00C6069E" w:rsidP="00C6069E">
      <w:pPr>
        <w:spacing w:after="240" w:line="480" w:lineRule="auto"/>
        <w:jc w:val="both"/>
        <w:rPr>
          <w:lang w:val="en-US"/>
        </w:rPr>
      </w:pPr>
      <w:r>
        <w:rPr>
          <w:b/>
          <w:sz w:val="22"/>
          <w:szCs w:val="22"/>
          <w:lang w:val="en-US"/>
        </w:rPr>
        <w:t xml:space="preserve">Legend: </w:t>
      </w:r>
      <w:r w:rsidRPr="00E14F47">
        <w:rPr>
          <w:lang w:val="en-US"/>
        </w:rPr>
        <w:t xml:space="preserve">Data are presented as n (%) for categorical variables and median [interquartile range] for continuous variables. </w:t>
      </w:r>
      <w:r>
        <w:rPr>
          <w:lang w:val="en-US"/>
        </w:rPr>
        <w:t xml:space="preserve">mRS: modified Rankin Scale; </w:t>
      </w:r>
      <w:r w:rsidRPr="00E14F47">
        <w:rPr>
          <w:lang w:val="en-US"/>
        </w:rPr>
        <w:t xml:space="preserve">NIHSS: National Institutes of Health Stroke Scale; LVO: large vessel occlusion. </w:t>
      </w:r>
    </w:p>
    <w:p w:rsidR="00C6069E" w:rsidRPr="0005765E" w:rsidRDefault="00C6069E" w:rsidP="0005765E">
      <w:pPr>
        <w:spacing w:after="240" w:line="480" w:lineRule="auto"/>
        <w:jc w:val="both"/>
        <w:rPr>
          <w:lang w:val="en-US"/>
        </w:rPr>
      </w:pPr>
    </w:p>
    <w:sectPr w:rsidR="00C6069E" w:rsidRPr="0005765E" w:rsidSect="00464613">
      <w:footerReference w:type="even" r:id="rId7"/>
      <w:footerReference w:type="default" r:id="rId8"/>
      <w:pgSz w:w="11900" w:h="16840"/>
      <w:pgMar w:top="1417" w:right="1701" w:bottom="1417" w:left="1701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49C" w:rsidRDefault="0069749C">
      <w:r>
        <w:separator/>
      </w:r>
    </w:p>
  </w:endnote>
  <w:endnote w:type="continuationSeparator" w:id="0">
    <w:p w:rsidR="0069749C" w:rsidRDefault="0069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47978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E6BC6" w:rsidRDefault="00511F5C" w:rsidP="0046461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E6BC6" w:rsidRDefault="0069749C" w:rsidP="00066A6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C6" w:rsidRPr="00066A6A" w:rsidRDefault="0069749C" w:rsidP="00066A6A">
    <w:pPr>
      <w:pStyle w:val="Piedepgina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49C" w:rsidRDefault="0069749C">
      <w:r>
        <w:separator/>
      </w:r>
    </w:p>
  </w:footnote>
  <w:footnote w:type="continuationSeparator" w:id="0">
    <w:p w:rsidR="0069749C" w:rsidRDefault="00697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5C"/>
    <w:rsid w:val="0005765E"/>
    <w:rsid w:val="00171844"/>
    <w:rsid w:val="002A1874"/>
    <w:rsid w:val="002D3D5F"/>
    <w:rsid w:val="00452A04"/>
    <w:rsid w:val="00511F5C"/>
    <w:rsid w:val="00520184"/>
    <w:rsid w:val="005E0D4C"/>
    <w:rsid w:val="006368C2"/>
    <w:rsid w:val="0069749C"/>
    <w:rsid w:val="00BD2981"/>
    <w:rsid w:val="00BE5ED8"/>
    <w:rsid w:val="00C6069E"/>
    <w:rsid w:val="00D44731"/>
    <w:rsid w:val="00E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2CD1"/>
  <w15:chartTrackingRefBased/>
  <w15:docId w15:val="{FF76D978-02A4-8541-93F9-4CD75A95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F5C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F5C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rsid w:val="00511F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1F5C"/>
    <w:rPr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511F5C"/>
  </w:style>
  <w:style w:type="table" w:styleId="Tablaconcuadrcula">
    <w:name w:val="Table Grid"/>
    <w:basedOn w:val="Tablanormal"/>
    <w:uiPriority w:val="39"/>
    <w:rsid w:val="00BE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C606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602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Ramos</dc:creator>
  <cp:keywords/>
  <dc:description/>
  <cp:lastModifiedBy>Anna Ramos</cp:lastModifiedBy>
  <cp:revision>7</cp:revision>
  <dcterms:created xsi:type="dcterms:W3CDTF">2020-10-14T10:52:00Z</dcterms:created>
  <dcterms:modified xsi:type="dcterms:W3CDTF">2021-03-09T11:20:00Z</dcterms:modified>
</cp:coreProperties>
</file>