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8CBF" w14:textId="77777777" w:rsidR="009E185C" w:rsidRPr="00374D1E" w:rsidRDefault="009E185C" w:rsidP="009E185C">
      <w:pPr>
        <w:spacing w:after="0" w:line="288" w:lineRule="auto"/>
        <w:rPr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Supplementary </w:t>
      </w:r>
      <w:r w:rsidRPr="00374D1E">
        <w:rPr>
          <w:b/>
          <w:lang w:val="en-GB"/>
        </w:rPr>
        <w:t xml:space="preserve">Table 1. </w:t>
      </w:r>
      <w:r w:rsidRPr="00374D1E">
        <w:rPr>
          <w:lang w:val="en-GB"/>
        </w:rPr>
        <w:t xml:space="preserve">Patient demographics and baseline characteristics – </w:t>
      </w:r>
      <w:r>
        <w:rPr>
          <w:lang w:val="en-GB"/>
        </w:rPr>
        <w:t>subanalysis</w:t>
      </w:r>
      <w:r w:rsidRPr="00374D1E">
        <w:rPr>
          <w:lang w:val="en-GB"/>
        </w:rPr>
        <w:t xml:space="preserve"> population.</w:t>
      </w:r>
    </w:p>
    <w:p w14:paraId="34791D68" w14:textId="77777777" w:rsidR="009E185C" w:rsidRPr="00374D1E" w:rsidRDefault="009E185C" w:rsidP="009E185C">
      <w:pPr>
        <w:spacing w:after="0" w:line="288" w:lineRule="auto"/>
        <w:ind w:left="284" w:hanging="284"/>
        <w:rPr>
          <w:b/>
          <w:lang w:val="en-GB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3539"/>
        <w:gridCol w:w="2679"/>
        <w:gridCol w:w="2679"/>
      </w:tblGrid>
      <w:tr w:rsidR="009E185C" w14:paraId="59A07840" w14:textId="77777777" w:rsidTr="00FF5665">
        <w:trPr>
          <w:trHeight w:val="555"/>
        </w:trPr>
        <w:tc>
          <w:tcPr>
            <w:tcW w:w="3539" w:type="dxa"/>
            <w:vAlign w:val="bottom"/>
          </w:tcPr>
          <w:p w14:paraId="2569EF97" w14:textId="77777777" w:rsidR="009E185C" w:rsidRDefault="009E185C" w:rsidP="00FF5665">
            <w:pPr>
              <w:spacing w:line="288" w:lineRule="auto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679" w:type="dxa"/>
          </w:tcPr>
          <w:p w14:paraId="6C192F02" w14:textId="77777777" w:rsidR="009E185C" w:rsidRDefault="009E185C" w:rsidP="00FF56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Patients &lt;60 years</w:t>
            </w:r>
          </w:p>
          <w:p w14:paraId="1D2D5C4C" w14:textId="77777777" w:rsidR="009E185C" w:rsidRDefault="009E185C" w:rsidP="00FF56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(n = 782)</w:t>
            </w:r>
          </w:p>
        </w:tc>
        <w:tc>
          <w:tcPr>
            <w:tcW w:w="2679" w:type="dxa"/>
          </w:tcPr>
          <w:p w14:paraId="703A9584" w14:textId="77777777" w:rsidR="009E185C" w:rsidRDefault="009E185C" w:rsidP="00FF56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Patients </w:t>
            </w:r>
            <w:r>
              <w:rPr>
                <w:rFonts w:cstheme="minorHAnsi"/>
                <w:b/>
              </w:rPr>
              <w:t>≥</w:t>
            </w:r>
            <w:r>
              <w:rPr>
                <w:b/>
              </w:rPr>
              <w:t>60 years</w:t>
            </w:r>
          </w:p>
          <w:p w14:paraId="1286D4DA" w14:textId="77777777" w:rsidR="009E185C" w:rsidRDefault="009E185C" w:rsidP="00FF56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(n = 415)</w:t>
            </w:r>
          </w:p>
        </w:tc>
      </w:tr>
      <w:tr w:rsidR="009E185C" w14:paraId="2726226F" w14:textId="77777777" w:rsidTr="00FF5665">
        <w:trPr>
          <w:trHeight w:val="271"/>
        </w:trPr>
        <w:tc>
          <w:tcPr>
            <w:tcW w:w="8897" w:type="dxa"/>
            <w:gridSpan w:val="3"/>
          </w:tcPr>
          <w:p w14:paraId="7C320CE8" w14:textId="77777777" w:rsidR="009E185C" w:rsidRDefault="009E185C" w:rsidP="00FF5665">
            <w:pPr>
              <w:spacing w:line="288" w:lineRule="auto"/>
              <w:rPr>
                <w:b/>
              </w:rPr>
            </w:pPr>
            <w:r>
              <w:rPr>
                <w:b/>
              </w:rPr>
              <w:t>Gender, n (%)</w:t>
            </w:r>
          </w:p>
        </w:tc>
      </w:tr>
      <w:tr w:rsidR="009E185C" w14:paraId="0AA8E7BC" w14:textId="77777777" w:rsidTr="00FF5665">
        <w:trPr>
          <w:trHeight w:val="271"/>
        </w:trPr>
        <w:tc>
          <w:tcPr>
            <w:tcW w:w="3539" w:type="dxa"/>
          </w:tcPr>
          <w:p w14:paraId="7D03C36E" w14:textId="77777777" w:rsidR="009E185C" w:rsidRPr="00376338" w:rsidRDefault="009E185C" w:rsidP="00FF5665">
            <w:pPr>
              <w:spacing w:line="288" w:lineRule="auto"/>
              <w:jc w:val="both"/>
            </w:pPr>
            <w:r w:rsidRPr="00376338">
              <w:t>Female</w:t>
            </w:r>
          </w:p>
        </w:tc>
        <w:tc>
          <w:tcPr>
            <w:tcW w:w="2679" w:type="dxa"/>
          </w:tcPr>
          <w:p w14:paraId="146D3B44" w14:textId="77777777" w:rsidR="009E185C" w:rsidRDefault="009E185C" w:rsidP="00FF5665">
            <w:pPr>
              <w:spacing w:line="288" w:lineRule="auto"/>
              <w:jc w:val="center"/>
            </w:pPr>
            <w:r>
              <w:t>778 (99)</w:t>
            </w:r>
          </w:p>
        </w:tc>
        <w:tc>
          <w:tcPr>
            <w:tcW w:w="2679" w:type="dxa"/>
          </w:tcPr>
          <w:p w14:paraId="3D874D2F" w14:textId="77777777" w:rsidR="009E185C" w:rsidRPr="00154412" w:rsidRDefault="009E185C" w:rsidP="00FF5665">
            <w:pPr>
              <w:spacing w:line="288" w:lineRule="auto"/>
              <w:jc w:val="center"/>
              <w:rPr>
                <w:highlight w:val="yellow"/>
              </w:rPr>
            </w:pPr>
            <w:r w:rsidRPr="001B1A12">
              <w:t>410 (99)</w:t>
            </w:r>
          </w:p>
        </w:tc>
      </w:tr>
      <w:tr w:rsidR="009E185C" w14:paraId="4C08D626" w14:textId="77777777" w:rsidTr="00FF5665">
        <w:trPr>
          <w:trHeight w:val="271"/>
        </w:trPr>
        <w:tc>
          <w:tcPr>
            <w:tcW w:w="3539" w:type="dxa"/>
          </w:tcPr>
          <w:p w14:paraId="0CCEBABE" w14:textId="77777777" w:rsidR="009E185C" w:rsidRPr="00376338" w:rsidRDefault="009E185C" w:rsidP="00FF5665">
            <w:pPr>
              <w:spacing w:line="288" w:lineRule="auto"/>
              <w:jc w:val="both"/>
            </w:pPr>
            <w:r w:rsidRPr="00376338">
              <w:t>Male</w:t>
            </w:r>
          </w:p>
        </w:tc>
        <w:tc>
          <w:tcPr>
            <w:tcW w:w="2679" w:type="dxa"/>
          </w:tcPr>
          <w:p w14:paraId="71DEBB46" w14:textId="77777777" w:rsidR="009E185C" w:rsidRDefault="009E185C" w:rsidP="00FF5665">
            <w:pPr>
              <w:spacing w:line="288" w:lineRule="auto"/>
              <w:jc w:val="center"/>
            </w:pPr>
            <w:r>
              <w:t>4 (1)</w:t>
            </w:r>
          </w:p>
        </w:tc>
        <w:tc>
          <w:tcPr>
            <w:tcW w:w="2679" w:type="dxa"/>
          </w:tcPr>
          <w:p w14:paraId="08C36BBD" w14:textId="77777777" w:rsidR="009E185C" w:rsidRPr="00154412" w:rsidRDefault="009E185C" w:rsidP="00FF5665">
            <w:pPr>
              <w:spacing w:line="288" w:lineRule="auto"/>
              <w:jc w:val="center"/>
              <w:rPr>
                <w:highlight w:val="yellow"/>
              </w:rPr>
            </w:pPr>
            <w:r w:rsidRPr="00A56F67">
              <w:t>5 (1)</w:t>
            </w:r>
          </w:p>
        </w:tc>
      </w:tr>
      <w:tr w:rsidR="009E185C" w14:paraId="17159239" w14:textId="77777777" w:rsidTr="00FF5665">
        <w:trPr>
          <w:trHeight w:val="271"/>
        </w:trPr>
        <w:tc>
          <w:tcPr>
            <w:tcW w:w="8897" w:type="dxa"/>
            <w:gridSpan w:val="3"/>
          </w:tcPr>
          <w:p w14:paraId="0A0C5B41" w14:textId="77777777" w:rsidR="009E185C" w:rsidRDefault="009E185C" w:rsidP="00FF5665">
            <w:pPr>
              <w:spacing w:line="288" w:lineRule="auto"/>
              <w:rPr>
                <w:b/>
              </w:rPr>
            </w:pPr>
            <w:r>
              <w:rPr>
                <w:b/>
              </w:rPr>
              <w:t>Age, years</w:t>
            </w:r>
          </w:p>
        </w:tc>
      </w:tr>
      <w:tr w:rsidR="009E185C" w14:paraId="19D6B9C6" w14:textId="77777777" w:rsidTr="00FF5665">
        <w:trPr>
          <w:trHeight w:val="271"/>
        </w:trPr>
        <w:tc>
          <w:tcPr>
            <w:tcW w:w="3539" w:type="dxa"/>
          </w:tcPr>
          <w:p w14:paraId="319764BB" w14:textId="77777777" w:rsidR="009E185C" w:rsidRPr="00376338" w:rsidRDefault="009E185C" w:rsidP="00FF5665">
            <w:pPr>
              <w:spacing w:line="288" w:lineRule="auto"/>
              <w:jc w:val="both"/>
            </w:pPr>
            <w:r w:rsidRPr="00376338">
              <w:t>Mean (SD)</w:t>
            </w:r>
          </w:p>
        </w:tc>
        <w:tc>
          <w:tcPr>
            <w:tcW w:w="2679" w:type="dxa"/>
          </w:tcPr>
          <w:p w14:paraId="1800337A" w14:textId="77777777" w:rsidR="009E185C" w:rsidRDefault="009E185C" w:rsidP="00FF5665">
            <w:pPr>
              <w:spacing w:line="288" w:lineRule="auto"/>
              <w:jc w:val="center"/>
            </w:pPr>
            <w:r>
              <w:t>48.0 (7.45)</w:t>
            </w:r>
          </w:p>
        </w:tc>
        <w:tc>
          <w:tcPr>
            <w:tcW w:w="2679" w:type="dxa"/>
          </w:tcPr>
          <w:p w14:paraId="5AC3851E" w14:textId="77777777" w:rsidR="009E185C" w:rsidRPr="001F661E" w:rsidRDefault="009E185C" w:rsidP="00FF5665">
            <w:pPr>
              <w:spacing w:line="288" w:lineRule="auto"/>
              <w:jc w:val="center"/>
            </w:pPr>
            <w:r>
              <w:t>67.1 (5.12)</w:t>
            </w:r>
          </w:p>
        </w:tc>
      </w:tr>
      <w:tr w:rsidR="009E185C" w14:paraId="6F73F5F6" w14:textId="77777777" w:rsidTr="00FF5665">
        <w:trPr>
          <w:trHeight w:val="283"/>
        </w:trPr>
        <w:tc>
          <w:tcPr>
            <w:tcW w:w="3539" w:type="dxa"/>
          </w:tcPr>
          <w:p w14:paraId="5DA1ADA8" w14:textId="77777777" w:rsidR="009E185C" w:rsidRPr="00376338" w:rsidRDefault="009E185C" w:rsidP="00FF5665">
            <w:pPr>
              <w:spacing w:line="288" w:lineRule="auto"/>
              <w:jc w:val="both"/>
            </w:pPr>
            <w:r w:rsidRPr="00376338">
              <w:t>Median</w:t>
            </w:r>
          </w:p>
        </w:tc>
        <w:tc>
          <w:tcPr>
            <w:tcW w:w="2679" w:type="dxa"/>
          </w:tcPr>
          <w:p w14:paraId="1E8FDFDF" w14:textId="77777777" w:rsidR="009E185C" w:rsidRDefault="009E185C" w:rsidP="00FF5665">
            <w:pPr>
              <w:spacing w:line="288" w:lineRule="auto"/>
              <w:jc w:val="center"/>
            </w:pPr>
            <w:r>
              <w:t>49.0</w:t>
            </w:r>
          </w:p>
        </w:tc>
        <w:tc>
          <w:tcPr>
            <w:tcW w:w="2679" w:type="dxa"/>
          </w:tcPr>
          <w:p w14:paraId="108C3FB0" w14:textId="77777777" w:rsidR="009E185C" w:rsidRPr="001F661E" w:rsidRDefault="009E185C" w:rsidP="00FF5665">
            <w:pPr>
              <w:spacing w:line="288" w:lineRule="auto"/>
              <w:jc w:val="center"/>
            </w:pPr>
            <w:r>
              <w:t>66.0</w:t>
            </w:r>
          </w:p>
        </w:tc>
      </w:tr>
      <w:tr w:rsidR="009E185C" w14:paraId="10A01507" w14:textId="77777777" w:rsidTr="00FF5665">
        <w:trPr>
          <w:trHeight w:val="283"/>
        </w:trPr>
        <w:tc>
          <w:tcPr>
            <w:tcW w:w="3539" w:type="dxa"/>
          </w:tcPr>
          <w:p w14:paraId="4EAFD2F4" w14:textId="77777777" w:rsidR="009E185C" w:rsidRPr="00376338" w:rsidRDefault="009E185C" w:rsidP="00FF5665">
            <w:pPr>
              <w:spacing w:line="288" w:lineRule="auto"/>
              <w:jc w:val="both"/>
            </w:pPr>
            <w:r>
              <w:t>Min–max</w:t>
            </w:r>
          </w:p>
        </w:tc>
        <w:tc>
          <w:tcPr>
            <w:tcW w:w="2679" w:type="dxa"/>
          </w:tcPr>
          <w:p w14:paraId="4A3CCCC2" w14:textId="77777777" w:rsidR="009E185C" w:rsidRDefault="009E185C" w:rsidP="00FF5665">
            <w:pPr>
              <w:spacing w:line="288" w:lineRule="auto"/>
              <w:jc w:val="center"/>
            </w:pPr>
            <w:r>
              <w:t>26–59</w:t>
            </w:r>
          </w:p>
        </w:tc>
        <w:tc>
          <w:tcPr>
            <w:tcW w:w="2679" w:type="dxa"/>
          </w:tcPr>
          <w:p w14:paraId="1987FA75" w14:textId="77777777" w:rsidR="009E185C" w:rsidRDefault="009E185C" w:rsidP="00FF5665">
            <w:pPr>
              <w:spacing w:line="288" w:lineRule="auto"/>
              <w:jc w:val="center"/>
            </w:pPr>
            <w:r>
              <w:t>60–79</w:t>
            </w:r>
          </w:p>
        </w:tc>
      </w:tr>
      <w:tr w:rsidR="009E185C" w14:paraId="60F1B7AB" w14:textId="77777777" w:rsidTr="00FF5665">
        <w:trPr>
          <w:trHeight w:val="214"/>
        </w:trPr>
        <w:tc>
          <w:tcPr>
            <w:tcW w:w="8897" w:type="dxa"/>
            <w:gridSpan w:val="3"/>
          </w:tcPr>
          <w:p w14:paraId="68535BB2" w14:textId="77777777" w:rsidR="009E185C" w:rsidRDefault="009E185C" w:rsidP="00FF5665">
            <w:pPr>
              <w:spacing w:line="288" w:lineRule="auto"/>
              <w:rPr>
                <w:b/>
              </w:rPr>
            </w:pPr>
            <w:r>
              <w:rPr>
                <w:b/>
              </w:rPr>
              <w:t>Tumor type, n (%)</w:t>
            </w:r>
          </w:p>
        </w:tc>
      </w:tr>
      <w:tr w:rsidR="009E185C" w14:paraId="4FD5E447" w14:textId="77777777" w:rsidTr="00FF5665">
        <w:trPr>
          <w:trHeight w:val="214"/>
        </w:trPr>
        <w:tc>
          <w:tcPr>
            <w:tcW w:w="3539" w:type="dxa"/>
          </w:tcPr>
          <w:p w14:paraId="34200C90" w14:textId="77777777" w:rsidR="009E185C" w:rsidRPr="00EC4560" w:rsidRDefault="009E185C" w:rsidP="00FF5665">
            <w:pPr>
              <w:spacing w:line="288" w:lineRule="auto"/>
              <w:jc w:val="both"/>
            </w:pPr>
            <w:r>
              <w:t>Breast</w:t>
            </w:r>
          </w:p>
        </w:tc>
        <w:tc>
          <w:tcPr>
            <w:tcW w:w="2679" w:type="dxa"/>
          </w:tcPr>
          <w:p w14:paraId="4C8ECA4D" w14:textId="77777777" w:rsidR="009E185C" w:rsidRPr="00EC4560" w:rsidRDefault="009E185C" w:rsidP="00FF5665">
            <w:pPr>
              <w:spacing w:line="288" w:lineRule="auto"/>
              <w:jc w:val="center"/>
            </w:pPr>
            <w:r>
              <w:t>782 (100)</w:t>
            </w:r>
          </w:p>
        </w:tc>
        <w:tc>
          <w:tcPr>
            <w:tcW w:w="2679" w:type="dxa"/>
          </w:tcPr>
          <w:p w14:paraId="1CF3CB95" w14:textId="77777777" w:rsidR="009E185C" w:rsidRPr="00EC4560" w:rsidRDefault="009E185C" w:rsidP="00FF5665">
            <w:pPr>
              <w:spacing w:line="288" w:lineRule="auto"/>
              <w:jc w:val="center"/>
            </w:pPr>
            <w:r>
              <w:t>415 (100)</w:t>
            </w:r>
          </w:p>
        </w:tc>
      </w:tr>
      <w:tr w:rsidR="009E185C" w14:paraId="21DEB847" w14:textId="77777777" w:rsidTr="00FF5665">
        <w:trPr>
          <w:trHeight w:val="214"/>
        </w:trPr>
        <w:tc>
          <w:tcPr>
            <w:tcW w:w="8897" w:type="dxa"/>
            <w:gridSpan w:val="3"/>
          </w:tcPr>
          <w:p w14:paraId="5BA346C4" w14:textId="77777777" w:rsidR="009E185C" w:rsidRDefault="009E185C" w:rsidP="00FF5665">
            <w:pPr>
              <w:spacing w:line="288" w:lineRule="auto"/>
              <w:rPr>
                <w:b/>
              </w:rPr>
            </w:pPr>
            <w:r>
              <w:rPr>
                <w:b/>
              </w:rPr>
              <w:t>ECOG PS, n (%)</w:t>
            </w:r>
          </w:p>
        </w:tc>
      </w:tr>
      <w:tr w:rsidR="009E185C" w14:paraId="3FB47A6B" w14:textId="77777777" w:rsidTr="00FF5665">
        <w:trPr>
          <w:trHeight w:val="271"/>
        </w:trPr>
        <w:tc>
          <w:tcPr>
            <w:tcW w:w="3539" w:type="dxa"/>
          </w:tcPr>
          <w:p w14:paraId="785044EB" w14:textId="77777777" w:rsidR="009E185C" w:rsidRPr="00376338" w:rsidRDefault="009E185C" w:rsidP="00FF5665">
            <w:pPr>
              <w:spacing w:line="288" w:lineRule="auto"/>
              <w:jc w:val="both"/>
            </w:pPr>
            <w:r>
              <w:t>0</w:t>
            </w:r>
          </w:p>
        </w:tc>
        <w:tc>
          <w:tcPr>
            <w:tcW w:w="2679" w:type="dxa"/>
          </w:tcPr>
          <w:p w14:paraId="3A70F65D" w14:textId="77777777" w:rsidR="009E185C" w:rsidRDefault="009E185C" w:rsidP="00FF5665">
            <w:pPr>
              <w:spacing w:line="288" w:lineRule="auto"/>
              <w:jc w:val="center"/>
            </w:pPr>
            <w:r>
              <w:t>603 (77.1)</w:t>
            </w:r>
          </w:p>
        </w:tc>
        <w:tc>
          <w:tcPr>
            <w:tcW w:w="2679" w:type="dxa"/>
          </w:tcPr>
          <w:p w14:paraId="1AA82587" w14:textId="77777777" w:rsidR="009E185C" w:rsidRPr="00376338" w:rsidRDefault="009E185C" w:rsidP="00FF5665">
            <w:pPr>
              <w:spacing w:line="288" w:lineRule="auto"/>
              <w:jc w:val="center"/>
            </w:pPr>
            <w:r>
              <w:t>261 (62.9)</w:t>
            </w:r>
          </w:p>
        </w:tc>
      </w:tr>
      <w:tr w:rsidR="009E185C" w14:paraId="2BB2D2C0" w14:textId="77777777" w:rsidTr="00FF5665">
        <w:trPr>
          <w:trHeight w:val="271"/>
        </w:trPr>
        <w:tc>
          <w:tcPr>
            <w:tcW w:w="3539" w:type="dxa"/>
          </w:tcPr>
          <w:p w14:paraId="09C93490" w14:textId="77777777" w:rsidR="009E185C" w:rsidRPr="00376338" w:rsidRDefault="009E185C" w:rsidP="00FF5665">
            <w:pPr>
              <w:spacing w:line="288" w:lineRule="auto"/>
              <w:jc w:val="both"/>
            </w:pPr>
            <w:r>
              <w:t>1</w:t>
            </w:r>
          </w:p>
        </w:tc>
        <w:tc>
          <w:tcPr>
            <w:tcW w:w="2679" w:type="dxa"/>
          </w:tcPr>
          <w:p w14:paraId="06F23C0D" w14:textId="77777777" w:rsidR="009E185C" w:rsidRDefault="009E185C" w:rsidP="00FF5665">
            <w:pPr>
              <w:spacing w:line="288" w:lineRule="auto"/>
              <w:jc w:val="center"/>
            </w:pPr>
            <w:r>
              <w:t>155 (19.8)</w:t>
            </w:r>
          </w:p>
        </w:tc>
        <w:tc>
          <w:tcPr>
            <w:tcW w:w="2679" w:type="dxa"/>
          </w:tcPr>
          <w:p w14:paraId="15F679FE" w14:textId="77777777" w:rsidR="009E185C" w:rsidRPr="00376338" w:rsidRDefault="009E185C" w:rsidP="00FF5665">
            <w:pPr>
              <w:spacing w:line="288" w:lineRule="auto"/>
              <w:jc w:val="center"/>
            </w:pPr>
            <w:r>
              <w:t>139 (33.5)</w:t>
            </w:r>
          </w:p>
        </w:tc>
      </w:tr>
      <w:tr w:rsidR="009E185C" w14:paraId="2996507E" w14:textId="77777777" w:rsidTr="00FF5665">
        <w:trPr>
          <w:trHeight w:val="283"/>
        </w:trPr>
        <w:tc>
          <w:tcPr>
            <w:tcW w:w="3539" w:type="dxa"/>
          </w:tcPr>
          <w:p w14:paraId="064BE28D" w14:textId="77777777" w:rsidR="009E185C" w:rsidRDefault="009E185C" w:rsidP="00FF5665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2679" w:type="dxa"/>
          </w:tcPr>
          <w:p w14:paraId="283EE3B0" w14:textId="77777777" w:rsidR="009E185C" w:rsidRDefault="009E185C" w:rsidP="00FF5665">
            <w:pPr>
              <w:spacing w:line="288" w:lineRule="auto"/>
              <w:jc w:val="center"/>
            </w:pPr>
            <w:r>
              <w:t>24 (3.1)</w:t>
            </w:r>
          </w:p>
        </w:tc>
        <w:tc>
          <w:tcPr>
            <w:tcW w:w="2679" w:type="dxa"/>
          </w:tcPr>
          <w:p w14:paraId="0FB18DB7" w14:textId="77777777" w:rsidR="009E185C" w:rsidRDefault="009E185C" w:rsidP="00FF5665">
            <w:pPr>
              <w:spacing w:line="288" w:lineRule="auto"/>
              <w:jc w:val="center"/>
            </w:pPr>
            <w:r>
              <w:t>15 (3.6)</w:t>
            </w:r>
          </w:p>
        </w:tc>
      </w:tr>
      <w:tr w:rsidR="009E185C" w14:paraId="77438897" w14:textId="77777777" w:rsidTr="00FF5665">
        <w:trPr>
          <w:trHeight w:val="247"/>
        </w:trPr>
        <w:tc>
          <w:tcPr>
            <w:tcW w:w="8897" w:type="dxa"/>
            <w:gridSpan w:val="3"/>
          </w:tcPr>
          <w:p w14:paraId="069AAF4B" w14:textId="77777777" w:rsidR="009E185C" w:rsidRDefault="009E185C" w:rsidP="00FF5665">
            <w:pPr>
              <w:spacing w:line="288" w:lineRule="auto"/>
            </w:pPr>
            <w:r>
              <w:rPr>
                <w:b/>
              </w:rPr>
              <w:t xml:space="preserve">Therapy type*, </w:t>
            </w:r>
            <w:r w:rsidRPr="00C63215">
              <w:rPr>
                <w:b/>
              </w:rPr>
              <w:t>n (%)</w:t>
            </w:r>
          </w:p>
        </w:tc>
      </w:tr>
      <w:tr w:rsidR="009E185C" w14:paraId="7132407A" w14:textId="77777777" w:rsidTr="00FF5665">
        <w:trPr>
          <w:trHeight w:val="247"/>
        </w:trPr>
        <w:tc>
          <w:tcPr>
            <w:tcW w:w="3539" w:type="dxa"/>
          </w:tcPr>
          <w:p w14:paraId="74DBF978" w14:textId="77777777" w:rsidR="009E185C" w:rsidRDefault="009E185C" w:rsidP="00FF5665">
            <w:pPr>
              <w:spacing w:line="288" w:lineRule="auto"/>
              <w:jc w:val="both"/>
            </w:pPr>
            <w:r>
              <w:t>Adjuvant</w:t>
            </w:r>
          </w:p>
        </w:tc>
        <w:tc>
          <w:tcPr>
            <w:tcW w:w="2679" w:type="dxa"/>
          </w:tcPr>
          <w:p w14:paraId="35FE7119" w14:textId="77777777" w:rsidR="009E185C" w:rsidRDefault="009E185C" w:rsidP="00FF5665">
            <w:pPr>
              <w:spacing w:line="288" w:lineRule="auto"/>
              <w:jc w:val="center"/>
            </w:pPr>
            <w:r>
              <w:t>384 (49.1)</w:t>
            </w:r>
          </w:p>
        </w:tc>
        <w:tc>
          <w:tcPr>
            <w:tcW w:w="2679" w:type="dxa"/>
          </w:tcPr>
          <w:p w14:paraId="7D459356" w14:textId="77777777" w:rsidR="009E185C" w:rsidRDefault="009E185C" w:rsidP="00FF5665">
            <w:pPr>
              <w:spacing w:line="288" w:lineRule="auto"/>
              <w:jc w:val="center"/>
            </w:pPr>
            <w:r>
              <w:t>260 (62.7)</w:t>
            </w:r>
          </w:p>
        </w:tc>
      </w:tr>
      <w:tr w:rsidR="009E185C" w14:paraId="00E619FE" w14:textId="77777777" w:rsidTr="00FF5665">
        <w:trPr>
          <w:trHeight w:val="247"/>
        </w:trPr>
        <w:tc>
          <w:tcPr>
            <w:tcW w:w="3539" w:type="dxa"/>
          </w:tcPr>
          <w:p w14:paraId="2FE07A70" w14:textId="77777777" w:rsidR="009E185C" w:rsidRDefault="009E185C" w:rsidP="00FF5665">
            <w:pPr>
              <w:spacing w:line="288" w:lineRule="auto"/>
              <w:jc w:val="both"/>
            </w:pPr>
            <w:r>
              <w:t>Neoadjuvant</w:t>
            </w:r>
          </w:p>
        </w:tc>
        <w:tc>
          <w:tcPr>
            <w:tcW w:w="2679" w:type="dxa"/>
          </w:tcPr>
          <w:p w14:paraId="51C5E6BD" w14:textId="77777777" w:rsidR="009E185C" w:rsidRDefault="009E185C" w:rsidP="00FF5665">
            <w:pPr>
              <w:spacing w:line="288" w:lineRule="auto"/>
              <w:jc w:val="center"/>
            </w:pPr>
            <w:r>
              <w:t>386 (49.4)</w:t>
            </w:r>
          </w:p>
        </w:tc>
        <w:tc>
          <w:tcPr>
            <w:tcW w:w="2679" w:type="dxa"/>
          </w:tcPr>
          <w:p w14:paraId="3031C883" w14:textId="77777777" w:rsidR="009E185C" w:rsidRDefault="009E185C" w:rsidP="00FF5665">
            <w:pPr>
              <w:spacing w:line="288" w:lineRule="auto"/>
              <w:jc w:val="center"/>
            </w:pPr>
            <w:r>
              <w:t>147 (35.4)</w:t>
            </w:r>
          </w:p>
        </w:tc>
      </w:tr>
      <w:tr w:rsidR="009E185C" w14:paraId="27C7B91F" w14:textId="77777777" w:rsidTr="00FF5665">
        <w:trPr>
          <w:trHeight w:val="247"/>
        </w:trPr>
        <w:tc>
          <w:tcPr>
            <w:tcW w:w="3539" w:type="dxa"/>
          </w:tcPr>
          <w:p w14:paraId="167FD4EE" w14:textId="77777777" w:rsidR="009E185C" w:rsidRDefault="009E185C" w:rsidP="00FF5665">
            <w:pPr>
              <w:spacing w:line="288" w:lineRule="auto"/>
              <w:jc w:val="both"/>
            </w:pPr>
            <w:r>
              <w:t>Palliative</w:t>
            </w:r>
          </w:p>
        </w:tc>
        <w:tc>
          <w:tcPr>
            <w:tcW w:w="2679" w:type="dxa"/>
          </w:tcPr>
          <w:p w14:paraId="41187605" w14:textId="77777777" w:rsidR="009E185C" w:rsidRDefault="009E185C" w:rsidP="00FF5665">
            <w:pPr>
              <w:spacing w:line="288" w:lineRule="auto"/>
              <w:jc w:val="center"/>
            </w:pPr>
            <w:r>
              <w:t>10 (1.3)</w:t>
            </w:r>
          </w:p>
        </w:tc>
        <w:tc>
          <w:tcPr>
            <w:tcW w:w="2679" w:type="dxa"/>
          </w:tcPr>
          <w:p w14:paraId="62746EB3" w14:textId="77777777" w:rsidR="009E185C" w:rsidRDefault="009E185C" w:rsidP="00FF5665">
            <w:pPr>
              <w:spacing w:line="288" w:lineRule="auto"/>
              <w:jc w:val="center"/>
            </w:pPr>
            <w:r>
              <w:t>5 (1.2)</w:t>
            </w:r>
          </w:p>
        </w:tc>
      </w:tr>
      <w:tr w:rsidR="009E185C" w14:paraId="38317488" w14:textId="77777777" w:rsidTr="00FF5665">
        <w:trPr>
          <w:trHeight w:val="247"/>
        </w:trPr>
        <w:tc>
          <w:tcPr>
            <w:tcW w:w="3539" w:type="dxa"/>
          </w:tcPr>
          <w:p w14:paraId="3415A9E9" w14:textId="77777777" w:rsidR="009E185C" w:rsidRDefault="009E185C" w:rsidP="00FF5665">
            <w:pPr>
              <w:spacing w:line="288" w:lineRule="auto"/>
              <w:jc w:val="both"/>
            </w:pPr>
            <w:r>
              <w:t>Missing</w:t>
            </w:r>
          </w:p>
        </w:tc>
        <w:tc>
          <w:tcPr>
            <w:tcW w:w="2679" w:type="dxa"/>
          </w:tcPr>
          <w:p w14:paraId="3E242CB5" w14:textId="77777777" w:rsidR="009E185C" w:rsidRDefault="009E185C" w:rsidP="00FF5665">
            <w:pPr>
              <w:spacing w:line="288" w:lineRule="auto"/>
              <w:jc w:val="center"/>
            </w:pPr>
            <w:r>
              <w:t>2 (0.3)</w:t>
            </w:r>
          </w:p>
        </w:tc>
        <w:tc>
          <w:tcPr>
            <w:tcW w:w="2679" w:type="dxa"/>
          </w:tcPr>
          <w:p w14:paraId="0CD3E629" w14:textId="77777777" w:rsidR="009E185C" w:rsidRDefault="009E185C" w:rsidP="00FF5665">
            <w:pPr>
              <w:spacing w:line="288" w:lineRule="auto"/>
              <w:jc w:val="center"/>
            </w:pPr>
            <w:r>
              <w:t>3 (0.7)</w:t>
            </w:r>
          </w:p>
        </w:tc>
      </w:tr>
      <w:tr w:rsidR="009E185C" w:rsidRPr="00F72E2A" w14:paraId="130F3DCD" w14:textId="77777777" w:rsidTr="00FF5665">
        <w:trPr>
          <w:trHeight w:val="271"/>
        </w:trPr>
        <w:tc>
          <w:tcPr>
            <w:tcW w:w="8897" w:type="dxa"/>
            <w:gridSpan w:val="3"/>
          </w:tcPr>
          <w:p w14:paraId="5C5063BD" w14:textId="77777777" w:rsidR="009E185C" w:rsidRPr="001F661E" w:rsidRDefault="009E185C" w:rsidP="00FF5665">
            <w:pPr>
              <w:spacing w:line="288" w:lineRule="auto"/>
            </w:pPr>
            <w:r>
              <w:rPr>
                <w:b/>
              </w:rPr>
              <w:t>Emetic risk of chemotherapy</w:t>
            </w:r>
            <w:r w:rsidRPr="005978E6">
              <w:rPr>
                <w:rFonts w:cstheme="minorHAnsi"/>
                <w:b/>
                <w:vertAlign w:val="superscript"/>
              </w:rPr>
              <w:t>†</w:t>
            </w:r>
            <w:r>
              <w:rPr>
                <w:b/>
              </w:rPr>
              <w:t xml:space="preserve">, n (%) </w:t>
            </w:r>
          </w:p>
        </w:tc>
      </w:tr>
      <w:tr w:rsidR="009E185C" w14:paraId="0D8014B8" w14:textId="77777777" w:rsidTr="00FF5665">
        <w:trPr>
          <w:trHeight w:val="248"/>
        </w:trPr>
        <w:tc>
          <w:tcPr>
            <w:tcW w:w="3539" w:type="dxa"/>
          </w:tcPr>
          <w:p w14:paraId="4AC2A9C7" w14:textId="77777777" w:rsidR="009E185C" w:rsidRPr="00376338" w:rsidRDefault="009E185C" w:rsidP="00FF5665">
            <w:pPr>
              <w:spacing w:line="288" w:lineRule="auto"/>
              <w:jc w:val="both"/>
            </w:pPr>
            <w:r>
              <w:t>AC-HEC</w:t>
            </w:r>
          </w:p>
        </w:tc>
        <w:tc>
          <w:tcPr>
            <w:tcW w:w="2679" w:type="dxa"/>
          </w:tcPr>
          <w:p w14:paraId="28F81C00" w14:textId="77777777" w:rsidR="009E185C" w:rsidRDefault="009E185C" w:rsidP="00FF5665">
            <w:pPr>
              <w:spacing w:line="288" w:lineRule="auto"/>
              <w:jc w:val="center"/>
            </w:pPr>
            <w:r>
              <w:t>782 (100)</w:t>
            </w:r>
          </w:p>
        </w:tc>
        <w:tc>
          <w:tcPr>
            <w:tcW w:w="2679" w:type="dxa"/>
          </w:tcPr>
          <w:p w14:paraId="5156E445" w14:textId="77777777" w:rsidR="009E185C" w:rsidRPr="001F661E" w:rsidRDefault="009E185C" w:rsidP="00FF5665">
            <w:pPr>
              <w:spacing w:line="288" w:lineRule="auto"/>
              <w:jc w:val="center"/>
            </w:pPr>
            <w:r>
              <w:t>415 (100)</w:t>
            </w:r>
          </w:p>
        </w:tc>
      </w:tr>
    </w:tbl>
    <w:p w14:paraId="05A78EAB" w14:textId="77777777" w:rsidR="009E185C" w:rsidRPr="00374D1E" w:rsidRDefault="009E185C" w:rsidP="009E185C">
      <w:pPr>
        <w:rPr>
          <w:sz w:val="18"/>
          <w:szCs w:val="18"/>
        </w:rPr>
      </w:pPr>
      <w:r w:rsidRPr="0076317F">
        <w:rPr>
          <w:sz w:val="18"/>
          <w:szCs w:val="18"/>
        </w:rPr>
        <w:t>*Patients receiving multiple therapies at cycles 1, 2, and 3 could be assigned to multiple categories.</w:t>
      </w:r>
      <w:r>
        <w:rPr>
          <w:sz w:val="18"/>
          <w:szCs w:val="18"/>
        </w:rPr>
        <w:br/>
      </w:r>
      <w:r w:rsidRPr="00F9130A">
        <w:rPr>
          <w:rFonts w:cstheme="minorHAnsi"/>
          <w:sz w:val="18"/>
          <w:szCs w:val="18"/>
          <w:vertAlign w:val="superscript"/>
          <w:lang w:val="en-GB"/>
        </w:rPr>
        <w:t>†</w:t>
      </w:r>
      <w:r w:rsidRPr="00F9130A">
        <w:rPr>
          <w:rFonts w:cstheme="minorHAnsi"/>
          <w:sz w:val="18"/>
          <w:szCs w:val="18"/>
          <w:lang w:val="en-GB"/>
        </w:rPr>
        <w:t>Patients not documented in the eCRF were excluded.</w:t>
      </w:r>
      <w:r>
        <w:rPr>
          <w:sz w:val="18"/>
          <w:szCs w:val="18"/>
        </w:rPr>
        <w:br/>
      </w:r>
      <w:r w:rsidRPr="00F9130A">
        <w:rPr>
          <w:rFonts w:cstheme="minorHAnsi"/>
          <w:sz w:val="18"/>
          <w:szCs w:val="18"/>
          <w:lang w:val="en-GB"/>
        </w:rPr>
        <w:t xml:space="preserve">AC, </w:t>
      </w:r>
      <w:r>
        <w:rPr>
          <w:rFonts w:cstheme="minorHAnsi"/>
          <w:sz w:val="18"/>
          <w:szCs w:val="18"/>
          <w:lang w:val="en-GB"/>
        </w:rPr>
        <w:t>anthracycline</w:t>
      </w:r>
      <w:r w:rsidRPr="00F9130A">
        <w:rPr>
          <w:rFonts w:cstheme="minorHAnsi"/>
          <w:sz w:val="18"/>
          <w:szCs w:val="18"/>
          <w:lang w:val="en-GB"/>
        </w:rPr>
        <w:t xml:space="preserve"> plus cyclophosphamide; ECOG PS, Eastern Cooperative Oncology Group Performance Status; HEC, highly emetogenic chemotherapy; </w:t>
      </w:r>
      <w:r>
        <w:rPr>
          <w:rFonts w:cstheme="minorHAnsi"/>
          <w:sz w:val="18"/>
          <w:szCs w:val="18"/>
          <w:lang w:val="en-GB"/>
        </w:rPr>
        <w:t xml:space="preserve">max, maximum; min, minimum; </w:t>
      </w:r>
      <w:r w:rsidRPr="00F9130A">
        <w:rPr>
          <w:rFonts w:cstheme="minorHAnsi"/>
          <w:sz w:val="18"/>
          <w:szCs w:val="18"/>
          <w:lang w:val="en-GB"/>
        </w:rPr>
        <w:t>SD, standard deviation.</w:t>
      </w:r>
    </w:p>
    <w:p w14:paraId="0818F5F7" w14:textId="77777777" w:rsidR="009E185C" w:rsidRPr="00D0369B" w:rsidRDefault="009E185C" w:rsidP="009E185C">
      <w:pPr>
        <w:rPr>
          <w:rFonts w:cstheme="minorHAnsi"/>
          <w:b/>
          <w:bCs/>
          <w:sz w:val="18"/>
          <w:szCs w:val="18"/>
          <w:lang w:val="en-GB"/>
        </w:rPr>
      </w:pPr>
    </w:p>
    <w:p w14:paraId="7A5DC907" w14:textId="77777777" w:rsidR="006212E3" w:rsidRDefault="006212E3"/>
    <w:sectPr w:rsidR="0062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9D"/>
    <w:rsid w:val="0027331E"/>
    <w:rsid w:val="003F7A45"/>
    <w:rsid w:val="006212E3"/>
    <w:rsid w:val="009E185C"/>
    <w:rsid w:val="00B9398B"/>
    <w:rsid w:val="00BE6AC7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456A7"/>
  <w15:chartTrackingRefBased/>
  <w15:docId w15:val="{F2F9FBCF-3829-49E0-BE3B-573E753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E185C"/>
    <w:rPr>
      <w:rFonts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185C"/>
    <w:pPr>
      <w:spacing w:after="0" w:line="240" w:lineRule="auto"/>
    </w:pPr>
    <w:rPr>
      <w:rFonts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3" ma:contentTypeDescription="Create a new document." ma:contentTypeScope="" ma:versionID="43c41e5fb73d2a16425bf79046255f1d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f8e71098c2012bec9b4e87b8cca10609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068b83-6393-43b1-b5f0-56fcf750c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BDFFB-D445-4D5F-8B71-20D76232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EBBBF-6379-4C79-BA43-D640D2DDAC75}">
  <ds:schemaRefs>
    <ds:schemaRef ds:uri="http://schemas.microsoft.com/office/2006/metadata/properties"/>
    <ds:schemaRef ds:uri="http://schemas.microsoft.com/office/infopath/2007/PartnerControls"/>
    <ds:schemaRef ds:uri="0d068b83-6393-43b1-b5f0-56fcf750ccaa"/>
  </ds:schemaRefs>
</ds:datastoreItem>
</file>

<file path=customXml/itemProps3.xml><?xml version="1.0" encoding="utf-8"?>
<ds:datastoreItem xmlns:ds="http://schemas.openxmlformats.org/officeDocument/2006/customXml" ds:itemID="{541C15EF-8887-46A3-A8DF-31F002449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Iratxe Abarrategui, PhD, CMPP</dc:creator>
  <cp:keywords/>
  <dc:description/>
  <cp:lastModifiedBy>Yvonne Rebmann</cp:lastModifiedBy>
  <cp:revision>2</cp:revision>
  <dcterms:created xsi:type="dcterms:W3CDTF">2021-01-29T16:29:00Z</dcterms:created>
  <dcterms:modified xsi:type="dcterms:W3CDTF">2021-01-29T16:29:00Z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