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EF5C" w14:textId="77777777" w:rsidR="00801AF3" w:rsidRDefault="00801AF3" w:rsidP="00801AF3">
      <w:pPr>
        <w:rPr>
          <w:rFonts w:cstheme="minorHAnsi"/>
          <w:sz w:val="18"/>
          <w:szCs w:val="18"/>
          <w:lang w:val="en-GB"/>
        </w:rPr>
      </w:pPr>
      <w:bookmarkStart w:id="0" w:name="_GoBack"/>
      <w:bookmarkEnd w:id="0"/>
      <w:r w:rsidRPr="00D0369B">
        <w:rPr>
          <w:rFonts w:cstheme="minorHAnsi"/>
          <w:b/>
          <w:bCs/>
          <w:lang w:val="en-GB"/>
        </w:rPr>
        <w:t xml:space="preserve">Supplementary Table </w:t>
      </w:r>
      <w:r>
        <w:rPr>
          <w:rFonts w:cstheme="minorHAnsi"/>
          <w:b/>
          <w:bCs/>
          <w:lang w:val="en-GB"/>
        </w:rPr>
        <w:t>3</w:t>
      </w:r>
      <w:r w:rsidRPr="00D0369B">
        <w:rPr>
          <w:rFonts w:cstheme="minorHAnsi"/>
          <w:lang w:val="en-GB"/>
        </w:rPr>
        <w:t xml:space="preserve">. </w:t>
      </w:r>
      <w:r w:rsidRPr="00161D70">
        <w:t>Summary of oral NEPA antiemetic activity in patients with breast cancer receiving AC in clinical trials and in the real-world setting – multiple cycles of chemotherapy</w:t>
      </w:r>
    </w:p>
    <w:tbl>
      <w:tblPr>
        <w:tblStyle w:val="Tabellenraster"/>
        <w:tblW w:w="765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1985"/>
      </w:tblGrid>
      <w:tr w:rsidR="00801AF3" w:rsidRPr="00161D70" w14:paraId="4010E247" w14:textId="77777777" w:rsidTr="00FF5665">
        <w:trPr>
          <w:trHeight w:val="5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A88A0A" w14:textId="77777777" w:rsidR="00801AF3" w:rsidRPr="00161D70" w:rsidRDefault="00801AF3" w:rsidP="00FF5665">
            <w:pPr>
              <w:rPr>
                <w:b/>
              </w:rPr>
            </w:pPr>
            <w:r w:rsidRPr="00161D70">
              <w:rPr>
                <w:b/>
              </w:rPr>
              <w:t>Study design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97F1" w14:textId="77777777" w:rsidR="00801AF3" w:rsidRPr="00161D70" w:rsidRDefault="00801AF3" w:rsidP="00FF5665">
            <w:pPr>
              <w:jc w:val="center"/>
              <w:rPr>
                <w:b/>
              </w:rPr>
            </w:pPr>
            <w:r w:rsidRPr="00161D70">
              <w:rPr>
                <w:b/>
              </w:rPr>
              <w:t>Pivotal randomized controlled trial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190" w14:textId="77777777" w:rsidR="00801AF3" w:rsidRPr="00161D70" w:rsidRDefault="00801AF3" w:rsidP="00FF5665">
            <w:pPr>
              <w:jc w:val="center"/>
              <w:rPr>
                <w:b/>
              </w:rPr>
            </w:pPr>
            <w:r w:rsidRPr="00161D70">
              <w:rPr>
                <w:b/>
              </w:rPr>
              <w:t>Real-world study</w:t>
            </w:r>
          </w:p>
        </w:tc>
      </w:tr>
      <w:tr w:rsidR="00801AF3" w:rsidRPr="00161D70" w14:paraId="7DB69B12" w14:textId="77777777" w:rsidTr="00FF5665">
        <w:trPr>
          <w:trHeight w:val="2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2C583C6" w14:textId="77777777" w:rsidR="00801AF3" w:rsidRPr="00161D70" w:rsidRDefault="00801AF3" w:rsidP="00FF5665">
            <w:pPr>
              <w:rPr>
                <w:b/>
              </w:rPr>
            </w:pPr>
            <w:r w:rsidRPr="00161D70">
              <w:rPr>
                <w:b/>
              </w:rPr>
              <w:t>Chemotherapy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35CB" w14:textId="31C094B6" w:rsidR="00801AF3" w:rsidRPr="00C244AA" w:rsidRDefault="00801AF3" w:rsidP="00FF5665">
            <w:pPr>
              <w:jc w:val="center"/>
              <w:rPr>
                <w:b/>
                <w:lang w:val="it-CH"/>
              </w:rPr>
            </w:pPr>
            <w:r w:rsidRPr="00C244AA">
              <w:rPr>
                <w:b/>
                <w:lang w:val="it-CH"/>
              </w:rPr>
              <w:t>AC HEC [</w:t>
            </w:r>
            <w:r w:rsidR="00CE17D9">
              <w:rPr>
                <w:b/>
                <w:lang w:val="it-CH"/>
              </w:rPr>
              <w:t>1,2</w:t>
            </w:r>
            <w:r w:rsidRPr="00C244AA">
              <w:rPr>
                <w:b/>
                <w:lang w:val="it-CH"/>
              </w:rPr>
              <w:t xml:space="preserve">] </w:t>
            </w:r>
          </w:p>
          <w:p w14:paraId="68E5980B" w14:textId="77777777" w:rsidR="00801AF3" w:rsidRPr="00161D70" w:rsidRDefault="00801AF3" w:rsidP="00FF5665">
            <w:pPr>
              <w:jc w:val="center"/>
              <w:rPr>
                <w:b/>
              </w:rPr>
            </w:pPr>
            <w:r w:rsidRPr="00161D70">
              <w:rPr>
                <w:b/>
              </w:rPr>
              <w:t>Cycles: 1/2/3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BC08" w14:textId="1A5C5EB0" w:rsidR="00801AF3" w:rsidRPr="00D04C27" w:rsidRDefault="00801AF3" w:rsidP="00FF5665">
            <w:pPr>
              <w:jc w:val="center"/>
              <w:rPr>
                <w:b/>
                <w:lang w:val="de-DE"/>
              </w:rPr>
            </w:pPr>
            <w:r w:rsidRPr="00D04C27">
              <w:rPr>
                <w:b/>
                <w:lang w:val="de-DE"/>
              </w:rPr>
              <w:t>AC HEC [</w:t>
            </w:r>
            <w:r w:rsidR="00CE17D9">
              <w:rPr>
                <w:b/>
                <w:lang w:val="de-DE"/>
              </w:rPr>
              <w:t>3,4</w:t>
            </w:r>
            <w:r w:rsidRPr="00D04C27">
              <w:rPr>
                <w:b/>
                <w:lang w:val="de-DE"/>
              </w:rPr>
              <w:t xml:space="preserve">] </w:t>
            </w:r>
          </w:p>
          <w:p w14:paraId="5C68572C" w14:textId="77777777" w:rsidR="00801AF3" w:rsidRPr="00161D70" w:rsidRDefault="00801AF3" w:rsidP="00FF5665">
            <w:pPr>
              <w:jc w:val="center"/>
              <w:rPr>
                <w:b/>
              </w:rPr>
            </w:pPr>
            <w:r w:rsidRPr="00161D70">
              <w:rPr>
                <w:b/>
              </w:rPr>
              <w:t>Cycles: 1/2/3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BC7" w14:textId="77777777" w:rsidR="00801AF3" w:rsidRPr="00161D70" w:rsidRDefault="00801AF3" w:rsidP="00FF5665">
            <w:pPr>
              <w:jc w:val="center"/>
              <w:rPr>
                <w:b/>
              </w:rPr>
            </w:pPr>
            <w:r w:rsidRPr="00161D70">
              <w:rPr>
                <w:b/>
              </w:rPr>
              <w:t xml:space="preserve">AC HEC </w:t>
            </w:r>
          </w:p>
          <w:p w14:paraId="53018E22" w14:textId="77777777" w:rsidR="00801AF3" w:rsidRPr="00161D70" w:rsidRDefault="00801AF3" w:rsidP="00FF5665">
            <w:pPr>
              <w:jc w:val="center"/>
              <w:rPr>
                <w:b/>
              </w:rPr>
            </w:pPr>
            <w:r w:rsidRPr="00161D70">
              <w:rPr>
                <w:b/>
              </w:rPr>
              <w:t>Cycles: 1/2/3</w:t>
            </w:r>
          </w:p>
        </w:tc>
      </w:tr>
      <w:tr w:rsidR="00801AF3" w:rsidRPr="00161D70" w14:paraId="6A43D743" w14:textId="77777777" w:rsidTr="00FF5665">
        <w:trPr>
          <w:trHeight w:val="2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F0E1" w14:textId="77777777" w:rsidR="00801AF3" w:rsidRPr="00161D70" w:rsidRDefault="00801AF3" w:rsidP="00FF5665">
            <w:pPr>
              <w:rPr>
                <w:b/>
              </w:rPr>
            </w:pPr>
            <w:r w:rsidRPr="00161D70">
              <w:rPr>
                <w:b/>
              </w:rPr>
              <w:t>Outcome,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E4F1" w14:textId="77777777" w:rsidR="00801AF3" w:rsidRPr="00161D70" w:rsidRDefault="00801AF3" w:rsidP="00FF5665">
            <w:pPr>
              <w:jc w:val="center"/>
              <w:rPr>
                <w:b/>
              </w:rPr>
            </w:pPr>
            <w:r w:rsidRPr="00161D70">
              <w:rPr>
                <w:b/>
              </w:rPr>
              <w:t xml:space="preserve">NEPA + DEX </w:t>
            </w:r>
            <w:r w:rsidRPr="00161D70">
              <w:rPr>
                <w:b/>
              </w:rPr>
              <w:br/>
              <w:t>(n = 708/621/586)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DF66" w14:textId="77777777" w:rsidR="00801AF3" w:rsidRPr="00161D70" w:rsidRDefault="00801AF3" w:rsidP="00FF5665">
            <w:pPr>
              <w:jc w:val="center"/>
              <w:rPr>
                <w:b/>
              </w:rPr>
            </w:pPr>
            <w:r w:rsidRPr="00161D70">
              <w:rPr>
                <w:b/>
              </w:rPr>
              <w:t>NEPA + DEX</w:t>
            </w:r>
          </w:p>
          <w:p w14:paraId="4CA60A9F" w14:textId="77777777" w:rsidR="00801AF3" w:rsidRPr="00161D70" w:rsidRDefault="00801AF3" w:rsidP="00FF5665">
            <w:pPr>
              <w:jc w:val="center"/>
              <w:rPr>
                <w:b/>
              </w:rPr>
            </w:pPr>
            <w:r w:rsidRPr="00161D70">
              <w:rPr>
                <w:b/>
              </w:rPr>
              <w:t>(n = 202/198/157)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2F1" w14:textId="77777777" w:rsidR="00801AF3" w:rsidRPr="00161D70" w:rsidRDefault="00801AF3" w:rsidP="00FF5665">
            <w:pPr>
              <w:jc w:val="center"/>
              <w:rPr>
                <w:b/>
              </w:rPr>
            </w:pPr>
            <w:r w:rsidRPr="00161D70">
              <w:rPr>
                <w:b/>
              </w:rPr>
              <w:t>NEPA + DEX</w:t>
            </w:r>
            <w:proofErr w:type="gramStart"/>
            <w:r>
              <w:rPr>
                <w:b/>
              </w:rPr>
              <w:t>*</w:t>
            </w:r>
            <w:r>
              <w:rPr>
                <w:vertAlign w:val="superscript"/>
              </w:rPr>
              <w:t>,</w:t>
            </w:r>
            <w:r>
              <w:rPr>
                <w:rFonts w:cstheme="minorHAnsi"/>
                <w:vertAlign w:val="superscript"/>
              </w:rPr>
              <w:t>†</w:t>
            </w:r>
            <w:proofErr w:type="gramEnd"/>
            <w:r>
              <w:rPr>
                <w:rFonts w:cstheme="minorHAnsi"/>
                <w:vertAlign w:val="superscript"/>
              </w:rPr>
              <w:t>,</w:t>
            </w:r>
            <w:r>
              <w:rPr>
                <w:rFonts w:ascii="Calibri" w:hAnsi="Calibri" w:cs="Calibri"/>
                <w:vertAlign w:val="superscript"/>
              </w:rPr>
              <w:t>‡</w:t>
            </w:r>
            <w:r w:rsidRPr="00161D70">
              <w:rPr>
                <w:b/>
              </w:rPr>
              <w:t xml:space="preserve"> </w:t>
            </w:r>
          </w:p>
          <w:p w14:paraId="20FECE7A" w14:textId="77777777" w:rsidR="00801AF3" w:rsidRPr="00161D70" w:rsidRDefault="00801AF3" w:rsidP="00FF5665">
            <w:pPr>
              <w:jc w:val="center"/>
              <w:rPr>
                <w:b/>
              </w:rPr>
            </w:pPr>
          </w:p>
        </w:tc>
      </w:tr>
      <w:tr w:rsidR="00801AF3" w:rsidRPr="00161D70" w14:paraId="461F4D82" w14:textId="77777777" w:rsidTr="00FF5665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2757" w14:textId="77777777" w:rsidR="00801AF3" w:rsidRPr="00161D70" w:rsidRDefault="00801AF3" w:rsidP="00FF5665">
            <w:pPr>
              <w:rPr>
                <w:b/>
              </w:rPr>
            </w:pPr>
            <w:r w:rsidRPr="00161D70">
              <w:rPr>
                <w:b/>
              </w:rPr>
              <w:t>CR</w:t>
            </w:r>
          </w:p>
          <w:p w14:paraId="4C401410" w14:textId="77777777" w:rsidR="00801AF3" w:rsidRPr="00161D70" w:rsidRDefault="00801AF3" w:rsidP="00FF5665">
            <w:pPr>
              <w:ind w:firstLine="198"/>
            </w:pPr>
            <w:r w:rsidRPr="00161D70">
              <w:t>Acute</w:t>
            </w:r>
          </w:p>
          <w:p w14:paraId="514E9363" w14:textId="77777777" w:rsidR="00801AF3" w:rsidRPr="00161D70" w:rsidRDefault="00801AF3" w:rsidP="00FF5665">
            <w:pPr>
              <w:ind w:firstLine="198"/>
            </w:pPr>
            <w:r w:rsidRPr="00161D70">
              <w:t>Delayed</w:t>
            </w:r>
          </w:p>
          <w:p w14:paraId="4E79142E" w14:textId="77777777" w:rsidR="00801AF3" w:rsidRPr="00161D70" w:rsidRDefault="00801AF3" w:rsidP="00FF5665">
            <w:pPr>
              <w:ind w:firstLine="198"/>
            </w:pPr>
            <w:r w:rsidRPr="00161D70">
              <w:t>Overall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309" w14:textId="77777777" w:rsidR="00801AF3" w:rsidRPr="00161D70" w:rsidRDefault="00801AF3" w:rsidP="00FF5665">
            <w:pPr>
              <w:jc w:val="center"/>
            </w:pPr>
          </w:p>
          <w:p w14:paraId="4ECF1071" w14:textId="77777777" w:rsidR="00801AF3" w:rsidRPr="00161D70" w:rsidRDefault="00801AF3" w:rsidP="00FF5665">
            <w:pPr>
              <w:jc w:val="center"/>
            </w:pPr>
            <w:r w:rsidRPr="00161D70">
              <w:t>88.3/89.9/91.6</w:t>
            </w:r>
          </w:p>
          <w:p w14:paraId="78B6A686" w14:textId="77777777" w:rsidR="00801AF3" w:rsidRPr="00161D70" w:rsidRDefault="00801AF3" w:rsidP="00FF5665">
            <w:pPr>
              <w:jc w:val="center"/>
            </w:pPr>
            <w:r w:rsidRPr="00161D70">
              <w:t>76.4/81.5/85.0</w:t>
            </w:r>
          </w:p>
          <w:p w14:paraId="121F5CF7" w14:textId="77777777" w:rsidR="00801AF3" w:rsidRPr="00161D70" w:rsidRDefault="00801AF3" w:rsidP="00FF5665">
            <w:pPr>
              <w:jc w:val="center"/>
            </w:pPr>
            <w:r w:rsidRPr="00161D70">
              <w:t>73.9/80.0/83.6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33FD" w14:textId="77777777" w:rsidR="00801AF3" w:rsidRPr="00161D70" w:rsidRDefault="00801AF3" w:rsidP="00FF5665">
            <w:pPr>
              <w:jc w:val="center"/>
            </w:pPr>
          </w:p>
          <w:p w14:paraId="655D5CF4" w14:textId="77777777" w:rsidR="00801AF3" w:rsidRDefault="00801AF3" w:rsidP="00FF5665">
            <w:pPr>
              <w:jc w:val="center"/>
            </w:pPr>
            <w:r>
              <w:t>88.6/-/-</w:t>
            </w:r>
          </w:p>
          <w:p w14:paraId="49C3F9FF" w14:textId="77777777" w:rsidR="00801AF3" w:rsidRDefault="00801AF3" w:rsidP="00FF5665">
            <w:pPr>
              <w:jc w:val="center"/>
            </w:pPr>
            <w:r>
              <w:t>78.7/-/-</w:t>
            </w:r>
          </w:p>
          <w:p w14:paraId="7E5A810D" w14:textId="77777777" w:rsidR="00801AF3" w:rsidRPr="00161D70" w:rsidRDefault="00801AF3" w:rsidP="00FF5665">
            <w:pPr>
              <w:jc w:val="center"/>
            </w:pPr>
            <w:r>
              <w:t>77.2/81.3/83.4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29F" w14:textId="77777777" w:rsidR="00801AF3" w:rsidRPr="00161D70" w:rsidRDefault="00801AF3" w:rsidP="00FF5665">
            <w:pPr>
              <w:jc w:val="center"/>
            </w:pPr>
          </w:p>
          <w:p w14:paraId="6D3E0430" w14:textId="77777777" w:rsidR="00801AF3" w:rsidRPr="00161D70" w:rsidRDefault="00801AF3" w:rsidP="00FF5665">
            <w:pPr>
              <w:jc w:val="center"/>
            </w:pPr>
            <w:r w:rsidRPr="00161D70">
              <w:t>86.0/86.9/88.3</w:t>
            </w:r>
          </w:p>
          <w:p w14:paraId="7F338AF6" w14:textId="77777777" w:rsidR="00801AF3" w:rsidRPr="00161D70" w:rsidRDefault="00801AF3" w:rsidP="00FF5665">
            <w:pPr>
              <w:jc w:val="center"/>
            </w:pPr>
            <w:r w:rsidRPr="00161D70">
              <w:t>88.2/87.2/86.0</w:t>
            </w:r>
          </w:p>
          <w:p w14:paraId="7767045D" w14:textId="77777777" w:rsidR="00801AF3" w:rsidRPr="00161D70" w:rsidRDefault="00801AF3" w:rsidP="00FF5665">
            <w:pPr>
              <w:jc w:val="center"/>
            </w:pPr>
            <w:r w:rsidRPr="00161D70">
              <w:t>81.0/81.7/81.1</w:t>
            </w:r>
          </w:p>
        </w:tc>
      </w:tr>
      <w:tr w:rsidR="00801AF3" w:rsidRPr="00161D70" w14:paraId="76BA880B" w14:textId="77777777" w:rsidTr="00FF5665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5975" w14:textId="77777777" w:rsidR="00801AF3" w:rsidRPr="00161D70" w:rsidRDefault="00801AF3" w:rsidP="00FF5665">
            <w:pPr>
              <w:rPr>
                <w:b/>
              </w:rPr>
            </w:pPr>
            <w:r w:rsidRPr="00161D70">
              <w:rPr>
                <w:b/>
              </w:rPr>
              <w:t xml:space="preserve">No emesis </w:t>
            </w:r>
          </w:p>
          <w:p w14:paraId="618DA030" w14:textId="77777777" w:rsidR="00801AF3" w:rsidRPr="00161D70" w:rsidRDefault="00801AF3" w:rsidP="00FF5665">
            <w:pPr>
              <w:ind w:firstLine="198"/>
            </w:pPr>
            <w:r w:rsidRPr="00161D70">
              <w:t>Acute</w:t>
            </w:r>
          </w:p>
          <w:p w14:paraId="1147449B" w14:textId="77777777" w:rsidR="00801AF3" w:rsidRPr="00161D70" w:rsidRDefault="00801AF3" w:rsidP="00FF5665">
            <w:pPr>
              <w:ind w:firstLine="198"/>
            </w:pPr>
            <w:r w:rsidRPr="00161D70">
              <w:t>Delayed</w:t>
            </w:r>
          </w:p>
          <w:p w14:paraId="761FA8C0" w14:textId="77777777" w:rsidR="00801AF3" w:rsidRPr="00161D70" w:rsidRDefault="00801AF3" w:rsidP="00FF5665">
            <w:pPr>
              <w:ind w:firstLine="198"/>
            </w:pPr>
            <w:r w:rsidRPr="00161D70">
              <w:t>Overall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1AA" w14:textId="77777777" w:rsidR="00801AF3" w:rsidRDefault="00801AF3" w:rsidP="00FF5665">
            <w:pPr>
              <w:jc w:val="center"/>
            </w:pPr>
          </w:p>
          <w:p w14:paraId="20A77099" w14:textId="77777777" w:rsidR="00801AF3" w:rsidRDefault="00801AF3" w:rsidP="00FF5665">
            <w:pPr>
              <w:jc w:val="center"/>
            </w:pPr>
            <w:r>
              <w:t>90.8/-/-</w:t>
            </w:r>
          </w:p>
          <w:p w14:paraId="52976F41" w14:textId="77777777" w:rsidR="00801AF3" w:rsidRDefault="00801AF3" w:rsidP="00FF5665">
            <w:pPr>
              <w:jc w:val="center"/>
            </w:pPr>
            <w:r>
              <w:t>81.4/-/-</w:t>
            </w:r>
          </w:p>
          <w:p w14:paraId="1693EA01" w14:textId="77777777" w:rsidR="00801AF3" w:rsidRPr="00161D70" w:rsidRDefault="00801AF3" w:rsidP="00FF5665">
            <w:pPr>
              <w:jc w:val="center"/>
            </w:pPr>
            <w:r>
              <w:t>79.5/-/-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697" w14:textId="77777777" w:rsidR="00801AF3" w:rsidRDefault="00801AF3" w:rsidP="00FF5665">
            <w:pPr>
              <w:jc w:val="center"/>
            </w:pPr>
          </w:p>
          <w:p w14:paraId="5EF4CA9B" w14:textId="77777777" w:rsidR="00801AF3" w:rsidRDefault="00801AF3" w:rsidP="00FF5665">
            <w:pPr>
              <w:jc w:val="center"/>
            </w:pPr>
            <w:r>
              <w:t>92.6/-/-</w:t>
            </w:r>
          </w:p>
          <w:p w14:paraId="700D8EA6" w14:textId="77777777" w:rsidR="00801AF3" w:rsidRDefault="00801AF3" w:rsidP="00FF5665">
            <w:pPr>
              <w:jc w:val="center"/>
            </w:pPr>
            <w:r>
              <w:t>87.1/-/-</w:t>
            </w:r>
          </w:p>
          <w:p w14:paraId="53265730" w14:textId="77777777" w:rsidR="00801AF3" w:rsidRPr="00161D70" w:rsidRDefault="00801AF3" w:rsidP="00FF5665">
            <w:pPr>
              <w:jc w:val="center"/>
            </w:pPr>
            <w:r>
              <w:t>86.1/90.4/89.2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109" w14:textId="77777777" w:rsidR="00801AF3" w:rsidRDefault="00801AF3" w:rsidP="00FF5665">
            <w:pPr>
              <w:jc w:val="center"/>
            </w:pPr>
          </w:p>
          <w:p w14:paraId="6A8D8C84" w14:textId="77777777" w:rsidR="00801AF3" w:rsidRDefault="00801AF3" w:rsidP="00FF5665">
            <w:pPr>
              <w:jc w:val="center"/>
            </w:pPr>
            <w:r w:rsidRPr="00417288">
              <w:t>94.2/95.1/</w:t>
            </w:r>
            <w:r>
              <w:t>96.2</w:t>
            </w:r>
          </w:p>
          <w:p w14:paraId="53549146" w14:textId="77777777" w:rsidR="00801AF3" w:rsidRDefault="00801AF3" w:rsidP="00FF5665">
            <w:pPr>
              <w:jc w:val="center"/>
            </w:pPr>
            <w:r>
              <w:t>97.1/96.7/96.9</w:t>
            </w:r>
          </w:p>
          <w:p w14:paraId="6E561041" w14:textId="77777777" w:rsidR="00801AF3" w:rsidRPr="00161D70" w:rsidRDefault="00801AF3" w:rsidP="00FF5665">
            <w:pPr>
              <w:jc w:val="center"/>
            </w:pPr>
            <w:r>
              <w:t>92.8/93.5/94.4</w:t>
            </w:r>
          </w:p>
        </w:tc>
      </w:tr>
      <w:tr w:rsidR="00801AF3" w:rsidRPr="00161D70" w14:paraId="0CAC71BA" w14:textId="77777777" w:rsidTr="00FF5665">
        <w:trPr>
          <w:trHeight w:val="10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06B4" w14:textId="77777777" w:rsidR="00801AF3" w:rsidRPr="00161D70" w:rsidRDefault="00801AF3" w:rsidP="00FF5665">
            <w:r w:rsidRPr="00161D70">
              <w:rPr>
                <w:b/>
              </w:rPr>
              <w:t xml:space="preserve">NSN </w:t>
            </w:r>
          </w:p>
          <w:p w14:paraId="01C81936" w14:textId="77777777" w:rsidR="00801AF3" w:rsidRPr="00161D70" w:rsidRDefault="00801AF3" w:rsidP="00FF5665">
            <w:pPr>
              <w:ind w:firstLine="198"/>
            </w:pPr>
            <w:r w:rsidRPr="00161D70">
              <w:t>Acute</w:t>
            </w:r>
          </w:p>
          <w:p w14:paraId="747BDCCB" w14:textId="77777777" w:rsidR="00801AF3" w:rsidRPr="00161D70" w:rsidRDefault="00801AF3" w:rsidP="00FF5665">
            <w:pPr>
              <w:ind w:firstLine="198"/>
            </w:pPr>
            <w:r w:rsidRPr="00161D70">
              <w:t>Delayed</w:t>
            </w:r>
          </w:p>
          <w:p w14:paraId="4ED25015" w14:textId="77777777" w:rsidR="00801AF3" w:rsidRPr="00161D70" w:rsidRDefault="00801AF3" w:rsidP="00FF5665">
            <w:pPr>
              <w:ind w:firstLine="198"/>
            </w:pPr>
            <w:r w:rsidRPr="00161D70">
              <w:t>Overall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1B9A" w14:textId="77777777" w:rsidR="00801AF3" w:rsidRPr="00161D70" w:rsidRDefault="00801AF3" w:rsidP="00FF5665">
            <w:pPr>
              <w:jc w:val="center"/>
            </w:pPr>
          </w:p>
          <w:p w14:paraId="29CAEB51" w14:textId="77777777" w:rsidR="00801AF3" w:rsidRPr="00161D70" w:rsidRDefault="00801AF3" w:rsidP="00FF5665">
            <w:pPr>
              <w:jc w:val="center"/>
            </w:pPr>
            <w:r w:rsidRPr="00161D70">
              <w:t>87.0/88.7/88.9</w:t>
            </w:r>
          </w:p>
          <w:p w14:paraId="68B24C61" w14:textId="77777777" w:rsidR="00801AF3" w:rsidRPr="00161D70" w:rsidRDefault="00801AF3" w:rsidP="00FF5665">
            <w:pPr>
              <w:jc w:val="center"/>
            </w:pPr>
            <w:r w:rsidRPr="00161D70">
              <w:t>76.6/79.2/79.5</w:t>
            </w:r>
          </w:p>
          <w:p w14:paraId="1B2909CB" w14:textId="77777777" w:rsidR="00801AF3" w:rsidRPr="00161D70" w:rsidRDefault="00801AF3" w:rsidP="00FF5665">
            <w:pPr>
              <w:jc w:val="center"/>
            </w:pPr>
            <w:r w:rsidRPr="00161D70">
              <w:t>74.2/77.0/78.2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172" w14:textId="77777777" w:rsidR="00801AF3" w:rsidRDefault="00801AF3" w:rsidP="00FF5665">
            <w:pPr>
              <w:jc w:val="center"/>
            </w:pPr>
          </w:p>
          <w:p w14:paraId="3A97BDF1" w14:textId="77777777" w:rsidR="00801AF3" w:rsidRDefault="00801AF3" w:rsidP="00FF5665">
            <w:pPr>
              <w:jc w:val="center"/>
            </w:pPr>
            <w:r>
              <w:t>85.1/-/-</w:t>
            </w:r>
          </w:p>
          <w:p w14:paraId="6A5EA3FC" w14:textId="77777777" w:rsidR="00801AF3" w:rsidRDefault="00801AF3" w:rsidP="00FF5665">
            <w:pPr>
              <w:jc w:val="center"/>
            </w:pPr>
            <w:r>
              <w:t>77.2/-/-</w:t>
            </w:r>
          </w:p>
          <w:p w14:paraId="4BC5E7CB" w14:textId="77777777" w:rsidR="00801AF3" w:rsidRPr="00161D70" w:rsidRDefault="00801AF3" w:rsidP="00FF5665">
            <w:pPr>
              <w:jc w:val="center"/>
            </w:pPr>
            <w:r>
              <w:t>74.8/73.2/80.9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2A25" w14:textId="77777777" w:rsidR="00801AF3" w:rsidRDefault="00801AF3" w:rsidP="00FF5665">
            <w:pPr>
              <w:jc w:val="center"/>
            </w:pPr>
          </w:p>
          <w:p w14:paraId="580F8749" w14:textId="77777777" w:rsidR="00801AF3" w:rsidRDefault="00801AF3" w:rsidP="00FF5665">
            <w:pPr>
              <w:jc w:val="center"/>
            </w:pPr>
            <w:r>
              <w:t>69.1/73.9/76.0</w:t>
            </w:r>
          </w:p>
          <w:p w14:paraId="66C5DE0D" w14:textId="77777777" w:rsidR="00801AF3" w:rsidRDefault="00801AF3" w:rsidP="00FF5665">
            <w:pPr>
              <w:jc w:val="center"/>
            </w:pPr>
            <w:r>
              <w:t>72.7/71.5/70.1</w:t>
            </w:r>
          </w:p>
          <w:p w14:paraId="4FE48418" w14:textId="77777777" w:rsidR="00801AF3" w:rsidRPr="00161D70" w:rsidRDefault="00801AF3" w:rsidP="00FF5665">
            <w:pPr>
              <w:jc w:val="center"/>
            </w:pPr>
            <w:r>
              <w:t>60.1/61.8/62.4</w:t>
            </w:r>
          </w:p>
        </w:tc>
      </w:tr>
    </w:tbl>
    <w:p w14:paraId="4E939A5A" w14:textId="77777777" w:rsidR="00801AF3" w:rsidRDefault="00801AF3" w:rsidP="00801AF3">
      <w:pPr>
        <w:rPr>
          <w:rFonts w:cstheme="minorHAnsi"/>
          <w:sz w:val="18"/>
          <w:szCs w:val="18"/>
          <w:lang w:val="en-GB"/>
        </w:rPr>
      </w:pPr>
      <w:r w:rsidRPr="0020758A">
        <w:rPr>
          <w:sz w:val="18"/>
          <w:szCs w:val="18"/>
        </w:rPr>
        <w:t>*</w:t>
      </w:r>
      <w:r w:rsidRPr="00332BAA">
        <w:rPr>
          <w:rFonts w:cstheme="minorHAnsi"/>
          <w:kern w:val="22"/>
          <w:sz w:val="18"/>
          <w:szCs w:val="18"/>
        </w:rPr>
        <w:t>Number of evaluable patients for CR in cycles 1/2/3 by phase: acute, 1120/1092/1047; delayed,</w:t>
      </w:r>
      <w:r w:rsidRPr="00332BAA">
        <w:rPr>
          <w:rFonts w:cstheme="minorHAnsi"/>
          <w:sz w:val="18"/>
          <w:szCs w:val="18"/>
        </w:rPr>
        <w:t xml:space="preserve"> 1093/1067/1023; overall, 1075/1055/1023.</w:t>
      </w:r>
      <w:r>
        <w:rPr>
          <w:rFonts w:cstheme="minorHAns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  <w:vertAlign w:val="superscript"/>
        </w:rPr>
        <w:t>†</w:t>
      </w:r>
      <w:r w:rsidRPr="00332BAA">
        <w:rPr>
          <w:rFonts w:cstheme="minorHAnsi"/>
          <w:kern w:val="22"/>
          <w:sz w:val="18"/>
          <w:szCs w:val="18"/>
        </w:rPr>
        <w:t>Number of evaluable patients for no emesis in cycles 1/2/3 by phase: acute, 1120/1092/1047; delayed,</w:t>
      </w:r>
      <w:r w:rsidRPr="00332BAA">
        <w:rPr>
          <w:rFonts w:cstheme="minorHAnsi"/>
          <w:sz w:val="18"/>
          <w:szCs w:val="18"/>
        </w:rPr>
        <w:t xml:space="preserve"> 1093/1067/1023; overall, 1075/1055/10</w:t>
      </w:r>
      <w:r>
        <w:rPr>
          <w:rFonts w:cstheme="minorHAnsi"/>
          <w:sz w:val="18"/>
          <w:szCs w:val="18"/>
        </w:rPr>
        <w:t>1</w:t>
      </w:r>
      <w:r w:rsidRPr="00332BAA">
        <w:rPr>
          <w:rFonts w:cstheme="minorHAnsi"/>
          <w:sz w:val="18"/>
          <w:szCs w:val="18"/>
        </w:rPr>
        <w:t>3.</w:t>
      </w:r>
      <w:r w:rsidRPr="00332BAA">
        <w:rPr>
          <w:sz w:val="18"/>
          <w:szCs w:val="18"/>
        </w:rPr>
        <w:br/>
      </w:r>
      <w:r>
        <w:rPr>
          <w:rFonts w:ascii="Calibri" w:hAnsi="Calibri" w:cs="Calibri"/>
          <w:sz w:val="18"/>
          <w:szCs w:val="18"/>
          <w:vertAlign w:val="superscript"/>
        </w:rPr>
        <w:t>‡</w:t>
      </w:r>
      <w:r w:rsidRPr="00332BAA">
        <w:rPr>
          <w:rFonts w:cstheme="minorHAnsi"/>
          <w:kern w:val="22"/>
          <w:sz w:val="18"/>
          <w:szCs w:val="18"/>
        </w:rPr>
        <w:t>Number of evaluable patients for NSN in cycles 1/2/3 by phase: acute, 1130/1102/1057; delayed,</w:t>
      </w:r>
      <w:r w:rsidRPr="00332BAA">
        <w:rPr>
          <w:rFonts w:cstheme="minorHAnsi"/>
          <w:sz w:val="18"/>
          <w:szCs w:val="18"/>
        </w:rPr>
        <w:t xml:space="preserve"> 1119/1093/1044; overall, 1103/1085/1038.</w:t>
      </w:r>
      <w:r w:rsidRPr="00332BAA">
        <w:rPr>
          <w:sz w:val="18"/>
          <w:szCs w:val="18"/>
        </w:rPr>
        <w:br/>
        <w:t>AC</w:t>
      </w:r>
      <w:r>
        <w:rPr>
          <w:sz w:val="18"/>
          <w:szCs w:val="18"/>
        </w:rPr>
        <w:t>,</w:t>
      </w:r>
      <w:r w:rsidRPr="00332BAA">
        <w:rPr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val="en-GB"/>
        </w:rPr>
        <w:t>anthracycline</w:t>
      </w:r>
      <w:r w:rsidRPr="00F9130A">
        <w:rPr>
          <w:rFonts w:cstheme="minorHAnsi"/>
          <w:sz w:val="18"/>
          <w:szCs w:val="18"/>
          <w:lang w:val="en-GB"/>
        </w:rPr>
        <w:t xml:space="preserve"> </w:t>
      </w:r>
      <w:r>
        <w:rPr>
          <w:sz w:val="18"/>
          <w:szCs w:val="18"/>
        </w:rPr>
        <w:t>plus</w:t>
      </w:r>
      <w:r w:rsidRPr="00332BAA">
        <w:rPr>
          <w:sz w:val="18"/>
          <w:szCs w:val="18"/>
        </w:rPr>
        <w:t xml:space="preserve"> cyclophosphamide; </w:t>
      </w:r>
      <w:r>
        <w:rPr>
          <w:sz w:val="18"/>
          <w:szCs w:val="18"/>
        </w:rPr>
        <w:t xml:space="preserve">CR, complete response; </w:t>
      </w:r>
      <w:r w:rsidRPr="00332BAA">
        <w:rPr>
          <w:sz w:val="18"/>
          <w:szCs w:val="18"/>
        </w:rPr>
        <w:t>DEX</w:t>
      </w:r>
      <w:r>
        <w:rPr>
          <w:sz w:val="18"/>
          <w:szCs w:val="18"/>
        </w:rPr>
        <w:t>,</w:t>
      </w:r>
      <w:r w:rsidRPr="00332BAA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332BAA">
        <w:rPr>
          <w:sz w:val="18"/>
          <w:szCs w:val="18"/>
        </w:rPr>
        <w:t>examethasone</w:t>
      </w:r>
      <w:r>
        <w:rPr>
          <w:rFonts w:cstheme="minorHAnsi"/>
          <w:sz w:val="18"/>
          <w:szCs w:val="18"/>
        </w:rPr>
        <w:t>;</w:t>
      </w:r>
      <w:r w:rsidRPr="00272B24">
        <w:rPr>
          <w:rFonts w:cstheme="minorHAnsi"/>
          <w:sz w:val="18"/>
          <w:szCs w:val="18"/>
        </w:rPr>
        <w:t xml:space="preserve"> </w:t>
      </w:r>
      <w:r w:rsidRPr="00332BAA">
        <w:rPr>
          <w:sz w:val="18"/>
          <w:szCs w:val="18"/>
        </w:rPr>
        <w:t>HEC</w:t>
      </w:r>
      <w:r>
        <w:rPr>
          <w:sz w:val="18"/>
          <w:szCs w:val="18"/>
        </w:rPr>
        <w:t>,</w:t>
      </w:r>
      <w:r w:rsidRPr="00332BAA">
        <w:rPr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 w:rsidRPr="00332BAA">
        <w:rPr>
          <w:sz w:val="18"/>
          <w:szCs w:val="18"/>
        </w:rPr>
        <w:t>ighly emetogenic chemotherapy</w:t>
      </w:r>
      <w:r>
        <w:rPr>
          <w:sz w:val="18"/>
          <w:szCs w:val="18"/>
        </w:rPr>
        <w:t xml:space="preserve">; </w:t>
      </w:r>
      <w:r w:rsidRPr="00332BAA">
        <w:rPr>
          <w:sz w:val="18"/>
          <w:szCs w:val="18"/>
        </w:rPr>
        <w:t>NEPA</w:t>
      </w:r>
      <w:r>
        <w:rPr>
          <w:sz w:val="18"/>
          <w:szCs w:val="18"/>
        </w:rPr>
        <w:t>,</w:t>
      </w:r>
      <w:r w:rsidRPr="00332BA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</w:t>
      </w:r>
      <w:r w:rsidRPr="00332BAA">
        <w:rPr>
          <w:sz w:val="18"/>
          <w:szCs w:val="18"/>
        </w:rPr>
        <w:t>etupitant</w:t>
      </w:r>
      <w:proofErr w:type="spellEnd"/>
      <w:r>
        <w:rPr>
          <w:sz w:val="18"/>
          <w:szCs w:val="18"/>
        </w:rPr>
        <w:t xml:space="preserve"> (300 mg) and </w:t>
      </w:r>
      <w:r w:rsidRPr="00332BAA">
        <w:rPr>
          <w:sz w:val="18"/>
          <w:szCs w:val="18"/>
        </w:rPr>
        <w:t>palonosetron</w:t>
      </w:r>
      <w:r>
        <w:rPr>
          <w:sz w:val="18"/>
          <w:szCs w:val="18"/>
        </w:rPr>
        <w:t xml:space="preserve"> (0.50 mg)</w:t>
      </w:r>
      <w:r w:rsidRPr="00332BAA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NSN, no significant nausea; </w:t>
      </w:r>
      <w:r w:rsidRPr="00332BAA">
        <w:rPr>
          <w:sz w:val="18"/>
          <w:szCs w:val="18"/>
        </w:rPr>
        <w:t>PALO</w:t>
      </w:r>
      <w:r>
        <w:rPr>
          <w:sz w:val="18"/>
          <w:szCs w:val="18"/>
        </w:rPr>
        <w:t>,</w:t>
      </w:r>
      <w:r w:rsidRPr="00332BAA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332BAA">
        <w:rPr>
          <w:sz w:val="18"/>
          <w:szCs w:val="18"/>
        </w:rPr>
        <w:t>alonosetron.</w:t>
      </w:r>
    </w:p>
    <w:p w14:paraId="0B8B3161" w14:textId="77777777" w:rsidR="00F378E3" w:rsidRDefault="00F378E3" w:rsidP="007D2FFC">
      <w:pPr>
        <w:rPr>
          <w:rFonts w:cstheme="minorHAnsi"/>
          <w:b/>
          <w:bCs/>
          <w:lang w:val="en-GB"/>
        </w:rPr>
      </w:pPr>
    </w:p>
    <w:p w14:paraId="4DC7A238" w14:textId="26F7CD49" w:rsidR="007D2FFC" w:rsidRPr="000650F2" w:rsidRDefault="007D2FFC" w:rsidP="007D2FFC">
      <w:pPr>
        <w:rPr>
          <w:rFonts w:cstheme="minorHAnsi"/>
          <w:b/>
          <w:bCs/>
          <w:lang w:val="en-GB"/>
        </w:rPr>
      </w:pPr>
      <w:r w:rsidRPr="000650F2">
        <w:rPr>
          <w:rFonts w:cstheme="minorHAnsi"/>
          <w:b/>
          <w:bCs/>
          <w:lang w:val="en-GB"/>
        </w:rPr>
        <w:t>Supplementary references:</w:t>
      </w:r>
    </w:p>
    <w:p w14:paraId="4A968869" w14:textId="79F97531" w:rsidR="007D2FFC" w:rsidRPr="00F378E3" w:rsidRDefault="007D2FFC" w:rsidP="00F378E3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proofErr w:type="spellStart"/>
      <w:r w:rsidRPr="00F378E3">
        <w:rPr>
          <w:rFonts w:cstheme="minorHAnsi"/>
        </w:rPr>
        <w:t>Aapro</w:t>
      </w:r>
      <w:proofErr w:type="spellEnd"/>
      <w:r w:rsidRPr="00F378E3">
        <w:rPr>
          <w:rFonts w:cstheme="minorHAnsi"/>
        </w:rPr>
        <w:t xml:space="preserve"> M and Schwartzberg L. Efficacy of intravenous (IV) NEPA and oral NEPA, fixed NK1/5-HT3 receptor antagonist combination agents, for prevention of chemotherapy-induced nausea and vomiting following anthracycline-cyclophosphamide (AC)-based chemotherapy. San Antonio Breast Cancer Symposium. 2019. Poster P2-12-04.</w:t>
      </w:r>
    </w:p>
    <w:p w14:paraId="0BFBFC57" w14:textId="77777777" w:rsidR="007D2FFC" w:rsidRDefault="007D2FFC" w:rsidP="007D2FFC">
      <w:pPr>
        <w:spacing w:after="0" w:line="288" w:lineRule="auto"/>
        <w:jc w:val="both"/>
        <w:rPr>
          <w:rFonts w:cstheme="minorHAnsi"/>
        </w:rPr>
      </w:pPr>
    </w:p>
    <w:p w14:paraId="5D0C4110" w14:textId="662A53D0" w:rsidR="007D2FFC" w:rsidRDefault="007D2FFC" w:rsidP="00F378E3">
      <w:pPr>
        <w:pStyle w:val="Listenabsatz"/>
        <w:numPr>
          <w:ilvl w:val="0"/>
          <w:numId w:val="1"/>
        </w:numPr>
        <w:tabs>
          <w:tab w:val="left" w:pos="630"/>
          <w:tab w:val="left" w:pos="720"/>
        </w:tabs>
        <w:spacing w:line="360" w:lineRule="auto"/>
        <w:jc w:val="both"/>
      </w:pPr>
      <w:r w:rsidRPr="00F378E3">
        <w:rPr>
          <w:lang w:val="it-CH"/>
        </w:rPr>
        <w:t xml:space="preserve">Rugo HS, Rossi G, Rizzi G, et al. </w:t>
      </w:r>
      <w:r>
        <w:t>Efficacy of NEPA (</w:t>
      </w:r>
      <w:proofErr w:type="spellStart"/>
      <w:r>
        <w:t>netupitant</w:t>
      </w:r>
      <w:proofErr w:type="spellEnd"/>
      <w:r>
        <w:t xml:space="preserve">/palonosetron) across multiple cycles of chemotherapy in breast cancer patients: A </w:t>
      </w:r>
      <w:proofErr w:type="spellStart"/>
      <w:r>
        <w:t>subanalysis</w:t>
      </w:r>
      <w:proofErr w:type="spellEnd"/>
      <w:r>
        <w:t xml:space="preserve"> from two phase III trials. Breast. </w:t>
      </w:r>
      <w:proofErr w:type="gramStart"/>
      <w:r>
        <w:t>2017;33:76</w:t>
      </w:r>
      <w:proofErr w:type="gramEnd"/>
      <w:r>
        <w:t>–82.</w:t>
      </w:r>
    </w:p>
    <w:p w14:paraId="3A28EA24" w14:textId="549029D2" w:rsidR="007D2FFC" w:rsidRDefault="007D2FFC" w:rsidP="00F378E3">
      <w:pPr>
        <w:pStyle w:val="Listenabsatz"/>
        <w:numPr>
          <w:ilvl w:val="0"/>
          <w:numId w:val="1"/>
        </w:numPr>
        <w:spacing w:after="0" w:line="288" w:lineRule="auto"/>
        <w:jc w:val="both"/>
      </w:pPr>
      <w:r w:rsidRPr="00C544F5">
        <w:rPr>
          <w:lang w:val="de-CH"/>
        </w:rPr>
        <w:t xml:space="preserve">Schwartzberg, L., Voisin, D., Rizzi, G., Patel, K., Aapro, M., 2019. </w:t>
      </w:r>
      <w:r w:rsidRPr="005F12B1">
        <w:t>Safety of intravenous (IV) NEPA and oral NEPA for prevention of CINV in patients with breast cancer receiving anthracycline/cyclophosphamide (AC) chemotherapy. Support. Care Cancer 27 (Suppl 1</w:t>
      </w:r>
      <w:proofErr w:type="gramStart"/>
      <w:r w:rsidRPr="005F12B1">
        <w:t>):abstract</w:t>
      </w:r>
      <w:proofErr w:type="gramEnd"/>
      <w:r>
        <w:t xml:space="preserve"> eP023.</w:t>
      </w:r>
    </w:p>
    <w:p w14:paraId="4EAB2D10" w14:textId="77777777" w:rsidR="007D2FFC" w:rsidRDefault="007D2FFC" w:rsidP="007D2FFC">
      <w:pPr>
        <w:spacing w:after="0" w:line="288" w:lineRule="auto"/>
        <w:jc w:val="both"/>
      </w:pPr>
    </w:p>
    <w:p w14:paraId="17EC8B51" w14:textId="2B505657" w:rsidR="007D2FFC" w:rsidRPr="00F378E3" w:rsidRDefault="007D2FFC" w:rsidP="00F378E3">
      <w:pPr>
        <w:pStyle w:val="Listenabsatz"/>
        <w:numPr>
          <w:ilvl w:val="0"/>
          <w:numId w:val="1"/>
        </w:numPr>
        <w:spacing w:after="0" w:line="288" w:lineRule="auto"/>
        <w:jc w:val="both"/>
        <w:rPr>
          <w:lang w:val="de-DE"/>
        </w:rPr>
      </w:pPr>
      <w:r>
        <w:t xml:space="preserve">Schwartzberg L, </w:t>
      </w:r>
      <w:proofErr w:type="spellStart"/>
      <w:r>
        <w:t>Navari</w:t>
      </w:r>
      <w:proofErr w:type="spellEnd"/>
      <w:r>
        <w:t xml:space="preserve"> R, Clark-Snow R, et al. Phase 3b safety and efficacy of intravenous NEPA for prevention of chemotherapy-induced nausea and vomiting (CINV) in patients with </w:t>
      </w:r>
      <w:r>
        <w:lastRenderedPageBreak/>
        <w:t xml:space="preserve">breast cancer receiving initial and repeat cycles of anthracycline/cyclophosphamide (AC) chemotherapy. </w:t>
      </w:r>
      <w:r w:rsidRPr="00F378E3">
        <w:rPr>
          <w:lang w:val="de-DE"/>
        </w:rPr>
        <w:t xml:space="preserve">The </w:t>
      </w:r>
      <w:proofErr w:type="spellStart"/>
      <w:r w:rsidRPr="00F378E3">
        <w:rPr>
          <w:lang w:val="de-DE"/>
        </w:rPr>
        <w:t>Oncologist</w:t>
      </w:r>
      <w:proofErr w:type="spellEnd"/>
      <w:r w:rsidRPr="00F378E3">
        <w:rPr>
          <w:lang w:val="de-DE"/>
        </w:rPr>
        <w:t>. 2020;25(3</w:t>
      </w:r>
      <w:proofErr w:type="gramStart"/>
      <w:r w:rsidRPr="00F378E3">
        <w:rPr>
          <w:lang w:val="de-DE"/>
        </w:rPr>
        <w:t>):e</w:t>
      </w:r>
      <w:proofErr w:type="gramEnd"/>
      <w:r w:rsidRPr="00F378E3">
        <w:rPr>
          <w:lang w:val="de-DE"/>
        </w:rPr>
        <w:t>589–e597.</w:t>
      </w:r>
    </w:p>
    <w:p w14:paraId="46D11763" w14:textId="77777777" w:rsidR="006212E3" w:rsidRDefault="006212E3"/>
    <w:sectPr w:rsidR="0062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032E9"/>
    <w:multiLevelType w:val="hybridMultilevel"/>
    <w:tmpl w:val="957E8C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4C"/>
    <w:rsid w:val="0027331E"/>
    <w:rsid w:val="003F7A45"/>
    <w:rsid w:val="006212E3"/>
    <w:rsid w:val="007D2FFC"/>
    <w:rsid w:val="00801AF3"/>
    <w:rsid w:val="00894B4C"/>
    <w:rsid w:val="00A24E71"/>
    <w:rsid w:val="00B9398B"/>
    <w:rsid w:val="00C544F5"/>
    <w:rsid w:val="00CE17D9"/>
    <w:rsid w:val="00F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A1672"/>
  <w15:chartTrackingRefBased/>
  <w15:docId w15:val="{AA8826F3-2B58-4861-BAE9-1940C2F4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01AF3"/>
    <w:rPr>
      <w:rFonts w:cstheme="minorBid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1AF3"/>
    <w:pPr>
      <w:spacing w:after="0" w:line="240" w:lineRule="auto"/>
    </w:pPr>
    <w:rPr>
      <w:rFonts w:cstheme="minorBid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068b83-6393-43b1-b5f0-56fcf750c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A7E9CF101F429F8ABA02DDA8C2A8" ma:contentTypeVersion="13" ma:contentTypeDescription="Create a new document." ma:contentTypeScope="" ma:versionID="43c41e5fb73d2a16425bf79046255f1d">
  <xsd:schema xmlns:xsd="http://www.w3.org/2001/XMLSchema" xmlns:xs="http://www.w3.org/2001/XMLSchema" xmlns:p="http://schemas.microsoft.com/office/2006/metadata/properties" xmlns:ns2="0d068b83-6393-43b1-b5f0-56fcf750ccaa" xmlns:ns3="f5c4c794-b219-42cb-bfc6-7bd5e3fe7365" targetNamespace="http://schemas.microsoft.com/office/2006/metadata/properties" ma:root="true" ma:fieldsID="f8e71098c2012bec9b4e87b8cca10609" ns2:_="" ns3:_="">
    <xsd:import namespace="0d068b83-6393-43b1-b5f0-56fcf750ccaa"/>
    <xsd:import namespace="f5c4c794-b219-42cb-bfc6-7bd5e3fe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8b83-6393-43b1-b5f0-56fcf750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c794-b219-42cb-bfc6-7bd5e3fe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CC55E-9942-4F4F-9F2A-70700944E5FA}">
  <ds:schemaRefs>
    <ds:schemaRef ds:uri="http://schemas.microsoft.com/office/2006/metadata/properties"/>
    <ds:schemaRef ds:uri="http://schemas.microsoft.com/office/infopath/2007/PartnerControls"/>
    <ds:schemaRef ds:uri="0d068b83-6393-43b1-b5f0-56fcf750ccaa"/>
  </ds:schemaRefs>
</ds:datastoreItem>
</file>

<file path=customXml/itemProps2.xml><?xml version="1.0" encoding="utf-8"?>
<ds:datastoreItem xmlns:ds="http://schemas.openxmlformats.org/officeDocument/2006/customXml" ds:itemID="{5B2D7679-842C-49E7-8A06-C65E05D87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5558F-C3BF-4DF2-AAB1-5E661B88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8b83-6393-43b1-b5f0-56fcf750ccaa"/>
    <ds:schemaRef ds:uri="f5c4c794-b219-42cb-bfc6-7bd5e3fe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Iratxe Abarrategui, PhD, CMPP</dc:creator>
  <cp:keywords/>
  <dc:description/>
  <cp:lastModifiedBy>Yvonne Rebmann</cp:lastModifiedBy>
  <cp:revision>2</cp:revision>
  <dcterms:created xsi:type="dcterms:W3CDTF">2021-01-29T16:30:00Z</dcterms:created>
  <dcterms:modified xsi:type="dcterms:W3CDTF">2021-01-29T16:30:00Z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0x0101003FA1A7E9CF101F429F8ABA02DDA8C2A8</vt:lpwstr>
  </property>
</Properties>
</file>