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000" w:type="pct"/>
        <w:tblLayout w:type="fixed"/>
        <w:tblLook w:val="00A0" w:firstRow="1" w:lastRow="0" w:firstColumn="1" w:lastColumn="0" w:noHBand="0" w:noVBand="0"/>
      </w:tblPr>
      <w:tblGrid>
        <w:gridCol w:w="3682"/>
        <w:gridCol w:w="6280"/>
      </w:tblGrid>
      <w:tr w:rsidR="00BD427C" w:rsidRPr="0025244E" w14:paraId="30FF0069" w14:textId="77777777" w:rsidTr="003E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</w:tcPr>
          <w:p w14:paraId="551C1283" w14:textId="0F268F5D" w:rsidR="00BD427C" w:rsidRPr="0025244E" w:rsidRDefault="00BD427C" w:rsidP="003E6CA4">
            <w:pPr>
              <w:pStyle w:val="Heading2"/>
              <w:spacing w:before="60"/>
              <w:outlineLvl w:val="1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en-US"/>
              </w:rPr>
              <w:t xml:space="preserve">Supplementary Table S1. Statistical </w:t>
            </w:r>
            <w:r w:rsidR="00CD0174" w:rsidRPr="0025244E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en-US"/>
              </w:rPr>
              <w:t>m</w:t>
            </w:r>
            <w:r w:rsidRPr="0025244E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en-US"/>
              </w:rPr>
              <w:t>ethods</w:t>
            </w:r>
          </w:p>
        </w:tc>
      </w:tr>
      <w:tr w:rsidR="00BD427C" w:rsidRPr="0025244E" w14:paraId="4C17492A" w14:textId="77777777" w:rsidTr="003E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tcBorders>
              <w:top w:val="single" w:sz="4" w:space="0" w:color="auto"/>
            </w:tcBorders>
          </w:tcPr>
          <w:p w14:paraId="41BF874C" w14:textId="75B29B4D" w:rsidR="00BD427C" w:rsidRPr="0025244E" w:rsidRDefault="00BD427C" w:rsidP="003E6CA4">
            <w:pPr>
              <w:keepNext/>
              <w:adjustRightInd w:val="0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Applied </w:t>
            </w:r>
            <w:r w:rsidR="001B30CB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tatistical </w:t>
            </w:r>
            <w:r w:rsidR="001B30CB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ethod</w:t>
            </w:r>
          </w:p>
        </w:tc>
        <w:tc>
          <w:tcPr>
            <w:tcW w:w="3152" w:type="pct"/>
            <w:tcBorders>
              <w:top w:val="single" w:sz="4" w:space="0" w:color="auto"/>
            </w:tcBorders>
          </w:tcPr>
          <w:p w14:paraId="6BB64F90" w14:textId="12146695" w:rsidR="00BD427C" w:rsidRPr="0025244E" w:rsidRDefault="00BD427C" w:rsidP="00865201">
            <w:pPr>
              <w:keepNext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Details of the </w:t>
            </w:r>
            <w:r w:rsidR="001B30CB" w:rsidRPr="002524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</w:t>
            </w:r>
            <w:r w:rsidRPr="002524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pplied </w:t>
            </w:r>
            <w:r w:rsidR="001B30CB" w:rsidRPr="002524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</w:t>
            </w:r>
            <w:r w:rsidRPr="002524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tatistical </w:t>
            </w:r>
            <w:r w:rsidR="001B30CB" w:rsidRPr="002524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25244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ethod</w:t>
            </w:r>
          </w:p>
        </w:tc>
      </w:tr>
      <w:tr w:rsidR="00BD427C" w:rsidRPr="0025244E" w14:paraId="5B220F87" w14:textId="77777777" w:rsidTr="00127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vAlign w:val="center"/>
          </w:tcPr>
          <w:p w14:paraId="345EA1DB" w14:textId="04AA0A74" w:rsidR="00BD427C" w:rsidRPr="0025244E" w:rsidRDefault="00BD427C" w:rsidP="00127565">
            <w:pPr>
              <w:adjustRightInd w:val="0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Generalized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inear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m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odels (GLIMs)</w:t>
            </w:r>
          </w:p>
        </w:tc>
        <w:tc>
          <w:tcPr>
            <w:tcW w:w="3152" w:type="pct"/>
          </w:tcPr>
          <w:p w14:paraId="3358F09F" w14:textId="77777777" w:rsidR="00BD427C" w:rsidRPr="0025244E" w:rsidRDefault="00BD427C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9" w:history="1">
              <w:r w:rsidRPr="002524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https://support.sas.com/rnd/app/stat/procedures/genmod.html</w:t>
              </w:r>
            </w:hyperlink>
          </w:p>
          <w:p w14:paraId="2D7420FB" w14:textId="284FD7D0" w:rsidR="00A400A8" w:rsidRPr="0025244E" w:rsidRDefault="00A400A8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44E">
              <w:rPr>
                <w:rFonts w:ascii="Calibri" w:eastAsia="Calibri" w:hAnsi="Calibri" w:cs="Arial"/>
                <w:lang w:val="en-US" w:eastAsia="en-US"/>
              </w:rPr>
              <w:t>[</w:t>
            </w:r>
            <w:r w:rsidRPr="0025244E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Accessed January 22, 2021]</w:t>
            </w:r>
          </w:p>
        </w:tc>
      </w:tr>
      <w:tr w:rsidR="00BD427C" w:rsidRPr="0025244E" w14:paraId="37F70A71" w14:textId="77777777" w:rsidTr="00127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vAlign w:val="center"/>
          </w:tcPr>
          <w:p w14:paraId="44BA9FC9" w14:textId="0A5FBC57" w:rsidR="00BD427C" w:rsidRPr="0025244E" w:rsidRDefault="00BD427C" w:rsidP="00127565">
            <w:pPr>
              <w:adjustRightInd w:val="0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Multiple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i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mputation (for handling missing data)</w:t>
            </w:r>
          </w:p>
        </w:tc>
        <w:tc>
          <w:tcPr>
            <w:tcW w:w="3152" w:type="pct"/>
          </w:tcPr>
          <w:p w14:paraId="4690B185" w14:textId="115ECCFF" w:rsidR="00BD427C" w:rsidRPr="0025244E" w:rsidRDefault="00BD427C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Yuan</w:t>
            </w:r>
            <w:r w:rsidR="00BC761F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="00EE4785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Multiple imputation using SAS </w:t>
            </w:r>
            <w:r w:rsidR="00660455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oftware. J Stat Softw </w:t>
            </w:r>
            <w:r w:rsidR="00564249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2011;</w:t>
            </w: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  <w:r w:rsidR="00564249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660455"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1–25</w:t>
            </w:r>
            <w:r w:rsidRPr="002524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doi:10.18637/jss.v045.i06</w:t>
            </w:r>
          </w:p>
        </w:tc>
      </w:tr>
      <w:tr w:rsidR="00BD427C" w:rsidRPr="0025244E" w14:paraId="6EDF1862" w14:textId="77777777" w:rsidTr="00127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vAlign w:val="center"/>
          </w:tcPr>
          <w:p w14:paraId="1B5863B3" w14:textId="7F5F7161" w:rsidR="00BD427C" w:rsidRPr="0025244E" w:rsidRDefault="00BD427C" w:rsidP="00127565">
            <w:pPr>
              <w:adjustRightInd w:val="0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Nonparametric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urvival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nalysis (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og-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ank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t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est)</w:t>
            </w:r>
          </w:p>
        </w:tc>
        <w:tc>
          <w:tcPr>
            <w:tcW w:w="3152" w:type="pct"/>
          </w:tcPr>
          <w:p w14:paraId="208C83D9" w14:textId="77777777" w:rsidR="00BD427C" w:rsidRPr="0025244E" w:rsidRDefault="00BD427C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10" w:history="1">
              <w:r w:rsidRPr="002524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http://www.math.wpi.edu/saspdf/stat/chap37.pdf</w:t>
              </w:r>
            </w:hyperlink>
          </w:p>
          <w:p w14:paraId="28F58AEB" w14:textId="49AAE63C" w:rsidR="00A400A8" w:rsidRPr="0025244E" w:rsidRDefault="00A400A8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44E">
              <w:rPr>
                <w:rFonts w:ascii="Calibri" w:eastAsia="Calibri" w:hAnsi="Calibri" w:cs="Arial"/>
                <w:lang w:val="en-US" w:eastAsia="en-US"/>
              </w:rPr>
              <w:t>[</w:t>
            </w:r>
            <w:r w:rsidRPr="0025244E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Accessed January 22, 2021]</w:t>
            </w:r>
          </w:p>
        </w:tc>
      </w:tr>
      <w:tr w:rsidR="00BD427C" w:rsidRPr="0025244E" w14:paraId="01554325" w14:textId="77777777" w:rsidTr="00127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vAlign w:val="center"/>
          </w:tcPr>
          <w:p w14:paraId="7FB75E96" w14:textId="534F8D85" w:rsidR="00BD427C" w:rsidRPr="0025244E" w:rsidRDefault="00BD427C" w:rsidP="00127565">
            <w:pPr>
              <w:adjustRightInd w:val="0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Generalized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stimating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quation (GEE)</w:t>
            </w:r>
          </w:p>
        </w:tc>
        <w:tc>
          <w:tcPr>
            <w:tcW w:w="3152" w:type="pct"/>
          </w:tcPr>
          <w:p w14:paraId="3BCDDE31" w14:textId="77777777" w:rsidR="00BD427C" w:rsidRPr="0025244E" w:rsidRDefault="00BD427C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11" w:history="1">
              <w:r w:rsidRPr="002524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https://documentation.sas.com/?cdcId=pgmsascdc&amp;cdcVersion=9.4_3.4&amp;docsetId=statug&amp;docsetTarget=statug_gee_syntax01.htm&amp;locale=en</w:t>
              </w:r>
            </w:hyperlink>
          </w:p>
          <w:p w14:paraId="38B48B6A" w14:textId="63D1C61B" w:rsidR="00A400A8" w:rsidRPr="0025244E" w:rsidRDefault="00A400A8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44E">
              <w:rPr>
                <w:rFonts w:ascii="Calibri" w:eastAsia="Calibri" w:hAnsi="Calibri" w:cs="Arial"/>
                <w:lang w:val="en-US" w:eastAsia="en-US"/>
              </w:rPr>
              <w:t>[</w:t>
            </w:r>
            <w:r w:rsidRPr="0025244E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Accessed January 22, 2021]</w:t>
            </w:r>
          </w:p>
        </w:tc>
      </w:tr>
      <w:tr w:rsidR="00BD427C" w:rsidRPr="0025244E" w14:paraId="60908CE3" w14:textId="77777777" w:rsidTr="00127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pct"/>
            <w:vAlign w:val="center"/>
          </w:tcPr>
          <w:p w14:paraId="3EFD898E" w14:textId="16A37C08" w:rsidR="00BD427C" w:rsidRPr="0025244E" w:rsidRDefault="00BD427C" w:rsidP="00127565">
            <w:pPr>
              <w:adjustRightInd w:val="0"/>
              <w:spacing w:before="60" w:after="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Multivariate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t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ime-to-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vent </w:t>
            </w:r>
            <w:r w:rsidR="00315CC7"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</w:t>
            </w:r>
            <w:r w:rsidRPr="0025244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nalysis</w:t>
            </w:r>
          </w:p>
        </w:tc>
        <w:tc>
          <w:tcPr>
            <w:tcW w:w="3152" w:type="pct"/>
          </w:tcPr>
          <w:p w14:paraId="2229425C" w14:textId="77777777" w:rsidR="00BD427C" w:rsidRPr="0025244E" w:rsidRDefault="00BD427C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12" w:history="1">
              <w:r w:rsidRPr="0025244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https://support.sas.com/resources/papers/proceedings10/255-2010.pdf</w:t>
              </w:r>
            </w:hyperlink>
          </w:p>
          <w:p w14:paraId="1F92DF63" w14:textId="23E386C9" w:rsidR="00A400A8" w:rsidRPr="0025244E" w:rsidRDefault="00A400A8" w:rsidP="00865201">
            <w:pPr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244E">
              <w:rPr>
                <w:rFonts w:ascii="Calibri" w:eastAsia="Calibri" w:hAnsi="Calibri" w:cs="Arial"/>
                <w:lang w:val="en-US" w:eastAsia="en-US"/>
              </w:rPr>
              <w:t>[</w:t>
            </w:r>
            <w:r w:rsidRPr="0025244E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Accessed January 22, 2021]</w:t>
            </w:r>
          </w:p>
        </w:tc>
      </w:tr>
    </w:tbl>
    <w:p w14:paraId="00FAC5D3" w14:textId="532CA988" w:rsidR="00890693" w:rsidRPr="0025244E" w:rsidRDefault="00890693" w:rsidP="00AE2D6F">
      <w:pPr>
        <w:jc w:val="center"/>
        <w:rPr>
          <w:rFonts w:asciiTheme="minorHAnsi" w:hAnsiTheme="minorHAnsi" w:cs="Calibri"/>
          <w:sz w:val="16"/>
          <w:lang w:val="en-US"/>
        </w:rPr>
      </w:pPr>
    </w:p>
    <w:p w14:paraId="7370A87C" w14:textId="77777777" w:rsidR="00BD427C" w:rsidRPr="0025244E" w:rsidRDefault="00BD427C" w:rsidP="00AE2D6F">
      <w:pPr>
        <w:jc w:val="center"/>
        <w:rPr>
          <w:rFonts w:asciiTheme="minorHAnsi" w:hAnsiTheme="minorHAnsi" w:cs="Calibri"/>
          <w:sz w:val="16"/>
          <w:lang w:val="en-US"/>
        </w:rPr>
      </w:pPr>
    </w:p>
    <w:tbl>
      <w:tblPr>
        <w:tblStyle w:val="GridTable1Light"/>
        <w:tblW w:w="5000" w:type="pct"/>
        <w:tblLook w:val="00A0" w:firstRow="1" w:lastRow="0" w:firstColumn="1" w:lastColumn="0" w:noHBand="0" w:noVBand="0"/>
      </w:tblPr>
      <w:tblGrid>
        <w:gridCol w:w="4269"/>
        <w:gridCol w:w="1913"/>
        <w:gridCol w:w="1913"/>
        <w:gridCol w:w="1867"/>
      </w:tblGrid>
      <w:tr w:rsidR="00362D3D" w:rsidRPr="0025244E" w14:paraId="17AA17B0" w14:textId="77777777" w:rsidTr="0036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</w:tcPr>
          <w:p w14:paraId="0F49A776" w14:textId="7D5F5DD2" w:rsidR="00362D3D" w:rsidRPr="0025244E" w:rsidRDefault="00362D3D" w:rsidP="00362D3D">
            <w:pPr>
              <w:pStyle w:val="Heading2"/>
              <w:spacing w:before="60"/>
              <w:outlineLvl w:val="1"/>
              <w:rPr>
                <w:rFonts w:asciiTheme="minorHAnsi" w:hAnsiTheme="minorHAnsi" w:cs="Calibri"/>
                <w:b/>
                <w:bCs/>
                <w:i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/>
                <w:bCs/>
                <w:i w:val="0"/>
                <w:sz w:val="22"/>
                <w:szCs w:val="22"/>
                <w:lang w:val="en-US"/>
              </w:rPr>
              <w:t xml:space="preserve">Supplementary Table </w:t>
            </w:r>
            <w:r w:rsidR="00BD427C" w:rsidRPr="0025244E">
              <w:rPr>
                <w:rFonts w:asciiTheme="minorHAnsi" w:hAnsiTheme="minorHAnsi" w:cs="Calibri"/>
                <w:b/>
                <w:bCs/>
                <w:i w:val="0"/>
                <w:sz w:val="22"/>
                <w:szCs w:val="22"/>
                <w:lang w:val="en-US"/>
              </w:rPr>
              <w:t>S2</w:t>
            </w:r>
            <w:r w:rsidRPr="0025244E">
              <w:rPr>
                <w:rFonts w:asciiTheme="minorHAnsi" w:hAnsiTheme="minorHAnsi" w:cs="Calibri"/>
                <w:b/>
                <w:bCs/>
                <w:i w:val="0"/>
                <w:sz w:val="22"/>
                <w:szCs w:val="22"/>
                <w:lang w:val="en-US"/>
              </w:rPr>
              <w:t>. CAILS score distribution – ITT population</w:t>
            </w:r>
          </w:p>
        </w:tc>
      </w:tr>
      <w:tr w:rsidR="00AE2D6F" w:rsidRPr="0025244E" w14:paraId="3580E359" w14:textId="77777777" w:rsidTr="00362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  <w:tcBorders>
              <w:top w:val="single" w:sz="4" w:space="0" w:color="auto"/>
            </w:tcBorders>
            <w:vAlign w:val="center"/>
          </w:tcPr>
          <w:p w14:paraId="73006B66" w14:textId="77777777" w:rsidR="00AE2D6F" w:rsidRPr="0025244E" w:rsidRDefault="005D264C" w:rsidP="00362D3D">
            <w:pPr>
              <w:keepNext/>
              <w:adjustRightInd w:val="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bookmarkStart w:id="0" w:name="IDX"/>
            <w:bookmarkEnd w:id="0"/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Response, n (%)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14:paraId="72251962" w14:textId="77777777" w:rsidR="00AE2D6F" w:rsidRPr="0025244E" w:rsidRDefault="005D264C" w:rsidP="00362D3D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Chlormethine ointment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14:paraId="144BA76F" w14:textId="77777777" w:rsidR="00AE2D6F" w:rsidRPr="0025244E" w:rsidRDefault="005D264C" w:rsidP="00362D3D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Chlormethine gel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14:paraId="35631748" w14:textId="77777777" w:rsidR="00AE2D6F" w:rsidRPr="0025244E" w:rsidRDefault="005D264C" w:rsidP="00362D3D">
            <w:pPr>
              <w:keepNext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Total</w:t>
            </w:r>
          </w:p>
        </w:tc>
      </w:tr>
      <w:tr w:rsidR="00AE2D6F" w:rsidRPr="0025244E" w14:paraId="55F6DA9A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C9E9E08" w14:textId="1400F88C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1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5C21646F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0816D3C3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6EC6A6B8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AE2D6F" w:rsidRPr="0025244E" w14:paraId="769D7A87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A2D263A" w14:textId="044BD121" w:rsidR="00AE2D6F" w:rsidRPr="0025244E" w:rsidRDefault="00AE2D6F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31206892" w14:textId="32080842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960" w:type="pct"/>
          </w:tcPr>
          <w:p w14:paraId="4358794A" w14:textId="6226DE2D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937" w:type="pct"/>
          </w:tcPr>
          <w:p w14:paraId="3431D3F7" w14:textId="0553F2B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0 (0)</w:t>
            </w:r>
          </w:p>
        </w:tc>
      </w:tr>
      <w:tr w:rsidR="00AE2D6F" w:rsidRPr="0025244E" w14:paraId="223FE2B5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1272780B" w14:textId="7A6A688D" w:rsidR="00AE2D6F" w:rsidRPr="0025244E" w:rsidRDefault="00AE2D6F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4C740028" w14:textId="7931A1EB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 (3.3)</w:t>
            </w:r>
          </w:p>
        </w:tc>
        <w:tc>
          <w:tcPr>
            <w:tcW w:w="960" w:type="pct"/>
          </w:tcPr>
          <w:p w14:paraId="1936E749" w14:textId="082649BB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 (0.8)</w:t>
            </w:r>
          </w:p>
        </w:tc>
        <w:tc>
          <w:tcPr>
            <w:tcW w:w="937" w:type="pct"/>
          </w:tcPr>
          <w:p w14:paraId="6A538C72" w14:textId="0093070A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 (2.1)</w:t>
            </w:r>
          </w:p>
        </w:tc>
      </w:tr>
      <w:tr w:rsidR="00AE2D6F" w:rsidRPr="0025244E" w14:paraId="17E4A9E6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07E905CF" w14:textId="5F39D9EA" w:rsidR="00AE2D6F" w:rsidRPr="0025244E" w:rsidRDefault="00AE2D6F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119097B1" w14:textId="001D9B54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11 (9)</w:t>
            </w:r>
          </w:p>
        </w:tc>
        <w:tc>
          <w:tcPr>
            <w:tcW w:w="960" w:type="pct"/>
          </w:tcPr>
          <w:p w14:paraId="73180B55" w14:textId="3FE73532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9 (7.6)</w:t>
            </w:r>
          </w:p>
        </w:tc>
        <w:tc>
          <w:tcPr>
            <w:tcW w:w="937" w:type="pct"/>
          </w:tcPr>
          <w:p w14:paraId="7C77B842" w14:textId="2381B2B9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20 (8.3)</w:t>
            </w:r>
          </w:p>
        </w:tc>
      </w:tr>
      <w:tr w:rsidR="00AE2D6F" w:rsidRPr="0025244E" w14:paraId="10BD05CB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3A56A204" w14:textId="4969C70A" w:rsidR="00AE2D6F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S</w:t>
            </w:r>
            <w:r w:rsidR="00AE2D6F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2892358B" w14:textId="0ADC88CF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78 (63.9)</w:t>
            </w:r>
          </w:p>
        </w:tc>
        <w:tc>
          <w:tcPr>
            <w:tcW w:w="960" w:type="pct"/>
          </w:tcPr>
          <w:p w14:paraId="0C1CD0EB" w14:textId="23F083BA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85 (72)</w:t>
            </w:r>
          </w:p>
        </w:tc>
        <w:tc>
          <w:tcPr>
            <w:tcW w:w="937" w:type="pct"/>
          </w:tcPr>
          <w:p w14:paraId="48877C6C" w14:textId="41B21D81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163 (67.9)</w:t>
            </w:r>
          </w:p>
        </w:tc>
      </w:tr>
      <w:tr w:rsidR="00AE2D6F" w:rsidRPr="0025244E" w14:paraId="2C4F1AAF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3E93E5F5" w14:textId="7A05AD16" w:rsidR="00AE2D6F" w:rsidRPr="0025244E" w:rsidRDefault="00AE2D6F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4AE9BE19" w14:textId="497935E2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29 (23.8)</w:t>
            </w:r>
          </w:p>
        </w:tc>
        <w:tc>
          <w:tcPr>
            <w:tcW w:w="960" w:type="pct"/>
          </w:tcPr>
          <w:p w14:paraId="042E939C" w14:textId="5CFA31C3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23 (19.5)</w:t>
            </w:r>
          </w:p>
        </w:tc>
        <w:tc>
          <w:tcPr>
            <w:tcW w:w="937" w:type="pct"/>
          </w:tcPr>
          <w:p w14:paraId="09E188F0" w14:textId="6922A8FA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52 (21.7)</w:t>
            </w:r>
          </w:p>
        </w:tc>
      </w:tr>
      <w:tr w:rsidR="00AE2D6F" w:rsidRPr="0025244E" w14:paraId="108F0B61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1BF6797" w14:textId="46CE18C2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2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56F5F8A6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3550EE9E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7CDEF5F7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D264C" w:rsidRPr="0025244E" w14:paraId="1BD05B97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AB44B73" w14:textId="6B989660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51BF51FE" w14:textId="4A14E84C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 (1.7)</w:t>
            </w:r>
          </w:p>
        </w:tc>
        <w:tc>
          <w:tcPr>
            <w:tcW w:w="960" w:type="pct"/>
          </w:tcPr>
          <w:p w14:paraId="33B96799" w14:textId="67926994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 (2.8)</w:t>
            </w:r>
          </w:p>
        </w:tc>
        <w:tc>
          <w:tcPr>
            <w:tcW w:w="937" w:type="pct"/>
          </w:tcPr>
          <w:p w14:paraId="6AC828C1" w14:textId="71B96F8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 (2.2)</w:t>
            </w:r>
          </w:p>
        </w:tc>
      </w:tr>
      <w:tr w:rsidR="005D264C" w:rsidRPr="0025244E" w14:paraId="059FB83E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35683DA" w14:textId="05D87379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490D0D6C" w14:textId="1F2087EC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7 (6)</w:t>
            </w:r>
          </w:p>
        </w:tc>
        <w:tc>
          <w:tcPr>
            <w:tcW w:w="960" w:type="pct"/>
          </w:tcPr>
          <w:p w14:paraId="14C8D02A" w14:textId="76E93525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7 (6.5)</w:t>
            </w:r>
          </w:p>
        </w:tc>
        <w:tc>
          <w:tcPr>
            <w:tcW w:w="937" w:type="pct"/>
          </w:tcPr>
          <w:p w14:paraId="76E68C42" w14:textId="71F7D59F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14 (6.3)</w:t>
            </w:r>
          </w:p>
        </w:tc>
      </w:tr>
      <w:tr w:rsidR="005D264C" w:rsidRPr="0025244E" w14:paraId="3CEFCAE1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B6BC42A" w14:textId="5BD29131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50516E73" w14:textId="3E0B3A2F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19 (16.4)</w:t>
            </w:r>
          </w:p>
        </w:tc>
        <w:tc>
          <w:tcPr>
            <w:tcW w:w="960" w:type="pct"/>
          </w:tcPr>
          <w:p w14:paraId="5F0720E5" w14:textId="6BA8B93C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18 (16.7)</w:t>
            </w:r>
          </w:p>
        </w:tc>
        <w:tc>
          <w:tcPr>
            <w:tcW w:w="937" w:type="pct"/>
          </w:tcPr>
          <w:p w14:paraId="2F85D958" w14:textId="4BCB174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37 (16.5)</w:t>
            </w:r>
          </w:p>
        </w:tc>
      </w:tr>
      <w:tr w:rsidR="005D264C" w:rsidRPr="0025244E" w14:paraId="34837945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646DF45" w14:textId="3818F365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Stable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77F0497B" w14:textId="4FC3E18F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65 (56)</w:t>
            </w:r>
          </w:p>
        </w:tc>
        <w:tc>
          <w:tcPr>
            <w:tcW w:w="960" w:type="pct"/>
          </w:tcPr>
          <w:p w14:paraId="583FF7B5" w14:textId="42D7291C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59 (54.6)</w:t>
            </w:r>
          </w:p>
        </w:tc>
        <w:tc>
          <w:tcPr>
            <w:tcW w:w="937" w:type="pct"/>
          </w:tcPr>
          <w:p w14:paraId="290EB6B1" w14:textId="49496CB1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124 (55.4)</w:t>
            </w:r>
          </w:p>
        </w:tc>
      </w:tr>
      <w:tr w:rsidR="005D264C" w:rsidRPr="0025244E" w14:paraId="0A3E0F4A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32D02528" w14:textId="303E476E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762E483E" w14:textId="28B1058A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23 (19.8)</w:t>
            </w:r>
          </w:p>
        </w:tc>
        <w:tc>
          <w:tcPr>
            <w:tcW w:w="960" w:type="pct"/>
          </w:tcPr>
          <w:p w14:paraId="6896751F" w14:textId="5350E9D1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21 (19.4)</w:t>
            </w:r>
          </w:p>
        </w:tc>
        <w:tc>
          <w:tcPr>
            <w:tcW w:w="937" w:type="pct"/>
          </w:tcPr>
          <w:p w14:paraId="6F18172D" w14:textId="20DB90FA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44 (19.6)</w:t>
            </w:r>
          </w:p>
        </w:tc>
      </w:tr>
      <w:tr w:rsidR="00AE2D6F" w:rsidRPr="0025244E" w14:paraId="6CFB0918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09DD39C4" w14:textId="6047035A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3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06FDCA4E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5146CB5B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23F444AB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D264C" w:rsidRPr="0025244E" w14:paraId="3B30A98A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598C7AA" w14:textId="1F587CF9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0130BEF8" w14:textId="2A2E49C3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 (4.5)</w:t>
            </w:r>
          </w:p>
        </w:tc>
        <w:tc>
          <w:tcPr>
            <w:tcW w:w="960" w:type="pct"/>
          </w:tcPr>
          <w:p w14:paraId="461AED76" w14:textId="1304AAF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 (4.1)</w:t>
            </w:r>
          </w:p>
        </w:tc>
        <w:tc>
          <w:tcPr>
            <w:tcW w:w="937" w:type="pct"/>
          </w:tcPr>
          <w:p w14:paraId="121498A5" w14:textId="22559606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9 (4.3)</w:t>
            </w:r>
          </w:p>
        </w:tc>
      </w:tr>
      <w:tr w:rsidR="005D264C" w:rsidRPr="0025244E" w14:paraId="0A94ECCB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4E4E46E" w14:textId="63CDF10B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6C1C2CDF" w14:textId="4CD0946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10 (9)</w:t>
            </w:r>
          </w:p>
        </w:tc>
        <w:tc>
          <w:tcPr>
            <w:tcW w:w="960" w:type="pct"/>
          </w:tcPr>
          <w:p w14:paraId="0FF249D8" w14:textId="351EC5F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11 (11.3)</w:t>
            </w:r>
          </w:p>
        </w:tc>
        <w:tc>
          <w:tcPr>
            <w:tcW w:w="937" w:type="pct"/>
          </w:tcPr>
          <w:p w14:paraId="5D07AD6C" w14:textId="4869176E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21 (10.1)</w:t>
            </w:r>
          </w:p>
        </w:tc>
      </w:tr>
      <w:tr w:rsidR="005D264C" w:rsidRPr="0025244E" w14:paraId="6C40945D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0E4CD215" w14:textId="6EA5288E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34243B28" w14:textId="78D9459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20 (18)</w:t>
            </w:r>
          </w:p>
        </w:tc>
        <w:tc>
          <w:tcPr>
            <w:tcW w:w="960" w:type="pct"/>
          </w:tcPr>
          <w:p w14:paraId="6CFE4AF7" w14:textId="789E0446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26 (26.8)</w:t>
            </w:r>
          </w:p>
        </w:tc>
        <w:tc>
          <w:tcPr>
            <w:tcW w:w="937" w:type="pct"/>
          </w:tcPr>
          <w:p w14:paraId="728ED2F9" w14:textId="02B4BA18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46 (22.1)</w:t>
            </w:r>
          </w:p>
        </w:tc>
      </w:tr>
      <w:tr w:rsidR="005D264C" w:rsidRPr="0025244E" w14:paraId="56FC72E4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0488A202" w14:textId="5111CF90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Stable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08BBE1B3" w14:textId="424EE74D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60 (54.1)</w:t>
            </w:r>
          </w:p>
        </w:tc>
        <w:tc>
          <w:tcPr>
            <w:tcW w:w="960" w:type="pct"/>
          </w:tcPr>
          <w:p w14:paraId="2ACE41A2" w14:textId="6116E651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45 (46.4)</w:t>
            </w:r>
          </w:p>
        </w:tc>
        <w:tc>
          <w:tcPr>
            <w:tcW w:w="937" w:type="pct"/>
          </w:tcPr>
          <w:p w14:paraId="45B8A0C5" w14:textId="6A53EA1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105 (50.5)</w:t>
            </w:r>
          </w:p>
        </w:tc>
      </w:tr>
      <w:tr w:rsidR="005D264C" w:rsidRPr="0025244E" w14:paraId="18A8A2EA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DD0800D" w14:textId="3354AA72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lastRenderedPageBreak/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32CD49CA" w14:textId="680C5926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16 (14.4)</w:t>
            </w:r>
          </w:p>
        </w:tc>
        <w:tc>
          <w:tcPr>
            <w:tcW w:w="960" w:type="pct"/>
          </w:tcPr>
          <w:p w14:paraId="0894A6C6" w14:textId="468E990D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11 (11.3)</w:t>
            </w:r>
          </w:p>
        </w:tc>
        <w:tc>
          <w:tcPr>
            <w:tcW w:w="937" w:type="pct"/>
          </w:tcPr>
          <w:p w14:paraId="49CEABFB" w14:textId="3049014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27 (13)</w:t>
            </w:r>
          </w:p>
        </w:tc>
      </w:tr>
      <w:tr w:rsidR="00AE2D6F" w:rsidRPr="0025244E" w14:paraId="22643478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187E9F9C" w14:textId="521B96CD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4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4CBDEAC7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2CE4BC98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5E23E710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D264C" w:rsidRPr="0025244E" w14:paraId="34405281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93DA965" w14:textId="077529F1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4D9884AC" w14:textId="23277C7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9 (8.7)</w:t>
            </w:r>
          </w:p>
        </w:tc>
        <w:tc>
          <w:tcPr>
            <w:tcW w:w="960" w:type="pct"/>
          </w:tcPr>
          <w:p w14:paraId="6F26936C" w14:textId="408B08D1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10 (10.2)</w:t>
            </w:r>
          </w:p>
        </w:tc>
        <w:tc>
          <w:tcPr>
            <w:tcW w:w="937" w:type="pct"/>
          </w:tcPr>
          <w:p w14:paraId="35F28761" w14:textId="7BC2C7BF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19 (9.4)</w:t>
            </w:r>
          </w:p>
        </w:tc>
      </w:tr>
      <w:tr w:rsidR="005D264C" w:rsidRPr="0025244E" w14:paraId="60705FF3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2A9F688" w14:textId="0A183283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6D6386CF" w14:textId="3CDF038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12 (11.5)</w:t>
            </w:r>
          </w:p>
        </w:tc>
        <w:tc>
          <w:tcPr>
            <w:tcW w:w="960" w:type="pct"/>
          </w:tcPr>
          <w:p w14:paraId="1E37B760" w14:textId="30DE0F58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15 (15.3)</w:t>
            </w:r>
          </w:p>
        </w:tc>
        <w:tc>
          <w:tcPr>
            <w:tcW w:w="937" w:type="pct"/>
          </w:tcPr>
          <w:p w14:paraId="5A82A13C" w14:textId="7A75EB1C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27 (13.4)</w:t>
            </w:r>
          </w:p>
        </w:tc>
      </w:tr>
      <w:tr w:rsidR="005D264C" w:rsidRPr="0025244E" w14:paraId="419D7AC8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21DCF5C" w14:textId="5D568835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5CA8CD58" w14:textId="5297162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20 (19.2)</w:t>
            </w:r>
          </w:p>
        </w:tc>
        <w:tc>
          <w:tcPr>
            <w:tcW w:w="960" w:type="pct"/>
          </w:tcPr>
          <w:p w14:paraId="52DA8967" w14:textId="51FF7F81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21 (21.4)</w:t>
            </w:r>
          </w:p>
        </w:tc>
        <w:tc>
          <w:tcPr>
            <w:tcW w:w="937" w:type="pct"/>
          </w:tcPr>
          <w:p w14:paraId="24D6057E" w14:textId="18C993C6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41 (20.3)</w:t>
            </w:r>
          </w:p>
        </w:tc>
      </w:tr>
      <w:tr w:rsidR="005D264C" w:rsidRPr="0025244E" w14:paraId="701E3A9E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17C137C" w14:textId="5BB43112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Stable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20046B2B" w14:textId="0939B448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53 (51)</w:t>
            </w:r>
          </w:p>
        </w:tc>
        <w:tc>
          <w:tcPr>
            <w:tcW w:w="960" w:type="pct"/>
          </w:tcPr>
          <w:p w14:paraId="64901268" w14:textId="51CB5E3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44 (44.9)</w:t>
            </w:r>
          </w:p>
        </w:tc>
        <w:tc>
          <w:tcPr>
            <w:tcW w:w="937" w:type="pct"/>
          </w:tcPr>
          <w:p w14:paraId="061F0C0E" w14:textId="0836DD7D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97 (48)</w:t>
            </w:r>
          </w:p>
        </w:tc>
      </w:tr>
      <w:tr w:rsidR="005D264C" w:rsidRPr="0025244E" w14:paraId="1C828EF9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2BBAED1" w14:textId="2ACB54E2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052E65AA" w14:textId="05C5E708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10 (9.6)</w:t>
            </w:r>
          </w:p>
        </w:tc>
        <w:tc>
          <w:tcPr>
            <w:tcW w:w="960" w:type="pct"/>
          </w:tcPr>
          <w:p w14:paraId="5FFEE726" w14:textId="01EA4278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8 (8.2)</w:t>
            </w:r>
          </w:p>
        </w:tc>
        <w:tc>
          <w:tcPr>
            <w:tcW w:w="937" w:type="pct"/>
          </w:tcPr>
          <w:p w14:paraId="50F68614" w14:textId="3BDBAD9F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18 (8.9)</w:t>
            </w:r>
          </w:p>
        </w:tc>
      </w:tr>
      <w:tr w:rsidR="00AE2D6F" w:rsidRPr="0025244E" w14:paraId="7EB64E2C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7B3BAE6" w14:textId="558437AB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5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2515FE98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57D4DC6B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1C18CE7D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D264C" w:rsidRPr="0025244E" w14:paraId="141B77F7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32E1FA1A" w14:textId="4C588598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224484B3" w14:textId="143CCC3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9 (9.2)</w:t>
            </w:r>
          </w:p>
        </w:tc>
        <w:tc>
          <w:tcPr>
            <w:tcW w:w="960" w:type="pct"/>
          </w:tcPr>
          <w:p w14:paraId="39A384EB" w14:textId="2EF6EEB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13 (13.7)</w:t>
            </w:r>
          </w:p>
        </w:tc>
        <w:tc>
          <w:tcPr>
            <w:tcW w:w="937" w:type="pct"/>
          </w:tcPr>
          <w:p w14:paraId="512F068F" w14:textId="75A082DA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22 (11.4)</w:t>
            </w:r>
          </w:p>
        </w:tc>
      </w:tr>
      <w:tr w:rsidR="005D264C" w:rsidRPr="0025244E" w14:paraId="0EB6C115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CD5F44D" w14:textId="3A37417F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370A294E" w14:textId="7B73173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15 (15.3)</w:t>
            </w:r>
          </w:p>
        </w:tc>
        <w:tc>
          <w:tcPr>
            <w:tcW w:w="960" w:type="pct"/>
          </w:tcPr>
          <w:p w14:paraId="1BDF6E94" w14:textId="52310320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14 (14.7)</w:t>
            </w:r>
          </w:p>
        </w:tc>
        <w:tc>
          <w:tcPr>
            <w:tcW w:w="937" w:type="pct"/>
          </w:tcPr>
          <w:p w14:paraId="65A1E40D" w14:textId="29C8DA16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29 (15)</w:t>
            </w:r>
          </w:p>
        </w:tc>
      </w:tr>
      <w:tr w:rsidR="005D264C" w:rsidRPr="0025244E" w14:paraId="0995C7CA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141A0DDC" w14:textId="74D86952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4692727C" w14:textId="094DC25E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21 (21.4)</w:t>
            </w:r>
          </w:p>
        </w:tc>
        <w:tc>
          <w:tcPr>
            <w:tcW w:w="960" w:type="pct"/>
          </w:tcPr>
          <w:p w14:paraId="7B3ED669" w14:textId="3D51CD40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25 (26.3)</w:t>
            </w:r>
          </w:p>
        </w:tc>
        <w:tc>
          <w:tcPr>
            <w:tcW w:w="937" w:type="pct"/>
          </w:tcPr>
          <w:p w14:paraId="34B47268" w14:textId="19633F4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46 (23.8)</w:t>
            </w:r>
          </w:p>
        </w:tc>
      </w:tr>
      <w:tr w:rsidR="005D264C" w:rsidRPr="0025244E" w14:paraId="42ECBD36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21E5936" w14:textId="2D4D53DE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Stable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71515BBC" w14:textId="0726448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45 (45.9)</w:t>
            </w:r>
          </w:p>
        </w:tc>
        <w:tc>
          <w:tcPr>
            <w:tcW w:w="960" w:type="pct"/>
          </w:tcPr>
          <w:p w14:paraId="59392372" w14:textId="063BD5F0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36 (37.9)</w:t>
            </w:r>
          </w:p>
        </w:tc>
        <w:tc>
          <w:tcPr>
            <w:tcW w:w="937" w:type="pct"/>
          </w:tcPr>
          <w:p w14:paraId="0011B8D7" w14:textId="0F7E827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81 (42)</w:t>
            </w:r>
          </w:p>
        </w:tc>
      </w:tr>
      <w:tr w:rsidR="005D264C" w:rsidRPr="0025244E" w14:paraId="44C13FCD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0F23A7CC" w14:textId="0A9746D7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65E902CA" w14:textId="4335502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8 (8.2</w:t>
            </w:r>
            <w:r w:rsidR="0060103E"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960" w:type="pct"/>
          </w:tcPr>
          <w:p w14:paraId="371CFCBD" w14:textId="6299524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7 (7.4)</w:t>
            </w:r>
          </w:p>
        </w:tc>
        <w:tc>
          <w:tcPr>
            <w:tcW w:w="937" w:type="pct"/>
          </w:tcPr>
          <w:p w14:paraId="6E18B413" w14:textId="036017F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15 (7.8)</w:t>
            </w:r>
          </w:p>
        </w:tc>
      </w:tr>
      <w:tr w:rsidR="00AE2D6F" w:rsidRPr="0025244E" w14:paraId="057D9B01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44B981E6" w14:textId="68855BC1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6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1BB93A03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2BF33652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2C77A83B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D264C" w:rsidRPr="0025244E" w14:paraId="39024CAF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3EB03859" w14:textId="5F1DD70C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096E9703" w14:textId="6F50FCC0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7 (7.3)</w:t>
            </w:r>
          </w:p>
        </w:tc>
        <w:tc>
          <w:tcPr>
            <w:tcW w:w="960" w:type="pct"/>
          </w:tcPr>
          <w:p w14:paraId="72A3F80C" w14:textId="0827919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14 (15.6)</w:t>
            </w:r>
          </w:p>
        </w:tc>
        <w:tc>
          <w:tcPr>
            <w:tcW w:w="937" w:type="pct"/>
          </w:tcPr>
          <w:p w14:paraId="176FD9C6" w14:textId="18849841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21 (11.3)</w:t>
            </w:r>
          </w:p>
        </w:tc>
      </w:tr>
      <w:tr w:rsidR="005D264C" w:rsidRPr="0025244E" w14:paraId="6AFF86F8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844A18E" w14:textId="5195CA0B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6BF67F1A" w14:textId="10FD3303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16 (16.7)</w:t>
            </w:r>
          </w:p>
        </w:tc>
        <w:tc>
          <w:tcPr>
            <w:tcW w:w="960" w:type="pct"/>
          </w:tcPr>
          <w:p w14:paraId="6A770353" w14:textId="7109017A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16 (17.8)</w:t>
            </w:r>
          </w:p>
        </w:tc>
        <w:tc>
          <w:tcPr>
            <w:tcW w:w="937" w:type="pct"/>
          </w:tcPr>
          <w:p w14:paraId="72C78328" w14:textId="31D1C590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32 (17.2)</w:t>
            </w:r>
          </w:p>
        </w:tc>
      </w:tr>
      <w:tr w:rsidR="005D264C" w:rsidRPr="0025244E" w14:paraId="7994266C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67E9D898" w14:textId="7A74E43B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11272CD8" w14:textId="5C9AA4DF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21 (21.9)</w:t>
            </w:r>
          </w:p>
        </w:tc>
        <w:tc>
          <w:tcPr>
            <w:tcW w:w="960" w:type="pct"/>
          </w:tcPr>
          <w:p w14:paraId="26F003FB" w14:textId="018AAB4C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28 (31.1)</w:t>
            </w:r>
          </w:p>
        </w:tc>
        <w:tc>
          <w:tcPr>
            <w:tcW w:w="937" w:type="pct"/>
          </w:tcPr>
          <w:p w14:paraId="60D57FC9" w14:textId="5794F7E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49 (26.3)</w:t>
            </w:r>
          </w:p>
        </w:tc>
      </w:tr>
      <w:tr w:rsidR="005D264C" w:rsidRPr="0025244E" w14:paraId="5F1C396E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4392E65C" w14:textId="71649C46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Stable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759C2B44" w14:textId="33B3F45A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47 (49)</w:t>
            </w:r>
          </w:p>
        </w:tc>
        <w:tc>
          <w:tcPr>
            <w:tcW w:w="960" w:type="pct"/>
          </w:tcPr>
          <w:p w14:paraId="0334B35D" w14:textId="3FDA2D65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29 (32.2)</w:t>
            </w:r>
          </w:p>
        </w:tc>
        <w:tc>
          <w:tcPr>
            <w:tcW w:w="937" w:type="pct"/>
          </w:tcPr>
          <w:p w14:paraId="17D19A61" w14:textId="08F67963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76 (40.9)</w:t>
            </w:r>
          </w:p>
        </w:tc>
      </w:tr>
      <w:tr w:rsidR="005D264C" w:rsidRPr="0025244E" w14:paraId="38253E53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8D418A9" w14:textId="3BCC188D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5BC2F438" w14:textId="19B1E568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 (5.2)</w:t>
            </w:r>
          </w:p>
        </w:tc>
        <w:tc>
          <w:tcPr>
            <w:tcW w:w="960" w:type="pct"/>
          </w:tcPr>
          <w:p w14:paraId="611FE69A" w14:textId="300C4AA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 (3.3)</w:t>
            </w:r>
          </w:p>
        </w:tc>
        <w:tc>
          <w:tcPr>
            <w:tcW w:w="937" w:type="pct"/>
          </w:tcPr>
          <w:p w14:paraId="1FDE8F1E" w14:textId="729B8E1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8 (4.3)</w:t>
            </w:r>
          </w:p>
        </w:tc>
      </w:tr>
      <w:tr w:rsidR="00AE2D6F" w:rsidRPr="0025244E" w14:paraId="137716BA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07D4DA7C" w14:textId="1FD69B16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8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0BCE82D8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0C7E4A00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63E997F2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D264C" w:rsidRPr="0025244E" w14:paraId="75248641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AAFA20E" w14:textId="070867DF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1EE8CDAD" w14:textId="58BA8FE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11 (12.2)</w:t>
            </w:r>
          </w:p>
        </w:tc>
        <w:tc>
          <w:tcPr>
            <w:tcW w:w="960" w:type="pct"/>
          </w:tcPr>
          <w:p w14:paraId="64273079" w14:textId="17F4CB20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14 (16.3)</w:t>
            </w:r>
          </w:p>
        </w:tc>
        <w:tc>
          <w:tcPr>
            <w:tcW w:w="937" w:type="pct"/>
          </w:tcPr>
          <w:p w14:paraId="4E7B8EDD" w14:textId="54A74BB1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25 (14.2)</w:t>
            </w:r>
          </w:p>
        </w:tc>
      </w:tr>
      <w:tr w:rsidR="005D264C" w:rsidRPr="0025244E" w14:paraId="33ADE7BB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153F60E1" w14:textId="219AB8AF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3B74558E" w14:textId="082FC24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14 (15.6)</w:t>
            </w:r>
          </w:p>
        </w:tc>
        <w:tc>
          <w:tcPr>
            <w:tcW w:w="960" w:type="pct"/>
          </w:tcPr>
          <w:p w14:paraId="7902FCCD" w14:textId="2521569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18 (20.9)</w:t>
            </w:r>
          </w:p>
        </w:tc>
        <w:tc>
          <w:tcPr>
            <w:tcW w:w="937" w:type="pct"/>
          </w:tcPr>
          <w:p w14:paraId="02A94AF9" w14:textId="310FB3D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32 (18.2)</w:t>
            </w:r>
          </w:p>
        </w:tc>
      </w:tr>
      <w:tr w:rsidR="005D264C" w:rsidRPr="0025244E" w14:paraId="1FC1CB46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319FD065" w14:textId="47ABD8C2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5B0A8CE7" w14:textId="2B3CCF1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21 (23.3)</w:t>
            </w:r>
          </w:p>
        </w:tc>
        <w:tc>
          <w:tcPr>
            <w:tcW w:w="960" w:type="pct"/>
          </w:tcPr>
          <w:p w14:paraId="3ECC6E6F" w14:textId="0B0432D5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33 (38.4)</w:t>
            </w:r>
          </w:p>
        </w:tc>
        <w:tc>
          <w:tcPr>
            <w:tcW w:w="937" w:type="pct"/>
          </w:tcPr>
          <w:p w14:paraId="43B55D1C" w14:textId="4272560E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54 (30.7)</w:t>
            </w:r>
          </w:p>
        </w:tc>
      </w:tr>
      <w:tr w:rsidR="005D264C" w:rsidRPr="0025244E" w14:paraId="63586305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689FF692" w14:textId="26A75362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Stable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5BC33D71" w14:textId="56E1B97D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39 (43.3)</w:t>
            </w:r>
          </w:p>
        </w:tc>
        <w:tc>
          <w:tcPr>
            <w:tcW w:w="960" w:type="pct"/>
          </w:tcPr>
          <w:p w14:paraId="6C19024C" w14:textId="3B1EC38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18 (20.9)</w:t>
            </w:r>
          </w:p>
        </w:tc>
        <w:tc>
          <w:tcPr>
            <w:tcW w:w="937" w:type="pct"/>
          </w:tcPr>
          <w:p w14:paraId="167A0D2E" w14:textId="375C3DF7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57 (32.4)</w:t>
            </w:r>
          </w:p>
        </w:tc>
      </w:tr>
      <w:tr w:rsidR="005D264C" w:rsidRPr="0025244E" w14:paraId="5F70922D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50DB9154" w14:textId="7C36A652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12632D8B" w14:textId="2C95CE3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 (5.6)</w:t>
            </w:r>
          </w:p>
        </w:tc>
        <w:tc>
          <w:tcPr>
            <w:tcW w:w="960" w:type="pct"/>
          </w:tcPr>
          <w:p w14:paraId="01D6E1CD" w14:textId="2640346A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 (3.5)</w:t>
            </w:r>
          </w:p>
        </w:tc>
        <w:tc>
          <w:tcPr>
            <w:tcW w:w="937" w:type="pct"/>
          </w:tcPr>
          <w:p w14:paraId="2BA120B5" w14:textId="68C1EF44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8 (4.5)</w:t>
            </w:r>
          </w:p>
        </w:tc>
      </w:tr>
      <w:tr w:rsidR="00AE2D6F" w:rsidRPr="0025244E" w14:paraId="48529728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CA4B1B2" w14:textId="5797A22E" w:rsidR="00AE2D6F" w:rsidRPr="0025244E" w:rsidRDefault="00AE2D6F" w:rsidP="00AE2D6F">
            <w:pPr>
              <w:adjustRightInd w:val="0"/>
              <w:spacing w:before="60" w:after="60"/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 xml:space="preserve">Month 10 </w:t>
            </w:r>
            <w:r w:rsidR="00362D3D" w:rsidRPr="0025244E">
              <w:rPr>
                <w:rFonts w:asciiTheme="minorHAnsi" w:hAnsiTheme="minorHAnsi" w:cs="Calibri"/>
                <w:bCs w:val="0"/>
                <w:sz w:val="22"/>
                <w:szCs w:val="22"/>
                <w:lang w:val="en-US"/>
              </w:rPr>
              <w:t>visit</w:t>
            </w:r>
          </w:p>
        </w:tc>
        <w:tc>
          <w:tcPr>
            <w:tcW w:w="960" w:type="pct"/>
          </w:tcPr>
          <w:p w14:paraId="5541E257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60" w:type="pct"/>
          </w:tcPr>
          <w:p w14:paraId="5B94F401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937" w:type="pct"/>
          </w:tcPr>
          <w:p w14:paraId="7C61A061" w14:textId="77777777" w:rsidR="00AE2D6F" w:rsidRPr="0025244E" w:rsidRDefault="00AE2D6F" w:rsidP="00AE2D6F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D264C" w:rsidRPr="0025244E" w14:paraId="6748E0D0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37DC55B" w14:textId="6F35AB6E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Complete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2B08F626" w14:textId="0A152412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12 (13.8)</w:t>
            </w:r>
          </w:p>
        </w:tc>
        <w:tc>
          <w:tcPr>
            <w:tcW w:w="960" w:type="pct"/>
          </w:tcPr>
          <w:p w14:paraId="11D7CB3A" w14:textId="3175D865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16 (18.6)</w:t>
            </w:r>
          </w:p>
        </w:tc>
        <w:tc>
          <w:tcPr>
            <w:tcW w:w="937" w:type="pct"/>
          </w:tcPr>
          <w:p w14:paraId="1E9C251F" w14:textId="7304E8EE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28 (16.2)</w:t>
            </w:r>
          </w:p>
        </w:tc>
      </w:tr>
      <w:tr w:rsidR="005D264C" w:rsidRPr="0025244E" w14:paraId="14AA6E0E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71E5817F" w14:textId="78C31144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Very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good partial response</w:t>
            </w:r>
          </w:p>
        </w:tc>
        <w:tc>
          <w:tcPr>
            <w:tcW w:w="960" w:type="pct"/>
          </w:tcPr>
          <w:p w14:paraId="0CA5E199" w14:textId="68158554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14 (16.1)</w:t>
            </w:r>
          </w:p>
        </w:tc>
        <w:tc>
          <w:tcPr>
            <w:tcW w:w="960" w:type="pct"/>
          </w:tcPr>
          <w:p w14:paraId="52CC52D1" w14:textId="10FB68E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24 (27.9)</w:t>
            </w:r>
          </w:p>
        </w:tc>
        <w:tc>
          <w:tcPr>
            <w:tcW w:w="937" w:type="pct"/>
          </w:tcPr>
          <w:p w14:paraId="03920A86" w14:textId="1E68DB83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38 (22)</w:t>
            </w:r>
          </w:p>
        </w:tc>
      </w:tr>
      <w:tr w:rsidR="005D264C" w:rsidRPr="0025244E" w14:paraId="290B333F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694CCB7A" w14:textId="6E7A4973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Partial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response</w:t>
            </w:r>
          </w:p>
        </w:tc>
        <w:tc>
          <w:tcPr>
            <w:tcW w:w="960" w:type="pct"/>
          </w:tcPr>
          <w:p w14:paraId="4226F098" w14:textId="1CA8C999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25 (28.7)</w:t>
            </w:r>
          </w:p>
        </w:tc>
        <w:tc>
          <w:tcPr>
            <w:tcW w:w="960" w:type="pct"/>
          </w:tcPr>
          <w:p w14:paraId="6AE8D8EC" w14:textId="766089F5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31 (36)</w:t>
            </w:r>
          </w:p>
        </w:tc>
        <w:tc>
          <w:tcPr>
            <w:tcW w:w="937" w:type="pct"/>
          </w:tcPr>
          <w:p w14:paraId="01D6D08C" w14:textId="37B9FD8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56 (32.4)</w:t>
            </w:r>
          </w:p>
        </w:tc>
      </w:tr>
      <w:tr w:rsidR="005D264C" w:rsidRPr="0025244E" w14:paraId="6C6552DE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2DB9CE0F" w14:textId="6460A268" w:rsidR="005D264C" w:rsidRPr="0025244E" w:rsidRDefault="005D264C" w:rsidP="005D264C">
            <w:pPr>
              <w:keepNext/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Stable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4C22DB95" w14:textId="124AC382" w:rsidR="005D264C" w:rsidRPr="0025244E" w:rsidRDefault="005D264C" w:rsidP="005D264C">
            <w:pPr>
              <w:keepNext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32 (36.8)</w:t>
            </w:r>
          </w:p>
        </w:tc>
        <w:tc>
          <w:tcPr>
            <w:tcW w:w="960" w:type="pct"/>
          </w:tcPr>
          <w:p w14:paraId="704EBD91" w14:textId="25E25195" w:rsidR="005D264C" w:rsidRPr="0025244E" w:rsidRDefault="005D264C" w:rsidP="005D264C">
            <w:pPr>
              <w:keepNext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10 (11.6)</w:t>
            </w:r>
          </w:p>
        </w:tc>
        <w:tc>
          <w:tcPr>
            <w:tcW w:w="937" w:type="pct"/>
          </w:tcPr>
          <w:p w14:paraId="17CB46BC" w14:textId="754085E0" w:rsidR="005D264C" w:rsidRPr="0025244E" w:rsidRDefault="005D264C" w:rsidP="005D264C">
            <w:pPr>
              <w:keepNext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42 (24.3)</w:t>
            </w:r>
          </w:p>
        </w:tc>
      </w:tr>
      <w:tr w:rsidR="005D264C" w:rsidRPr="0025244E" w14:paraId="009E8319" w14:textId="77777777" w:rsidTr="00426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14:paraId="0628EDD0" w14:textId="6A4363B1" w:rsidR="005D264C" w:rsidRPr="0025244E" w:rsidRDefault="005D264C" w:rsidP="005D264C">
            <w:pPr>
              <w:adjustRightInd w:val="0"/>
              <w:spacing w:before="60" w:after="60"/>
              <w:ind w:left="11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 xml:space="preserve">Progressive </w:t>
            </w:r>
            <w:r w:rsidR="00362D3D" w:rsidRPr="0025244E">
              <w:rPr>
                <w:rFonts w:asciiTheme="minorHAnsi" w:hAnsiTheme="minorHAnsi" w:cs="Calibri"/>
                <w:b w:val="0"/>
                <w:bCs w:val="0"/>
                <w:sz w:val="22"/>
                <w:szCs w:val="22"/>
                <w:lang w:val="en-US"/>
              </w:rPr>
              <w:t>disease</w:t>
            </w:r>
          </w:p>
        </w:tc>
        <w:tc>
          <w:tcPr>
            <w:tcW w:w="960" w:type="pct"/>
          </w:tcPr>
          <w:p w14:paraId="6B37EC0C" w14:textId="593B0C4B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4 (4.6)</w:t>
            </w:r>
          </w:p>
        </w:tc>
        <w:tc>
          <w:tcPr>
            <w:tcW w:w="960" w:type="pct"/>
          </w:tcPr>
          <w:p w14:paraId="5B677DFF" w14:textId="495390AE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5 (5.8)</w:t>
            </w:r>
          </w:p>
        </w:tc>
        <w:tc>
          <w:tcPr>
            <w:tcW w:w="937" w:type="pct"/>
          </w:tcPr>
          <w:p w14:paraId="2C59805F" w14:textId="475CCE0C" w:rsidR="005D264C" w:rsidRPr="0025244E" w:rsidRDefault="005D264C" w:rsidP="005D264C">
            <w:pPr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25244E">
              <w:rPr>
                <w:rFonts w:asciiTheme="minorHAnsi" w:hAnsiTheme="minorHAnsi" w:cs="Calibri"/>
                <w:sz w:val="22"/>
                <w:szCs w:val="22"/>
                <w:lang w:val="en-US"/>
              </w:rPr>
              <w:t>9 (5.2)</w:t>
            </w:r>
          </w:p>
        </w:tc>
      </w:tr>
      <w:tr w:rsidR="00362D3D" w:rsidRPr="0025244E" w14:paraId="1FFBF9C8" w14:textId="77777777" w:rsidTr="00362D3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165F885" w14:textId="29F80BE7" w:rsidR="00362D3D" w:rsidRPr="0025244E" w:rsidRDefault="00362D3D" w:rsidP="00362D3D">
            <w:pPr>
              <w:adjustRightInd w:val="0"/>
              <w:rPr>
                <w:rFonts w:asciiTheme="minorHAnsi" w:hAnsiTheme="minorHAnsi" w:cs="Calibri"/>
                <w:b w:val="0"/>
                <w:bCs w:val="0"/>
                <w:sz w:val="18"/>
                <w:szCs w:val="18"/>
                <w:lang w:val="en-US"/>
              </w:rPr>
            </w:pPr>
            <w:r w:rsidRPr="0025244E">
              <w:rPr>
                <w:rFonts w:asciiTheme="minorHAnsi" w:hAnsiTheme="minorHAnsi" w:cs="Calibri"/>
                <w:b w:val="0"/>
                <w:bCs w:val="0"/>
                <w:sz w:val="18"/>
                <w:szCs w:val="18"/>
                <w:lang w:val="en-US"/>
              </w:rPr>
              <w:t>CAILS, Composite Assessment of Index Lesion Severity; ITT, intent-to-treat.</w:t>
            </w:r>
          </w:p>
        </w:tc>
      </w:tr>
    </w:tbl>
    <w:p w14:paraId="5C180D9A" w14:textId="77777777" w:rsidR="00AE2D6F" w:rsidRPr="0025244E" w:rsidRDefault="00AE2D6F" w:rsidP="005D264C">
      <w:pPr>
        <w:rPr>
          <w:rFonts w:asciiTheme="minorHAnsi" w:hAnsiTheme="minorHAnsi" w:cs="Calibri"/>
          <w:sz w:val="16"/>
          <w:lang w:val="en-US"/>
        </w:rPr>
      </w:pPr>
    </w:p>
    <w:p w14:paraId="21CEBDA4" w14:textId="77777777" w:rsidR="00AE2D6F" w:rsidRPr="0025244E" w:rsidRDefault="00AE2D6F" w:rsidP="00AE2D6F">
      <w:pPr>
        <w:jc w:val="center"/>
        <w:rPr>
          <w:rFonts w:asciiTheme="minorHAnsi" w:hAnsiTheme="minorHAnsi" w:cs="Calibri"/>
          <w:sz w:val="16"/>
          <w:lang w:val="en-US"/>
        </w:rPr>
      </w:pPr>
    </w:p>
    <w:sectPr w:rsidR="00AE2D6F" w:rsidRPr="0025244E" w:rsidSect="00AE2D6F">
      <w:headerReference w:type="default" r:id="rId13"/>
      <w:footerReference w:type="default" r:id="rId14"/>
      <w:pgSz w:w="12240" w:h="15834"/>
      <w:pgMar w:top="357" w:right="1134" w:bottom="3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24765" w14:textId="77777777" w:rsidR="004E6A76" w:rsidRDefault="004E6A76">
      <w:r>
        <w:separator/>
      </w:r>
    </w:p>
  </w:endnote>
  <w:endnote w:type="continuationSeparator" w:id="0">
    <w:p w14:paraId="3F339C23" w14:textId="77777777" w:rsidR="004E6A76" w:rsidRDefault="004E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06FF" w14:textId="77777777" w:rsidR="00890693" w:rsidRDefault="00890693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85"/>
    </w:tblGrid>
    <w:tr w:rsidR="00890693" w14:paraId="4F4194AB" w14:textId="77777777">
      <w:trPr>
        <w:cantSplit/>
        <w:jc w:val="center"/>
      </w:trPr>
      <w:tc>
        <w:tcPr>
          <w:tcW w:w="111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8195795" w14:textId="77777777" w:rsidR="00890693" w:rsidRDefault="00890693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A792" w14:textId="77777777" w:rsidR="004E6A76" w:rsidRDefault="004E6A76">
      <w:r>
        <w:separator/>
      </w:r>
    </w:p>
  </w:footnote>
  <w:footnote w:type="continuationSeparator" w:id="0">
    <w:p w14:paraId="7B23C471" w14:textId="77777777" w:rsidR="004E6A76" w:rsidRDefault="004E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10F7" w14:textId="77777777" w:rsidR="00890693" w:rsidRDefault="00890693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6F"/>
    <w:rsid w:val="00084900"/>
    <w:rsid w:val="00127565"/>
    <w:rsid w:val="00164EB9"/>
    <w:rsid w:val="001B30CB"/>
    <w:rsid w:val="00217895"/>
    <w:rsid w:val="0025244E"/>
    <w:rsid w:val="00275AEC"/>
    <w:rsid w:val="002D6580"/>
    <w:rsid w:val="00315CC7"/>
    <w:rsid w:val="00362D3D"/>
    <w:rsid w:val="00426C27"/>
    <w:rsid w:val="00450A4D"/>
    <w:rsid w:val="004B6425"/>
    <w:rsid w:val="004D0BE0"/>
    <w:rsid w:val="004E6A76"/>
    <w:rsid w:val="00564249"/>
    <w:rsid w:val="005D264C"/>
    <w:rsid w:val="0060103E"/>
    <w:rsid w:val="00660455"/>
    <w:rsid w:val="00702502"/>
    <w:rsid w:val="00722E85"/>
    <w:rsid w:val="007A4072"/>
    <w:rsid w:val="0082409D"/>
    <w:rsid w:val="00865201"/>
    <w:rsid w:val="00890693"/>
    <w:rsid w:val="008E0012"/>
    <w:rsid w:val="009E502D"/>
    <w:rsid w:val="00A400A8"/>
    <w:rsid w:val="00AE2D6F"/>
    <w:rsid w:val="00BC761F"/>
    <w:rsid w:val="00BD427C"/>
    <w:rsid w:val="00CD0174"/>
    <w:rsid w:val="00CF6C72"/>
    <w:rsid w:val="00DB6EA6"/>
    <w:rsid w:val="00EC4A0A"/>
    <w:rsid w:val="00ED0441"/>
    <w:rsid w:val="00E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9F19C"/>
  <w14:defaultImageDpi w14:val="0"/>
  <w15:docId w15:val="{DE0E27D8-DC67-4227-AE77-C3E06A31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NL" w:eastAsia="en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it-IT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E2D6F"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x-none"/>
    </w:rPr>
  </w:style>
  <w:style w:type="table" w:styleId="GridTable1Light">
    <w:name w:val="Grid Table 1 Light"/>
    <w:basedOn w:val="TableNormal"/>
    <w:uiPriority w:val="46"/>
    <w:rsid w:val="00426C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2D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2D6F"/>
    <w:rPr>
      <w:rFonts w:ascii="Times New Roman" w:hAnsi="Times New Roman" w:cs="Times New Roman"/>
      <w:sz w:val="20"/>
      <w:szCs w:val="20"/>
      <w:lang w:val="it-IT" w:eastAsia="x-none"/>
    </w:rPr>
  </w:style>
  <w:style w:type="paragraph" w:styleId="Footer">
    <w:name w:val="footer"/>
    <w:basedOn w:val="Normal"/>
    <w:link w:val="FooterChar"/>
    <w:uiPriority w:val="99"/>
    <w:unhideWhenUsed/>
    <w:rsid w:val="00AE2D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D6F"/>
    <w:rPr>
      <w:rFonts w:ascii="Times New Roman" w:hAnsi="Times New Roman" w:cs="Times New Roman"/>
      <w:sz w:val="20"/>
      <w:szCs w:val="20"/>
      <w:lang w:val="it-IT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D"/>
    <w:rPr>
      <w:rFonts w:ascii="Segoe UI" w:hAnsi="Segoe UI" w:cs="Segoe UI"/>
      <w:sz w:val="18"/>
      <w:szCs w:val="18"/>
      <w:lang w:val="it-IT" w:eastAsia="en-GB"/>
    </w:rPr>
  </w:style>
  <w:style w:type="character" w:styleId="Hyperlink">
    <w:name w:val="Hyperlink"/>
    <w:basedOn w:val="DefaultParagraphFont"/>
    <w:uiPriority w:val="99"/>
    <w:unhideWhenUsed/>
    <w:rsid w:val="00BD4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A40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upport.sas.com/resources/papers/proceedings10/255-201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ation.sas.com/?cdcId=pgmsascdc&amp;cdcVersion=9.4_3.4&amp;docsetId=statug&amp;docsetTarget=statug_gee_syntax01.htm&amp;locale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h.wpi.edu/saspdf/stat/chap37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sas.com/rnd/app/stat/procedures/genmod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3" ma:contentTypeDescription="Create a new document." ma:contentTypeScope="" ma:versionID="43c41e5fb73d2a16425bf79046255f1d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f8e71098c2012bec9b4e87b8cca10609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068b83-6393-43b1-b5f0-56fcf750ccaa" xsi:nil="true"/>
  </documentManagement>
</p:properties>
</file>

<file path=customXml/itemProps1.xml><?xml version="1.0" encoding="utf-8"?>
<ds:datastoreItem xmlns:ds="http://schemas.openxmlformats.org/officeDocument/2006/customXml" ds:itemID="{88867BF5-854E-4ED7-947A-1E1423BD9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2B895-1E51-4E30-A434-ED9EC200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95E28-82FC-4EE6-8719-5A5E7250BE94}">
  <ds:schemaRefs>
    <ds:schemaRef ds:uri="http://schemas.microsoft.com/office/2006/metadata/properties"/>
    <ds:schemaRef ds:uri="http://schemas.microsoft.com/office/infopath/2007/PartnerControls"/>
    <ds:schemaRef ds:uri="0d068b83-6393-43b1-b5f0-56fcf750c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3027</Characters>
  <Application>Microsoft Office Word</Application>
  <DocSecurity>0</DocSecurity>
  <Lines>25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Judith Land, PhD</cp:lastModifiedBy>
  <cp:revision>3</cp:revision>
  <dcterms:created xsi:type="dcterms:W3CDTF">2021-02-08T07:46:00Z</dcterms:created>
  <dcterms:modified xsi:type="dcterms:W3CDTF">2021-02-08T07:46:00Z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