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94DF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b/>
          <w:iCs/>
          <w:lang w:val="en-GB"/>
        </w:rPr>
      </w:pPr>
      <w:r w:rsidRPr="00FF2BE4">
        <w:rPr>
          <w:rFonts w:ascii="Cambria" w:hAnsi="Cambria" w:cstheme="minorHAnsi"/>
          <w:b/>
          <w:iCs/>
          <w:lang w:val="en-GB"/>
        </w:rPr>
        <w:t>Supplementary material</w:t>
      </w:r>
    </w:p>
    <w:p w14:paraId="137AA28A" w14:textId="77777777" w:rsidR="006E2013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Design and Equipment of </w:t>
      </w:r>
      <w:r w:rsidR="006E2013"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Pulmonary Intensive and Intermediate Care Units </w:t>
      </w:r>
    </w:p>
    <w:p w14:paraId="41E0A1E9" w14:textId="0C9D8EC4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Siting</w:t>
      </w:r>
    </w:p>
    <w:p w14:paraId="61B035CB" w14:textId="3F93FCDF" w:rsidR="007F5CE1" w:rsidRPr="00FF2BE4" w:rsidRDefault="006E2013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Pulmonary Intensive Care Unit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(PICU) and Intermediate Care Unit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(PIMCU) </w:t>
      </w:r>
      <w:r w:rsidR="007F5CE1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should be sited close to the department from which patients are admitted and with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a </w:t>
      </w:r>
      <w:r w:rsidR="007F5CE1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functional connection plan relating to urgency</w:t>
      </w:r>
      <w:r w:rsidR="007F5CE1" w:rsidRPr="00FF2BE4">
        <w:rPr>
          <w:rStyle w:val="tlid-translation"/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. Complementary </w:t>
      </w:r>
      <w:r w:rsidR="006E00F0" w:rsidRPr="00FF2BE4">
        <w:rPr>
          <w:rStyle w:val="tlid-translation"/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connections</w:t>
      </w:r>
      <w:r w:rsidR="007F5CE1" w:rsidRPr="00FF2BE4">
        <w:rPr>
          <w:rStyle w:val="tlid-translation"/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must be ensured towards the services: sterilisation, laboratories, radiology, and the pharmacy, as well as towards the general entrance for the access of relatives</w:t>
      </w:r>
      <w:r w:rsidR="007F5CE1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.</w:t>
      </w:r>
    </w:p>
    <w:p w14:paraId="400C97E5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3E2BFC4A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Internal configuration</w:t>
      </w:r>
    </w:p>
    <w:p w14:paraId="387A8364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The rooms and areas must be adapted to the type and volume of the activities provided.</w:t>
      </w:r>
    </w:p>
    <w:p w14:paraId="4F0F6B5E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Hospitalisation. </w:t>
      </w:r>
    </w:p>
    <w:p w14:paraId="1D96DF66" w14:textId="27557F16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Hospital rooms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The </w:t>
      </w:r>
      <w:r w:rsidR="006E2013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PICU/PIMCUs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</w:t>
      </w:r>
      <w:r w:rsidR="00AB05FD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can be structured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with single or multiple rooms. </w:t>
      </w:r>
      <w:r w:rsidR="00AB05FD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multiple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room configuration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ensures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more effective management of the spaces assigned to the operating unit and closer surveillance of patients,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and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also </w:t>
      </w:r>
      <w:r w:rsidR="003921B9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facilitates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the mobility of personnel and equipment. In order to favour care and reduce the risk of airborne transmission between patient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, a suitable distance must be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maintained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between beds (2.5 m).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 </w:t>
      </w:r>
    </w:p>
    <w:p w14:paraId="40051543" w14:textId="15B6F8B6" w:rsidR="007F5CE1" w:rsidRPr="00FF2BE4" w:rsidRDefault="00AB05FD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n-GB"/>
        </w:rPr>
        <w:t>Inpatient</w:t>
      </w:r>
      <w:r w:rsidR="007F5CE1" w:rsidRPr="00FF2BE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n-GB"/>
        </w:rPr>
        <w:t xml:space="preserve"> areas should ensure isolation and maintenance of both negative and positive pressure as needed. Single rooms prepared as isolation areas (for infectious or immunosuppressed patients), should preferably be </w:t>
      </w:r>
      <w:r w:rsidRPr="00FF2BE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n-GB"/>
        </w:rPr>
        <w:t xml:space="preserve">situated </w:t>
      </w:r>
      <w:r w:rsidR="007F5CE1" w:rsidRPr="00FF2BE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n-GB"/>
        </w:rPr>
        <w:t>at the end of the ward.</w:t>
      </w:r>
    </w:p>
    <w:p w14:paraId="1E0D7093" w14:textId="5AAF1DB8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For adequate patient management the head of the bed should be easily accessible for operational procedures and not be positioned </w:t>
      </w:r>
      <w:r w:rsidR="0023037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against a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wall. An equipped suspended ceiling bar must be used for the distribution of medical gases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and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electricity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and for housing equipment. This solution reduces the presence of equipment trolleys around the bed and cables on the floor, favouring both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care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and adequate cleaning, a fundamental </w:t>
      </w:r>
      <w:r w:rsidR="00AB05F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condition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for the prevention of infections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04A48AF4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It is also advisable to have a telephone connection, hands-free intercom, TV, connection to the computer network and CCTV camera for each bed.</w:t>
      </w:r>
    </w:p>
    <w:p w14:paraId="3773540F" w14:textId="1955ED43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All the rooms must be equipped with perfectly sealed</w:t>
      </w:r>
      <w:r w:rsidR="000F27FC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double-glazed windows in order to favour natural lighting of the environment and orientation of the patient. Natural daylight is essential for both patients and operators.</w:t>
      </w:r>
    </w:p>
    <w:p w14:paraId="5E6C9DBC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Moreover, it is recommended that the hospital rooms be equipped with a thermometer and hygrometer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07EC30C8" w14:textId="0B13F550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Control centre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This is a functionally separate area from that of the ward, from which direct visual inspection of patients must be possible. Its serves for both</w:t>
      </w:r>
      <w:r w:rsidR="005764F7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0F27FC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care </w:t>
      </w:r>
      <w:r w:rsidR="005764F7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and administration.</w:t>
      </w:r>
    </w:p>
    <w:p w14:paraId="0B182953" w14:textId="17B6ACE5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lastRenderedPageBreak/>
        <w:t>The desk must house the centralised monitoring station (</w:t>
      </w:r>
      <w:r w:rsidRPr="00FF2BE4">
        <w:rPr>
          <w:rFonts w:asciiTheme="minorHAnsi" w:hAnsiTheme="minorHAnsi" w:cstheme="minorHAnsi"/>
          <w:bCs/>
          <w:iCs/>
          <w:sz w:val="22"/>
          <w:szCs w:val="22"/>
          <w:lang w:val="en-GB"/>
        </w:rPr>
        <w:t>centralized bed station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) and therefore be equipped with computers connected to the network, one computer connected to the internal hospital network, a monitor and </w:t>
      </w:r>
      <w:r w:rsidR="000F27FC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preferably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closed-circuit TV, telephones, fax, intercoms, interphones, </w:t>
      </w:r>
      <w:r w:rsidR="000F27FC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an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alarm repeater, etc.</w:t>
      </w:r>
    </w:p>
    <w:p w14:paraId="38F5FF43" w14:textId="561394D2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This area must be equipped with a satellite pharmacy, a refrigerator with a thermograph for storing thermolabile drugs and blood products, a lockable safety deposit for drugs, a sink and large work surfaces (this can be the area for preparing infusions and dressings), shelving, ergonomic chairs, therapy trolley, emergency trolley, trolley for files (patients’</w:t>
      </w:r>
      <w:r w:rsidR="00CE4547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printed material, </w:t>
      </w:r>
      <w:r w:rsidR="00CE4547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m</w:t>
      </w:r>
      <w:r w:rsidR="00BA0E2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edical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iconograph</w:t>
      </w:r>
      <w:r w:rsidR="00BA0E2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y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documentation, reports).</w:t>
      </w:r>
    </w:p>
    <w:p w14:paraId="504E8A53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Additional areas</w:t>
      </w:r>
    </w:p>
    <w:p w14:paraId="701D7BF3" w14:textId="77777777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The head nurse’s station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with computers connected to the network, telephone lines, interphones and an emergency alarm repeater;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intercoms with control area and connected with each hospital bed (for relatives/patient communication).</w:t>
      </w:r>
    </w:p>
    <w:p w14:paraId="36290566" w14:textId="77777777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Equipment areas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(depot, disinfection, washing, storage)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</w:p>
    <w:p w14:paraId="5EC0F817" w14:textId="06670749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Service areas (clean, dirty)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storage of linen and sterile materials</w:t>
      </w:r>
      <w:r w:rsidR="00BA0E2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and used linen and other waste</w:t>
      </w:r>
      <w:r w:rsidR="00BA0E2D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respectively, completely separate and with independent accesses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;</w:t>
      </w:r>
    </w:p>
    <w:p w14:paraId="2BFA629F" w14:textId="07B516BA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Medical </w:t>
      </w:r>
      <w:r w:rsidR="0023037D"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staff </w:t>
      </w: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area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with computers connected to the network, </w:t>
      </w:r>
      <w:r w:rsidR="00BA0E2D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monitor for </w:t>
      </w:r>
      <w:r w:rsidR="00BA0E2D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visualisation of diagnostic images, desks equipped with telephone lines, interphones and an emergency alarm repeater;</w:t>
      </w:r>
    </w:p>
    <w:p w14:paraId="3FA6468D" w14:textId="77777777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Filter-corridors; </w:t>
      </w:r>
    </w:p>
    <w:p w14:paraId="68ED726D" w14:textId="77777777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Bathrooms, </w:t>
      </w:r>
      <w:r w:rsidRPr="00FF2BE4">
        <w:rPr>
          <w:rFonts w:asciiTheme="minorHAnsi" w:hAnsiTheme="minorHAnsi" w:cstheme="minorHAnsi"/>
          <w:bCs/>
          <w:iCs/>
          <w:sz w:val="22"/>
          <w:szCs w:val="22"/>
          <w:lang w:val="en-GB"/>
        </w:rPr>
        <w:t>separate for staff and patients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;</w:t>
      </w:r>
    </w:p>
    <w:p w14:paraId="784BAC51" w14:textId="77777777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Visitors’ area;</w:t>
      </w:r>
    </w:p>
    <w:p w14:paraId="0A1E8EC6" w14:textId="48C02ABF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Room for </w:t>
      </w:r>
      <w:r w:rsidR="00BA0E2D"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the </w:t>
      </w: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doctor on call;</w:t>
      </w:r>
    </w:p>
    <w:p w14:paraId="5157F268" w14:textId="77777777" w:rsidR="007F5CE1" w:rsidRPr="00FF2BE4" w:rsidRDefault="007F5CE1" w:rsidP="007F5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Kitchen.</w:t>
      </w:r>
    </w:p>
    <w:p w14:paraId="35FB6DA1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Rooms outside the ward and/or in common with other operating units:</w:t>
      </w:r>
    </w:p>
    <w:p w14:paraId="09A977E8" w14:textId="77777777" w:rsidR="007F5CE1" w:rsidRPr="00FF2BE4" w:rsidRDefault="007F5CE1" w:rsidP="007F5C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Changing rooms;</w:t>
      </w:r>
    </w:p>
    <w:p w14:paraId="4569BE85" w14:textId="0F34C006" w:rsidR="007F5CE1" w:rsidRPr="00FF2BE4" w:rsidRDefault="007F5CE1" w:rsidP="007F5C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Secretary’s office/archive</w:t>
      </w:r>
      <w:r w:rsidR="00BA0E2D"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s</w:t>
      </w: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;</w:t>
      </w:r>
    </w:p>
    <w:p w14:paraId="04BED9D9" w14:textId="77777777" w:rsidR="007F5CE1" w:rsidRPr="00FF2BE4" w:rsidRDefault="007F5CE1" w:rsidP="007F5C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Meeting room.</w:t>
      </w:r>
    </w:p>
    <w:p w14:paraId="28B81208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38987939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Additional internal configuration</w:t>
      </w:r>
    </w:p>
    <w:p w14:paraId="4C6F6203" w14:textId="28E77591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1.</w:t>
      </w:r>
      <w:r w:rsidR="00985A94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To guarantee </w:t>
      </w:r>
      <w:r w:rsidR="002D2DEE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a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good acoustic quality of the department, architectural solutions (location of the department), technological-building solutions (soundproofing properties of wall and ceiling covering materials, soundproofing characteristics of windows, etc.) and plant type solutions (distribution of the treated air in the room) must all be </w:t>
      </w:r>
      <w:r w:rsidR="00985A94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adopted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. The tolerated noise limits are 40 dB in the daytime and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lastRenderedPageBreak/>
        <w:t xml:space="preserve">30 dB at night </w:t>
      </w:r>
    </w:p>
    <w:p w14:paraId="680FF2EA" w14:textId="0EEF6F96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2.</w:t>
      </w:r>
      <w:r w:rsidR="00985A94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The ward must be equipped with washbasins in the bathroom and hospital areas, with the water supply activated </w:t>
      </w:r>
      <w:r w:rsidR="00985A94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using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no-touch devices, detergents and antiseptics for hand washing in containers that </w:t>
      </w:r>
      <w:r w:rsidR="00985A94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cannot be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topp</w:t>
      </w:r>
      <w:r w:rsidR="00985A94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ed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up, and suitable drying materials.</w:t>
      </w:r>
    </w:p>
    <w:p w14:paraId="46E6F571" w14:textId="12988C0F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3.</w:t>
      </w:r>
      <w:r w:rsidR="00985A94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The doors must be adequately sized for the type of transit (depending on the areas: passage of beds and/or equipment, linen, drug supplies and devices, waste, etc.), ensuring easy opening in critical areas</w:t>
      </w:r>
      <w:r w:rsidR="00084C4E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[1].</w:t>
      </w:r>
    </w:p>
    <w:p w14:paraId="2562C240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58C2CEB1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iCs/>
          <w:sz w:val="22"/>
          <w:szCs w:val="22"/>
          <w:lang w:val="en-GB"/>
        </w:rPr>
        <w:t>Structural Requirements</w:t>
      </w:r>
    </w:p>
    <w:p w14:paraId="4480340B" w14:textId="0141E8A1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The total surface area of the operating unit must be 2.5-3 times the total ward area for PICU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and at least twice the total ward area for PIMCU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, to be divided into the following areas (in addition to the ward area):</w:t>
      </w:r>
    </w:p>
    <w:p w14:paraId="05595860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filter area for patients;</w:t>
      </w:r>
    </w:p>
    <w:p w14:paraId="4FA00E33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filter area for hospital staff;</w:t>
      </w:r>
    </w:p>
    <w:p w14:paraId="4A4DA4A0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room for infected patients equipped with a filter area (at least one single hospital room also suitable for housing patients requiring negative-pressure respiratory isolation);</w:t>
      </w:r>
    </w:p>
    <w:p w14:paraId="1FB16FC2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room for medical staff (work room);</w:t>
      </w:r>
    </w:p>
    <w:p w14:paraId="751932F3" w14:textId="58861F69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room for doctor on call (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nearby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);</w:t>
      </w:r>
    </w:p>
    <w:p w14:paraId="62C48D6F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work room for the nursing staff;</w:t>
      </w:r>
    </w:p>
    <w:p w14:paraId="2972D097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storage room for medical devices and other clean material (suitably sized for the storage of equipment);</w:t>
      </w:r>
    </w:p>
    <w:p w14:paraId="34B8EE99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storage room for dirty material, equipped with a sink;</w:t>
      </w:r>
    </w:p>
    <w:p w14:paraId="35A630D6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staff bathrooms;</w:t>
      </w:r>
    </w:p>
    <w:p w14:paraId="43AC3FA2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staff changing rooms (also centralised);</w:t>
      </w:r>
    </w:p>
    <w:p w14:paraId="4212050A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area for disinfection/washing of equipment/materials equipped with sinks, medical gas connections, vacuum deposit, electricity sockets);</w:t>
      </w:r>
    </w:p>
    <w:p w14:paraId="48582CA5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head nurse’s room;</w:t>
      </w:r>
    </w:p>
    <w:p w14:paraId="79B591E0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secretarial or administrative area (this function must be guaranteed); </w:t>
      </w:r>
    </w:p>
    <w:p w14:paraId="4E7ABC87" w14:textId="2C6FDE75" w:rsidR="00985A94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ward kitchen with adjacent room for storing food distribution trolleys;</w:t>
      </w:r>
    </w:p>
    <w:p w14:paraId="45AA39B5" w14:textId="5AB5EF3E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nursing workstation equipped with a monitoring unit.</w:t>
      </w:r>
    </w:p>
    <w:p w14:paraId="2E74ADFF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The following must also be provided:</w:t>
      </w:r>
    </w:p>
    <w:p w14:paraId="4D43CFED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visitors’ waiting room (immediately outside the operating unit);</w:t>
      </w:r>
    </w:p>
    <w:p w14:paraId="3D8C8B18" w14:textId="77777777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relatives’ reception area (preferably immediately outside the operating unit).</w:t>
      </w:r>
    </w:p>
    <w:p w14:paraId="53C0E2F2" w14:textId="10A7F4F8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following 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conditions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must be 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satisfied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: at least 15 m</w:t>
      </w:r>
      <w:r w:rsidRPr="00FF2BE4">
        <w:rPr>
          <w:rFonts w:asciiTheme="minorHAnsi" w:hAnsiTheme="minorHAnsi" w:cstheme="minorHAnsi"/>
          <w:iCs/>
          <w:sz w:val="22"/>
          <w:szCs w:val="22"/>
          <w:vertAlign w:val="superscript"/>
          <w:lang w:val="en-GB"/>
        </w:rPr>
        <w:t>2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/bed (for pre-existing structures), 20 m</w:t>
      </w:r>
      <w:r w:rsidRPr="00FF2BE4">
        <w:rPr>
          <w:rFonts w:asciiTheme="minorHAnsi" w:hAnsiTheme="minorHAnsi" w:cstheme="minorHAnsi"/>
          <w:iCs/>
          <w:sz w:val="22"/>
          <w:szCs w:val="22"/>
          <w:vertAlign w:val="superscript"/>
          <w:lang w:val="en-GB"/>
        </w:rPr>
        <w:t>2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/bed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lastRenderedPageBreak/>
        <w:t>for single rooms and 16 m</w:t>
      </w:r>
      <w:r w:rsidRPr="00FF2BE4">
        <w:rPr>
          <w:rFonts w:asciiTheme="minorHAnsi" w:hAnsiTheme="minorHAnsi" w:cstheme="minorHAnsi"/>
          <w:iCs/>
          <w:sz w:val="22"/>
          <w:szCs w:val="22"/>
          <w:vertAlign w:val="superscript"/>
          <w:lang w:val="en-GB"/>
        </w:rPr>
        <w:t>2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for multiple rooms (for newly designed structures).</w:t>
      </w:r>
    </w:p>
    <w:p w14:paraId="29CF45D7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Multiple rooms must be structured in such a way as to guarantee patient privacy.</w:t>
      </w:r>
    </w:p>
    <w:p w14:paraId="0FB7207A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The following must be ensured:</w:t>
      </w:r>
    </w:p>
    <w:p w14:paraId="7F6593DA" w14:textId="166D8099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seamless, non-scratchable floor, wall and ceiling surfaces that can be treated with disinfectants 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and are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joined with rounded corners;</w:t>
      </w:r>
    </w:p>
    <w:p w14:paraId="76E6007D" w14:textId="4C00C0D1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door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and corridor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inside the operating unit 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wide enough to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manoeuvr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beds;</w:t>
      </w:r>
    </w:p>
    <w:p w14:paraId="70ADA3A2" w14:textId="53F1FC19" w:rsidR="007F5CE1" w:rsidRPr="00FF2BE4" w:rsidRDefault="007F5CE1" w:rsidP="007F5CE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wall units and/or ceiling beams for supporting equipment and devices that allow 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easy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access, manoeuvring and cleaning.</w:t>
      </w:r>
    </w:p>
    <w:p w14:paraId="506B712A" w14:textId="056133B0" w:rsidR="007F5CE1" w:rsidRPr="00FF2BE4" w:rsidRDefault="00985A94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The nursing station must provide a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good view of patients.</w:t>
      </w:r>
    </w:p>
    <w:p w14:paraId="44E14714" w14:textId="7D0889ED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distance between two beds must not be less than 1.5 m (for pre-existing structures) 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or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2.5 m (for newly designed structures).</w:t>
      </w:r>
    </w:p>
    <w:p w14:paraId="1170968C" w14:textId="4BA042A2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Adequate space must be provided behind the bedheads to allow for </w:t>
      </w:r>
      <w:r w:rsidR="00985A9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care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operations (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tracheal intubation, central venous catheterisation, bronchoscopy, etc.)</w:t>
      </w:r>
      <w:r w:rsidR="0098729F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[1].</w:t>
      </w:r>
    </w:p>
    <w:p w14:paraId="274C28E4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2FC976DD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Technological Requirements</w:t>
      </w:r>
    </w:p>
    <w:p w14:paraId="5EE1D36D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Installations</w:t>
      </w:r>
    </w:p>
    <w:p w14:paraId="1878DFF5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Air-conditioning system that guarantees:</w:t>
      </w:r>
    </w:p>
    <w:p w14:paraId="703467EF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Internal winter and summer temperatures between 20 and 24°C;</w:t>
      </w:r>
    </w:p>
    <w:p w14:paraId="258422ED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Winter and summer relative humidity between 40 and 60%;</w:t>
      </w:r>
    </w:p>
    <w:p w14:paraId="593CB58A" w14:textId="579EC95A" w:rsidR="007F5CE1" w:rsidRPr="00FF2BE4" w:rsidRDefault="007F5CE1" w:rsidP="005764F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 number of air changes per hour (external air without recirculation) equal to 6-10 </w:t>
      </w:r>
      <w:r w:rsidR="00C34B89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ACH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, with a minimum of 10 </w:t>
      </w:r>
      <w:r w:rsidR="00C34B89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ACH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in the area </w:t>
      </w:r>
      <w:r w:rsidR="00C34B89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used 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for the temporary storage of dirty materials and</w:t>
      </w:r>
      <w:r w:rsidR="005764F7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at least 12 </w:t>
      </w:r>
      <w:r w:rsidR="00C34B89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ACH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for isolation room/area (with the use of HEPA filtration of the incoming air,</w:t>
      </w:r>
      <w:r w:rsidR="005764F7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if re-circulated)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[</w:t>
      </w:r>
      <w:r w:rsidR="0098729F" w:rsidRPr="00AC5E3A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EF634A" w:rsidRPr="00AC5E3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98729F" w:rsidRPr="00AC5E3A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AC5E3A">
        <w:rPr>
          <w:rFonts w:asciiTheme="minorHAnsi" w:hAnsiTheme="minorHAnsi" w:cstheme="minorHAnsi"/>
          <w:sz w:val="22"/>
          <w:szCs w:val="22"/>
          <w:lang w:val="en-GB"/>
        </w:rPr>
        <w:t>]</w:t>
      </w:r>
      <w:r w:rsidR="005764F7" w:rsidRPr="00AC5E3A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090D4800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Purification of the air through semi-absolute filters capable of retaining particles with a diameter of 5 microns; </w:t>
      </w:r>
    </w:p>
    <w:p w14:paraId="5D8FEBCF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Air speed in the ward areas not exceeding 0.8 m/sec.</w:t>
      </w:r>
    </w:p>
    <w:p w14:paraId="75564CCC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Centralised aspiration system (vacuum) capable of guaranteeing a minimum aspiration pressure of 500 mmHg (40 L/min for each inlet);</w:t>
      </w:r>
    </w:p>
    <w:p w14:paraId="0ACD1DD5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Centralised medical gas unit;</w:t>
      </w:r>
    </w:p>
    <w:p w14:paraId="79FE2142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Alarm system for signalling medical gas shortages;</w:t>
      </w:r>
    </w:p>
    <w:p w14:paraId="254ED99D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Fire detection system;</w:t>
      </w:r>
    </w:p>
    <w:p w14:paraId="5CFF2098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Alarm system for electrical installations.</w:t>
      </w:r>
    </w:p>
    <w:p w14:paraId="429248C7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The following equipment must be present in the operating unit:</w:t>
      </w:r>
    </w:p>
    <w:p w14:paraId="00FEC0CE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life-sustaining and life-support mechanical ventilators (at least 1 per bed, including additional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lastRenderedPageBreak/>
        <w:t>emergency ventilator depending on the case mix and number of beds);</w:t>
      </w:r>
    </w:p>
    <w:p w14:paraId="48374F64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operating lamp for each bed;</w:t>
      </w:r>
    </w:p>
    <w:p w14:paraId="0CED7DC8" w14:textId="019F78D6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aspirators for bronch</w:t>
      </w:r>
      <w:r w:rsidR="00C34B89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ial suction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;</w:t>
      </w:r>
    </w:p>
    <w:p w14:paraId="0DFF276B" w14:textId="284A4BB1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 defibrillator (</w:t>
      </w:r>
      <w:r w:rsidR="00C34B89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preferably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with transcutaneous cardiac </w:t>
      </w:r>
      <w:r w:rsidR="00C34B89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pacing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);</w:t>
      </w:r>
    </w:p>
    <w:p w14:paraId="1097EB79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monitor for viewing diagnostic images;</w:t>
      </w:r>
    </w:p>
    <w:p w14:paraId="2F312BE4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refrigerators for storing drugs and blood products;</w:t>
      </w:r>
    </w:p>
    <w:p w14:paraId="0C6DA6BE" w14:textId="45469806" w:rsidR="007F5CE1" w:rsidRPr="00FF2BE4" w:rsidRDefault="00C34B89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external 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cardiac stimulator;</w:t>
      </w:r>
    </w:p>
    <w:p w14:paraId="65A2837D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bronchoscopy;</w:t>
      </w:r>
    </w:p>
    <w:p w14:paraId="269B42A8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readily available X-ray device;</w:t>
      </w:r>
    </w:p>
    <w:p w14:paraId="2D58DE41" w14:textId="4042E609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weighing system for bedridden 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patients (</w:t>
      </w:r>
      <w:r w:rsidRPr="00FF2BE4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desirable for PIMCU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);</w:t>
      </w:r>
    </w:p>
    <w:p w14:paraId="4553386F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equipment for transporting critical patients on gurneys including monitor/defibrillator with ECG, Non-invasive Blood Pressure Amplifier; oximeter, oxygen bottle, portable respirator;</w:t>
      </w:r>
    </w:p>
    <w:p w14:paraId="24A8C57B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emergency trolley;</w:t>
      </w:r>
    </w:p>
    <w:p w14:paraId="79ACBA46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at least one electricity socket per X-ray device per hospital ward;</w:t>
      </w:r>
    </w:p>
    <w:p w14:paraId="72731147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1 sink every 4 beds, with non-manual opening taps and disposable towels for pre-existing structures (1 every 2 beds for newly designed structures; 1 per bed for single rooms);</w:t>
      </w:r>
    </w:p>
    <w:p w14:paraId="436AC8C1" w14:textId="0A6A5119" w:rsidR="007F5CE1" w:rsidRPr="00FF2BE4" w:rsidRDefault="00BF2924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blood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gas analyser;</w:t>
      </w:r>
    </w:p>
    <w:p w14:paraId="72A4669B" w14:textId="617FC886" w:rsidR="007F5CE1" w:rsidRPr="00FF2BE4" w:rsidRDefault="00BF2924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ultrasound scanner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;</w:t>
      </w:r>
    </w:p>
    <w:p w14:paraId="280147FD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patient lifter;</w:t>
      </w:r>
    </w:p>
    <w:p w14:paraId="54337C2B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aids for preventing bedsores;</w:t>
      </w:r>
    </w:p>
    <w:p w14:paraId="562F4D7E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patient thermoregulation systems;</w:t>
      </w:r>
    </w:p>
    <w:p w14:paraId="6FBCCCBD" w14:textId="50A595D8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availability in the structure of hemofiltration/dialysis devices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only for PICU</w:t>
      </w:r>
      <w:r w:rsidR="00BF2924" w:rsidRPr="00FF2BE4">
        <w:rPr>
          <w:rFonts w:asciiTheme="minorHAnsi" w:hAnsiTheme="minorHAnsi" w:cstheme="minorHAnsi"/>
          <w:i/>
          <w:sz w:val="22"/>
          <w:szCs w:val="22"/>
          <w:lang w:val="en-GB"/>
        </w:rPr>
        <w:t>s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);</w:t>
      </w:r>
    </w:p>
    <w:p w14:paraId="39075311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modules or systems for the release of humidified and heated high-flow oxygen therapy;</w:t>
      </w:r>
    </w:p>
    <w:p w14:paraId="690A75EF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electrical continuity system for monitoring systems and equipment designed to support vital functions.</w:t>
      </w:r>
    </w:p>
    <w:p w14:paraId="515B4BF5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The following equipment must be present for each bed:</w:t>
      </w:r>
    </w:p>
    <w:p w14:paraId="367DD2B1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1 warning system (1 per single room, 1 per ward);</w:t>
      </w:r>
    </w:p>
    <w:p w14:paraId="14089E3B" w14:textId="6D155AA7" w:rsidR="007F5CE1" w:rsidRPr="00FF2BE4" w:rsidRDefault="00BF2924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light source;</w:t>
      </w:r>
    </w:p>
    <w:p w14:paraId="29AAED51" w14:textId="4926D23E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electricity sockets</w:t>
      </w:r>
      <w:r w:rsidR="006E2013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(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16-20 for PICU; 10 for PIMCU</w:t>
      </w:r>
      <w:r w:rsidR="006E2013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</w:t>
      </w:r>
    </w:p>
    <w:p w14:paraId="1D5EF287" w14:textId="4476DE45" w:rsidR="007F5CE1" w:rsidRPr="00FF2BE4" w:rsidRDefault="00BF2924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vacuum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sockets: </w:t>
      </w:r>
      <w:r w:rsidR="007F5CE1"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at least 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2 per bed (</w:t>
      </w:r>
      <w:r w:rsidR="007F5CE1" w:rsidRPr="00FF2BE4">
        <w:rPr>
          <w:rFonts w:asciiTheme="minorHAnsi" w:hAnsiTheme="minorHAnsi" w:cstheme="minorHAnsi"/>
          <w:i/>
          <w:sz w:val="22"/>
          <w:szCs w:val="22"/>
          <w:lang w:val="en-GB"/>
        </w:rPr>
        <w:t>3 desirable for PICU</w:t>
      </w:r>
      <w:r w:rsidR="007F5CE1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);</w:t>
      </w:r>
    </w:p>
    <w:p w14:paraId="5E8ADE10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O</w:t>
      </w:r>
      <w:r w:rsidRPr="00FF2BE4">
        <w:rPr>
          <w:rFonts w:asciiTheme="minorHAnsi" w:hAnsiTheme="minorHAnsi" w:cstheme="minorHAnsi"/>
          <w:iCs/>
          <w:sz w:val="22"/>
          <w:szCs w:val="22"/>
          <w:vertAlign w:val="subscript"/>
          <w:lang w:val="en-GB"/>
        </w:rPr>
        <w:t xml:space="preserve">2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sockets: 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at least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3 per bed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4 desirable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) for PICU; </w:t>
      </w:r>
      <w:r w:rsidRPr="00FF2BE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at least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2 per bed (3 desirable) for PIMCU;</w:t>
      </w:r>
    </w:p>
    <w:p w14:paraId="1075EE6C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Compressed air sockets: 2 per bed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3 desirable for PICU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);</w:t>
      </w:r>
    </w:p>
    <w:p w14:paraId="17485A36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ind w:left="34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The medicinal gas and vacuum connections must be marked with specific colours and not be positioned at eye level to avoid facial injuries in case of disconnection.</w:t>
      </w:r>
    </w:p>
    <w:p w14:paraId="4DB98D34" w14:textId="7E3CB409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lastRenderedPageBreak/>
        <w:t xml:space="preserve">Mechanical ventilator with humidifier equipped with </w:t>
      </w:r>
      <w:r w:rsidR="00BF2924"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various 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ventilation modes, fitted with standardised alarm systems for user safety;</w:t>
      </w:r>
    </w:p>
    <w:p w14:paraId="626AD795" w14:textId="4D20E538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bed equipped with the possibility of assuming the </w:t>
      </w:r>
      <w:r w:rsidR="003921B9" w:rsidRPr="00FF2BE4">
        <w:rPr>
          <w:rFonts w:asciiTheme="minorHAnsi" w:hAnsiTheme="minorHAnsi" w:cstheme="minorHAnsi"/>
          <w:i/>
          <w:sz w:val="22"/>
          <w:szCs w:val="22"/>
          <w:lang w:val="en-GB"/>
        </w:rPr>
        <w:t>Trendelenburg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and 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anti-</w:t>
      </w:r>
      <w:r w:rsidR="003921B9" w:rsidRPr="00FF2BE4">
        <w:rPr>
          <w:rFonts w:asciiTheme="minorHAnsi" w:hAnsiTheme="minorHAnsi" w:cstheme="minorHAnsi"/>
          <w:i/>
          <w:sz w:val="22"/>
          <w:szCs w:val="22"/>
          <w:lang w:val="en-GB"/>
        </w:rPr>
        <w:t>Trendelenburg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positions, fitted with anti-decubitus aids;</w:t>
      </w:r>
    </w:p>
    <w:p w14:paraId="37DD6B36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manual ventilation system;</w:t>
      </w:r>
    </w:p>
    <w:p w14:paraId="4466C8AA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aspiration system;</w:t>
      </w:r>
    </w:p>
    <w:p w14:paraId="362CF7A0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at least 3-4 infusion pumps per bed (syringe and volumetric pump as required);</w:t>
      </w:r>
    </w:p>
    <w:p w14:paraId="7624951B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One enteral feeding pump per bed.</w:t>
      </w:r>
    </w:p>
    <w:p w14:paraId="747920CB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65EC12D7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Monitoring equipment</w:t>
      </w:r>
    </w:p>
    <w:p w14:paraId="2C9BAF21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monitor for detecting vital parameters and parameter trends, with acoustic and visual alarms, simultaneous viewing on the display of at least 4 of the following:</w:t>
      </w:r>
    </w:p>
    <w:p w14:paraId="6B9A437A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ECG;</w:t>
      </w:r>
    </w:p>
    <w:p w14:paraId="181B8BE5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Non-invasive BP;</w:t>
      </w:r>
    </w:p>
    <w:p w14:paraId="73D28B4F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At least two invasive pressure channels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for PICU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);</w:t>
      </w:r>
    </w:p>
    <w:p w14:paraId="6F373B99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Pulse oximeter;</w:t>
      </w:r>
    </w:p>
    <w:p w14:paraId="34F65DFC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monitoring of ventilation:</w:t>
      </w:r>
    </w:p>
    <w:p w14:paraId="6A805AB2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capnometry;</w:t>
      </w:r>
    </w:p>
    <w:p w14:paraId="592449CF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volumes, </w:t>
      </w:r>
    </w:p>
    <w:p w14:paraId="603080A9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pressure;</w:t>
      </w:r>
    </w:p>
    <w:p w14:paraId="3FC4B3E7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frequency;</w:t>
      </w:r>
    </w:p>
    <w:p w14:paraId="78367CF5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% of O</w:t>
      </w:r>
      <w:r w:rsidRPr="00FF2BE4">
        <w:rPr>
          <w:rFonts w:asciiTheme="minorHAnsi" w:hAnsiTheme="minorHAnsi" w:cstheme="minorHAnsi"/>
          <w:iCs/>
          <w:sz w:val="22"/>
          <w:szCs w:val="22"/>
          <w:vertAlign w:val="subscript"/>
          <w:lang w:val="en-GB"/>
        </w:rPr>
        <w:t>2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in the inhaled mixture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available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);</w:t>
      </w:r>
    </w:p>
    <w:p w14:paraId="5D64AD40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cardiac output and derivative values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available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for PICU);</w:t>
      </w:r>
    </w:p>
    <w:p w14:paraId="7A575FF7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temperature (central and cutaneous);</w:t>
      </w:r>
    </w:p>
    <w:p w14:paraId="05098045" w14:textId="77777777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additional monitoring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desirable for PICU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):</w:t>
      </w:r>
    </w:p>
    <w:p w14:paraId="588A7C28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respiratory function;</w:t>
      </w:r>
    </w:p>
    <w:p w14:paraId="53C9E0FF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detection of arrhythmias;</w:t>
      </w:r>
    </w:p>
    <w:p w14:paraId="02C98802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possibility of online recording of electrocardiographic tracing;</w:t>
      </w:r>
    </w:p>
    <w:p w14:paraId="08736163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analysis of the ST-T waveform;</w:t>
      </w:r>
    </w:p>
    <w:p w14:paraId="4D6BD055" w14:textId="77777777" w:rsidR="007F5CE1" w:rsidRPr="00FF2BE4" w:rsidRDefault="007F5CE1" w:rsidP="007F5CE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indirect calorimetry;</w:t>
      </w:r>
    </w:p>
    <w:p w14:paraId="3C2434A5" w14:textId="0206842B" w:rsidR="007F5CE1" w:rsidRPr="00FF2BE4" w:rsidRDefault="007F5CE1" w:rsidP="007F5CE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computeri</w:t>
      </w:r>
      <w:r w:rsidR="00FF2BE4">
        <w:rPr>
          <w:rFonts w:asciiTheme="minorHAnsi" w:hAnsiTheme="minorHAnsi" w:cstheme="minorHAnsi"/>
          <w:iCs/>
          <w:sz w:val="22"/>
          <w:szCs w:val="22"/>
          <w:lang w:val="en-GB"/>
        </w:rPr>
        <w:t>z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ed system for analysing and processing monitored data (</w:t>
      </w:r>
      <w:r w:rsidRPr="00FF2BE4">
        <w:rPr>
          <w:rFonts w:asciiTheme="minorHAnsi" w:hAnsiTheme="minorHAnsi" w:cstheme="minorHAnsi"/>
          <w:i/>
          <w:sz w:val="22"/>
          <w:szCs w:val="22"/>
          <w:lang w:val="en-GB"/>
        </w:rPr>
        <w:t>desirable</w:t>
      </w:r>
      <w:r w:rsidRPr="00FF2BE4">
        <w:rPr>
          <w:rFonts w:asciiTheme="minorHAnsi" w:hAnsiTheme="minorHAnsi" w:cstheme="minorHAnsi"/>
          <w:iCs/>
          <w:sz w:val="22"/>
          <w:szCs w:val="22"/>
          <w:lang w:val="en-GB"/>
        </w:rPr>
        <w:t>)</w:t>
      </w:r>
      <w:r w:rsidR="0098729F" w:rsidRPr="00FF2BE4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54047E73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4B73D9D1" w14:textId="77777777" w:rsidR="007F5CE1" w:rsidRPr="00FF2BE4" w:rsidRDefault="007F5CE1" w:rsidP="007F5C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3678112D" w14:textId="77777777" w:rsidR="007F5CE1" w:rsidRPr="00FF2BE4" w:rsidRDefault="007F5CE1" w:rsidP="007F5CE1">
      <w:pPr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</w:p>
    <w:p w14:paraId="3737B48E" w14:textId="77777777" w:rsidR="005764F7" w:rsidRPr="00FF2BE4" w:rsidRDefault="005764F7" w:rsidP="007F5CE1">
      <w:pPr>
        <w:spacing w:line="360" w:lineRule="auto"/>
        <w:jc w:val="both"/>
        <w:rPr>
          <w:rStyle w:val="tlid-translation"/>
          <w:rFonts w:ascii="Cambria" w:hAnsi="Cambria" w:cstheme="minorHAnsi"/>
          <w:b/>
          <w:bCs/>
          <w:iCs/>
          <w:lang w:val="en-GB"/>
        </w:rPr>
      </w:pPr>
    </w:p>
    <w:p w14:paraId="6F1670D1" w14:textId="77777777" w:rsidR="007F5CE1" w:rsidRPr="00FF2BE4" w:rsidRDefault="007F5CE1" w:rsidP="007F5CE1">
      <w:pPr>
        <w:spacing w:line="360" w:lineRule="auto"/>
        <w:jc w:val="both"/>
        <w:rPr>
          <w:rStyle w:val="tlid-translation"/>
          <w:rFonts w:ascii="Cambria" w:hAnsi="Cambria" w:cstheme="minorHAnsi"/>
          <w:b/>
          <w:bCs/>
          <w:iCs/>
          <w:lang w:val="en-GB"/>
        </w:rPr>
      </w:pPr>
      <w:r w:rsidRPr="00FF2BE4">
        <w:rPr>
          <w:rStyle w:val="tlid-translation"/>
          <w:rFonts w:ascii="Cambria" w:hAnsi="Cambria" w:cstheme="minorHAnsi"/>
          <w:b/>
          <w:bCs/>
          <w:iCs/>
          <w:lang w:val="en-GB"/>
        </w:rPr>
        <w:t>References</w:t>
      </w:r>
    </w:p>
    <w:p w14:paraId="7A66F075" w14:textId="7A0371CD" w:rsidR="00084C4E" w:rsidRPr="00AC5E3A" w:rsidRDefault="00BB1B6F" w:rsidP="00BB1B6F">
      <w:pPr>
        <w:pStyle w:val="Paragrafoelenco"/>
        <w:numPr>
          <w:ilvl w:val="0"/>
          <w:numId w:val="6"/>
        </w:numPr>
        <w:spacing w:line="360" w:lineRule="auto"/>
        <w:jc w:val="both"/>
        <w:rPr>
          <w:rStyle w:val="tlid-translation"/>
          <w:rFonts w:asciiTheme="minorHAnsi" w:hAnsiTheme="minorHAnsi" w:cstheme="minorHAnsi"/>
          <w:bCs/>
          <w:sz w:val="22"/>
          <w:szCs w:val="22"/>
        </w:rPr>
      </w:pPr>
      <w:r w:rsidRPr="00AC5E3A">
        <w:rPr>
          <w:rFonts w:asciiTheme="minorHAnsi" w:hAnsiTheme="minorHAnsi" w:cstheme="minorHAnsi"/>
          <w:bCs/>
          <w:sz w:val="22"/>
          <w:szCs w:val="22"/>
        </w:rPr>
        <w:t xml:space="preserve">Renda T, Arcaro G, Baglioni S, Brunetti G, Carlucci A, Carlucci B, et al. </w:t>
      </w:r>
      <w:proofErr w:type="spellStart"/>
      <w:r w:rsidRPr="00AC5E3A">
        <w:rPr>
          <w:rFonts w:asciiTheme="minorHAnsi" w:hAnsiTheme="minorHAnsi" w:cstheme="minorHAnsi"/>
          <w:bCs/>
          <w:sz w:val="22"/>
          <w:szCs w:val="22"/>
        </w:rPr>
        <w:t>Respiratory</w:t>
      </w:r>
      <w:proofErr w:type="spellEnd"/>
      <w:r w:rsidRPr="00AC5E3A">
        <w:rPr>
          <w:rFonts w:asciiTheme="minorHAnsi" w:hAnsiTheme="minorHAnsi" w:cstheme="minorHAnsi"/>
          <w:bCs/>
          <w:sz w:val="22"/>
          <w:szCs w:val="22"/>
        </w:rPr>
        <w:t xml:space="preserve"> intensive care </w:t>
      </w:r>
      <w:proofErr w:type="spellStart"/>
      <w:r w:rsidRPr="00AC5E3A">
        <w:rPr>
          <w:rFonts w:asciiTheme="minorHAnsi" w:hAnsiTheme="minorHAnsi" w:cstheme="minorHAnsi"/>
          <w:bCs/>
          <w:sz w:val="22"/>
          <w:szCs w:val="22"/>
        </w:rPr>
        <w:t>unit</w:t>
      </w:r>
      <w:proofErr w:type="spellEnd"/>
      <w:r w:rsidRPr="00AC5E3A">
        <w:rPr>
          <w:rFonts w:asciiTheme="minorHAnsi" w:hAnsiTheme="minorHAnsi" w:cstheme="minorHAnsi"/>
          <w:bCs/>
          <w:sz w:val="22"/>
          <w:szCs w:val="22"/>
        </w:rPr>
        <w:t>: 2018 update. Rassegna di Patologia dell’Apparato Respiratorio 2018 Dec;33(6):306-32.</w:t>
      </w:r>
    </w:p>
    <w:p w14:paraId="4AF2FBD5" w14:textId="4A1A9F88" w:rsidR="005764F7" w:rsidRPr="00AC5E3A" w:rsidRDefault="005764F7" w:rsidP="005764F7">
      <w:pPr>
        <w:pStyle w:val="Paragrafoelenco"/>
        <w:numPr>
          <w:ilvl w:val="0"/>
          <w:numId w:val="6"/>
        </w:numPr>
        <w:spacing w:line="360" w:lineRule="auto"/>
        <w:jc w:val="both"/>
        <w:rPr>
          <w:rStyle w:val="tlid-translation"/>
          <w:rFonts w:asciiTheme="minorHAnsi" w:hAnsiTheme="minorHAnsi" w:cstheme="minorHAnsi"/>
          <w:sz w:val="22"/>
          <w:szCs w:val="22"/>
          <w:lang w:val="en-GB"/>
        </w:rPr>
      </w:pP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World Health Organization. Clinical management of severe acute respiratory infection (SARI) when COVID-19 disease is suspected: interim guidance, 13 March 2020. Available from: </w:t>
      </w:r>
      <w:hyperlink r:id="rId5" w:history="1">
        <w:r w:rsidRPr="00FF2BE4">
          <w:rPr>
            <w:rStyle w:val="Collegamentoipertestuale"/>
            <w:rFonts w:asciiTheme="minorHAnsi" w:hAnsiTheme="minorHAnsi" w:cstheme="minorHAnsi"/>
            <w:iCs/>
            <w:sz w:val="22"/>
            <w:szCs w:val="22"/>
            <w:lang w:val="en-GB"/>
          </w:rPr>
          <w:t>https://apps.who.int/iris/handle/10665/331446</w:t>
        </w:r>
      </w:hyperlink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</w:p>
    <w:p w14:paraId="66B40899" w14:textId="77777777" w:rsidR="005764F7" w:rsidRPr="00FF2BE4" w:rsidRDefault="005764F7" w:rsidP="005764F7">
      <w:pPr>
        <w:pStyle w:val="Paragrafoelenco"/>
        <w:numPr>
          <w:ilvl w:val="0"/>
          <w:numId w:val="6"/>
        </w:numPr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  <w:r w:rsidRPr="00AC5E3A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Saran S, </w:t>
      </w:r>
      <w:proofErr w:type="spellStart"/>
      <w:r w:rsidRPr="00AC5E3A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Gurjar</w:t>
      </w:r>
      <w:proofErr w:type="spellEnd"/>
      <w:r w:rsidRPr="00AC5E3A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M, </w:t>
      </w:r>
      <w:proofErr w:type="spellStart"/>
      <w:r w:rsidRPr="00AC5E3A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Baronia</w:t>
      </w:r>
      <w:proofErr w:type="spellEnd"/>
      <w:r w:rsidRPr="00AC5E3A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A, et al. Heating, ventilation and air conditioning (HVAC) in intensive care unit. 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Crit Care. </w:t>
      </w:r>
      <w:proofErr w:type="gramStart"/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2020;24:194</w:t>
      </w:r>
      <w:proofErr w:type="gramEnd"/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. </w:t>
      </w:r>
    </w:p>
    <w:p w14:paraId="23BAB6D7" w14:textId="77777777" w:rsidR="007F5CE1" w:rsidRPr="00AC5E3A" w:rsidRDefault="007F5CE1" w:rsidP="005764F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C5E3A">
        <w:rPr>
          <w:rFonts w:asciiTheme="minorHAnsi" w:hAnsiTheme="minorHAnsi" w:cstheme="minorHAnsi"/>
          <w:sz w:val="22"/>
          <w:szCs w:val="22"/>
          <w:lang w:val="en-GB"/>
        </w:rPr>
        <w:t>Alhazzani</w:t>
      </w:r>
      <w:proofErr w:type="spellEnd"/>
      <w:r w:rsidRPr="00AC5E3A">
        <w:rPr>
          <w:rFonts w:asciiTheme="minorHAnsi" w:hAnsiTheme="minorHAnsi" w:cstheme="minorHAnsi"/>
          <w:sz w:val="22"/>
          <w:szCs w:val="22"/>
          <w:lang w:val="en-GB"/>
        </w:rPr>
        <w:t xml:space="preserve"> W, </w:t>
      </w:r>
      <w:proofErr w:type="spellStart"/>
      <w:r w:rsidRPr="00AC5E3A">
        <w:rPr>
          <w:rFonts w:asciiTheme="minorHAnsi" w:hAnsiTheme="minorHAnsi" w:cstheme="minorHAnsi"/>
          <w:sz w:val="22"/>
          <w:szCs w:val="22"/>
          <w:lang w:val="en-GB"/>
        </w:rPr>
        <w:t>Møller</w:t>
      </w:r>
      <w:proofErr w:type="spellEnd"/>
      <w:r w:rsidRPr="00AC5E3A">
        <w:rPr>
          <w:rFonts w:asciiTheme="minorHAnsi" w:hAnsiTheme="minorHAnsi" w:cstheme="minorHAnsi"/>
          <w:sz w:val="22"/>
          <w:szCs w:val="22"/>
          <w:lang w:val="en-GB"/>
        </w:rPr>
        <w:t xml:space="preserve"> MH, Arabi YM, Loeb M, Gong MN, Fan E, et al</w:t>
      </w:r>
      <w:r w:rsidR="005764F7" w:rsidRPr="00AC5E3A">
        <w:rPr>
          <w:rFonts w:asciiTheme="minorHAnsi" w:hAnsiTheme="minorHAnsi" w:cstheme="minorHAnsi"/>
          <w:sz w:val="22"/>
          <w:szCs w:val="22"/>
          <w:lang w:val="en-GB"/>
        </w:rPr>
        <w:t>. Surviving sepsis c</w:t>
      </w:r>
      <w:r w:rsidRPr="00AC5E3A">
        <w:rPr>
          <w:rFonts w:asciiTheme="minorHAnsi" w:hAnsiTheme="minorHAnsi" w:cstheme="minorHAnsi"/>
          <w:sz w:val="22"/>
          <w:szCs w:val="22"/>
          <w:lang w:val="en-GB"/>
        </w:rPr>
        <w:t>ampaign: guidelines on the management</w:t>
      </w:r>
      <w:r w:rsidR="005764F7" w:rsidRPr="00AC5E3A">
        <w:rPr>
          <w:rFonts w:asciiTheme="minorHAnsi" w:hAnsiTheme="minorHAnsi" w:cstheme="minorHAnsi"/>
          <w:sz w:val="22"/>
          <w:szCs w:val="22"/>
          <w:lang w:val="en-GB"/>
        </w:rPr>
        <w:t xml:space="preserve"> of critically ill adults with coronavirus d</w:t>
      </w:r>
      <w:r w:rsidRPr="00AC5E3A">
        <w:rPr>
          <w:rFonts w:asciiTheme="minorHAnsi" w:hAnsiTheme="minorHAnsi" w:cstheme="minorHAnsi"/>
          <w:sz w:val="22"/>
          <w:szCs w:val="22"/>
          <w:lang w:val="en-GB"/>
        </w:rPr>
        <w:t>isease 2019 (COVID-19). Intensiv</w:t>
      </w:r>
      <w:r w:rsidR="005764F7" w:rsidRPr="00AC5E3A">
        <w:rPr>
          <w:rFonts w:asciiTheme="minorHAnsi" w:hAnsiTheme="minorHAnsi" w:cstheme="minorHAnsi"/>
          <w:sz w:val="22"/>
          <w:szCs w:val="22"/>
          <w:lang w:val="en-GB"/>
        </w:rPr>
        <w:t>e Care Med. 2020 May;46(5):854-</w:t>
      </w:r>
      <w:r w:rsidRPr="00AC5E3A">
        <w:rPr>
          <w:rFonts w:asciiTheme="minorHAnsi" w:hAnsiTheme="minorHAnsi" w:cstheme="minorHAnsi"/>
          <w:sz w:val="22"/>
          <w:szCs w:val="22"/>
          <w:lang w:val="en-GB"/>
        </w:rPr>
        <w:t xml:space="preserve">87. </w:t>
      </w:r>
    </w:p>
    <w:p w14:paraId="4D05271A" w14:textId="77777777" w:rsidR="007F5CE1" w:rsidRPr="00AC5E3A" w:rsidRDefault="005764F7" w:rsidP="007F5CE1">
      <w:pPr>
        <w:pStyle w:val="Paragrafoelenco"/>
        <w:numPr>
          <w:ilvl w:val="0"/>
          <w:numId w:val="6"/>
        </w:numPr>
        <w:spacing w:line="360" w:lineRule="auto"/>
        <w:jc w:val="both"/>
        <w:rPr>
          <w:rStyle w:val="tlid-translation"/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C5E3A">
        <w:rPr>
          <w:rFonts w:asciiTheme="minorHAnsi" w:hAnsiTheme="minorHAnsi" w:cstheme="minorHAnsi"/>
          <w:sz w:val="22"/>
          <w:szCs w:val="22"/>
          <w:lang w:val="en-GB"/>
        </w:rPr>
        <w:t>Center</w:t>
      </w:r>
      <w:proofErr w:type="spellEnd"/>
      <w:r w:rsidRPr="00AC5E3A">
        <w:rPr>
          <w:rFonts w:asciiTheme="minorHAnsi" w:hAnsiTheme="minorHAnsi" w:cstheme="minorHAnsi"/>
          <w:sz w:val="22"/>
          <w:szCs w:val="22"/>
          <w:lang w:val="en-GB"/>
        </w:rPr>
        <w:t xml:space="preserve"> for Disease Control and Prevention</w:t>
      </w:r>
      <w:r w:rsidR="007F5CE1" w:rsidRPr="00AC5E3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AC5E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F5CE1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Interim infection prevention and control recommendations for patients with suspected or confirmed coronavirus disease 2019 (COVID-19) in healthcare settings. </w:t>
      </w:r>
      <w:r w:rsidR="004A7557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Available from</w:t>
      </w:r>
      <w:r w:rsidR="007F5CE1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:</w:t>
      </w:r>
      <w:r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7F5CE1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https://www.cdc.gov/coronavirus/2019-ncov/infection-control/control-recommendations.html</w:t>
      </w:r>
      <w:r w:rsidR="004A7557" w:rsidRPr="00FF2BE4"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59B9F7D8" w14:textId="77777777" w:rsidR="007F5CE1" w:rsidRPr="00AC5E3A" w:rsidRDefault="007F5CE1" w:rsidP="007F5CE1">
      <w:pPr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</w:p>
    <w:p w14:paraId="4E660CC8" w14:textId="77777777" w:rsidR="007F5CE1" w:rsidRPr="00AC5E3A" w:rsidRDefault="007F5CE1" w:rsidP="007F5CE1">
      <w:pPr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</w:p>
    <w:p w14:paraId="3C054367" w14:textId="77777777" w:rsidR="007F5CE1" w:rsidRPr="00FF2BE4" w:rsidRDefault="007F5CE1" w:rsidP="007F5CE1">
      <w:pPr>
        <w:spacing w:line="360" w:lineRule="auto"/>
        <w:jc w:val="both"/>
        <w:rPr>
          <w:rStyle w:val="tlid-translation"/>
          <w:rFonts w:asciiTheme="minorHAnsi" w:hAnsiTheme="minorHAnsi" w:cstheme="minorHAnsi"/>
          <w:iCs/>
          <w:sz w:val="22"/>
          <w:szCs w:val="22"/>
          <w:lang w:val="en-GB"/>
        </w:rPr>
      </w:pPr>
    </w:p>
    <w:p w14:paraId="30F78BBA" w14:textId="77777777" w:rsidR="00DF7CFA" w:rsidRPr="00AC5E3A" w:rsidRDefault="00DF7CFA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DF7CFA" w:rsidRPr="00AC5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F8D"/>
    <w:multiLevelType w:val="hybridMultilevel"/>
    <w:tmpl w:val="FFD4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2741"/>
    <w:multiLevelType w:val="hybridMultilevel"/>
    <w:tmpl w:val="3600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942"/>
    <w:multiLevelType w:val="hybridMultilevel"/>
    <w:tmpl w:val="F064ED76"/>
    <w:lvl w:ilvl="0" w:tplc="662E85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66"/>
    <w:multiLevelType w:val="hybridMultilevel"/>
    <w:tmpl w:val="99FA8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9AA"/>
    <w:multiLevelType w:val="hybridMultilevel"/>
    <w:tmpl w:val="B4C8C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AFF16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70B"/>
    <w:multiLevelType w:val="hybridMultilevel"/>
    <w:tmpl w:val="89B2DC2E"/>
    <w:lvl w:ilvl="0" w:tplc="41DC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38D06C">
      <w:numFmt w:val="bullet"/>
      <w:lvlText w:val="-"/>
      <w:lvlJc w:val="left"/>
      <w:pPr>
        <w:ind w:left="121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1BE"/>
    <w:multiLevelType w:val="hybridMultilevel"/>
    <w:tmpl w:val="A4807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E1"/>
    <w:rsid w:val="00084C4E"/>
    <w:rsid w:val="000F27FC"/>
    <w:rsid w:val="0023037D"/>
    <w:rsid w:val="002D2DEE"/>
    <w:rsid w:val="003921B9"/>
    <w:rsid w:val="004A7557"/>
    <w:rsid w:val="005764F7"/>
    <w:rsid w:val="00643328"/>
    <w:rsid w:val="006E00F0"/>
    <w:rsid w:val="006E2013"/>
    <w:rsid w:val="007F5CE1"/>
    <w:rsid w:val="00985A94"/>
    <w:rsid w:val="0098729F"/>
    <w:rsid w:val="00AB05FD"/>
    <w:rsid w:val="00AC5E3A"/>
    <w:rsid w:val="00BA0E2D"/>
    <w:rsid w:val="00BB1B6F"/>
    <w:rsid w:val="00BF2924"/>
    <w:rsid w:val="00C34B89"/>
    <w:rsid w:val="00CE4547"/>
    <w:rsid w:val="00DF7CFA"/>
    <w:rsid w:val="00EF634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C4A6"/>
  <w15:chartTrackingRefBased/>
  <w15:docId w15:val="{B713C570-527C-498F-AD38-A5064D0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F5CE1"/>
    <w:rPr>
      <w:color w:val="0000FF"/>
      <w:u w:val="single"/>
    </w:rPr>
  </w:style>
  <w:style w:type="character" w:customStyle="1" w:styleId="tlid-translation">
    <w:name w:val="tlid-translation"/>
    <w:rsid w:val="007F5CE1"/>
  </w:style>
  <w:style w:type="paragraph" w:styleId="Paragrafoelenco">
    <w:name w:val="List Paragraph"/>
    <w:basedOn w:val="Normale"/>
    <w:qFormat/>
    <w:rsid w:val="005764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764F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3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3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who.int/iris/handle/10665/331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Micheletti</dc:creator>
  <cp:keywords/>
  <dc:description/>
  <cp:lastModifiedBy>tdr srl</cp:lastModifiedBy>
  <cp:revision>15</cp:revision>
  <dcterms:created xsi:type="dcterms:W3CDTF">2021-02-03T11:14:00Z</dcterms:created>
  <dcterms:modified xsi:type="dcterms:W3CDTF">2021-03-02T13:43:00Z</dcterms:modified>
</cp:coreProperties>
</file>