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1D" w:rsidRDefault="00D2201D" w:rsidP="00CF119B">
      <w:pPr>
        <w:pStyle w:val="Beschriftung"/>
      </w:pPr>
      <w:bookmarkStart w:id="0" w:name="_Ref459809192"/>
      <w:bookmarkStart w:id="1" w:name="_Ref459103051"/>
      <w:bookmarkStart w:id="2" w:name="_Toc481411772"/>
      <w:bookmarkStart w:id="3" w:name="_Toc481489323"/>
      <w:bookmarkStart w:id="4" w:name="_Toc495919488"/>
    </w:p>
    <w:p w:rsidR="00CF119B" w:rsidRPr="00542A05" w:rsidRDefault="00CF119B" w:rsidP="00CF119B">
      <w:pPr>
        <w:pStyle w:val="Beschriftung"/>
        <w:rPr>
          <w:noProof/>
        </w:rPr>
      </w:pPr>
      <w:r w:rsidRPr="00542A05">
        <w:t>Table S</w:t>
      </w:r>
      <w:r w:rsidR="005F64B5">
        <w:t>5</w:t>
      </w:r>
      <w:bookmarkStart w:id="5" w:name="_GoBack"/>
      <w:bookmarkEnd w:id="5"/>
      <w:r w:rsidRPr="00542A05">
        <w:t xml:space="preserve">: </w:t>
      </w:r>
      <w:r w:rsidRPr="00542A05">
        <w:rPr>
          <w:b w:val="0"/>
          <w:noProof/>
        </w:rPr>
        <w:t>Weighting of the independent prognostic parameters in the new model</w:t>
      </w:r>
      <w:bookmarkEnd w:id="0"/>
      <w:bookmarkEnd w:id="1"/>
      <w:bookmarkEnd w:id="2"/>
      <w:bookmarkEnd w:id="3"/>
      <w:bookmarkEnd w:id="4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1"/>
        <w:gridCol w:w="1443"/>
        <w:gridCol w:w="1392"/>
        <w:gridCol w:w="1719"/>
        <w:gridCol w:w="1696"/>
      </w:tblGrid>
      <w:tr w:rsidR="00CF119B" w:rsidRPr="00EC7A45" w:rsidTr="00CB0FC7">
        <w:tc>
          <w:tcPr>
            <w:tcW w:w="2351" w:type="dxa"/>
            <w:shd w:val="clear" w:color="auto" w:fill="E7E6E6" w:themeFill="background2"/>
          </w:tcPr>
          <w:p w:rsidR="00CF119B" w:rsidRPr="00CB0FC7" w:rsidRDefault="00CF119B" w:rsidP="0019763A">
            <w:pPr>
              <w:spacing w:line="48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443" w:type="dxa"/>
            <w:shd w:val="clear" w:color="auto" w:fill="E7E6E6" w:themeFill="background2"/>
          </w:tcPr>
          <w:p w:rsidR="00CF119B" w:rsidRPr="00CB0FC7" w:rsidRDefault="00CF119B" w:rsidP="0019763A">
            <w:pPr>
              <w:spacing w:line="48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CB0FC7">
              <w:rPr>
                <w:rFonts w:ascii="Arial" w:hAnsi="Arial" w:cs="Arial"/>
                <w:b/>
                <w:bCs/>
                <w:lang w:val="en-GB"/>
              </w:rPr>
              <w:t>coefficient</w:t>
            </w:r>
          </w:p>
        </w:tc>
        <w:tc>
          <w:tcPr>
            <w:tcW w:w="1392" w:type="dxa"/>
            <w:shd w:val="clear" w:color="auto" w:fill="E7E6E6" w:themeFill="background2"/>
          </w:tcPr>
          <w:p w:rsidR="00CF119B" w:rsidRPr="00CB0FC7" w:rsidRDefault="00CF119B" w:rsidP="0019763A">
            <w:pPr>
              <w:spacing w:line="48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CB0FC7">
              <w:rPr>
                <w:rFonts w:ascii="Arial" w:hAnsi="Arial" w:cs="Arial"/>
                <w:b/>
                <w:bCs/>
                <w:lang w:val="en-GB"/>
              </w:rPr>
              <w:t>p-value</w:t>
            </w:r>
          </w:p>
        </w:tc>
        <w:tc>
          <w:tcPr>
            <w:tcW w:w="1719" w:type="dxa"/>
            <w:shd w:val="clear" w:color="auto" w:fill="E7E6E6" w:themeFill="background2"/>
          </w:tcPr>
          <w:p w:rsidR="00CF119B" w:rsidRPr="00CB0FC7" w:rsidRDefault="00CF119B" w:rsidP="0019763A">
            <w:pPr>
              <w:spacing w:line="48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CB0FC7">
              <w:rPr>
                <w:rFonts w:ascii="Arial" w:hAnsi="Arial" w:cs="Arial"/>
                <w:b/>
                <w:bCs/>
                <w:lang w:val="en-GB"/>
              </w:rPr>
              <w:t>HR</w:t>
            </w:r>
          </w:p>
        </w:tc>
        <w:tc>
          <w:tcPr>
            <w:tcW w:w="1696" w:type="dxa"/>
            <w:shd w:val="clear" w:color="auto" w:fill="E7E6E6" w:themeFill="background2"/>
          </w:tcPr>
          <w:p w:rsidR="00CF119B" w:rsidRPr="00CB0FC7" w:rsidRDefault="00CF119B" w:rsidP="0019763A">
            <w:pPr>
              <w:spacing w:line="48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CB0FC7">
              <w:rPr>
                <w:rFonts w:ascii="Arial" w:hAnsi="Arial" w:cs="Arial"/>
                <w:b/>
                <w:bCs/>
                <w:lang w:val="en-GB"/>
              </w:rPr>
              <w:t>HR 95%CI</w:t>
            </w:r>
          </w:p>
        </w:tc>
      </w:tr>
      <w:tr w:rsidR="00CF119B" w:rsidRPr="00EC7A45" w:rsidTr="00CB0FC7">
        <w:tc>
          <w:tcPr>
            <w:tcW w:w="2351" w:type="dxa"/>
          </w:tcPr>
          <w:p w:rsidR="00CF119B" w:rsidRPr="00CB0FC7" w:rsidRDefault="00CF119B" w:rsidP="0019763A">
            <w:pPr>
              <w:spacing w:line="48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CB0FC7">
              <w:rPr>
                <w:rFonts w:ascii="Arial" w:hAnsi="Arial" w:cs="Arial"/>
                <w:b/>
                <w:bCs/>
                <w:lang w:val="en-GB"/>
              </w:rPr>
              <w:t>AFP ≥400ng/ml</w:t>
            </w:r>
          </w:p>
        </w:tc>
        <w:tc>
          <w:tcPr>
            <w:tcW w:w="1443" w:type="dxa"/>
          </w:tcPr>
          <w:p w:rsidR="00CF119B" w:rsidRPr="00EC7A45" w:rsidRDefault="00CF119B" w:rsidP="0019763A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EC7A45">
              <w:rPr>
                <w:rFonts w:ascii="Arial" w:hAnsi="Arial" w:cs="Arial"/>
                <w:lang w:val="en-GB"/>
              </w:rPr>
              <w:t>0.867</w:t>
            </w:r>
          </w:p>
        </w:tc>
        <w:tc>
          <w:tcPr>
            <w:tcW w:w="1392" w:type="dxa"/>
          </w:tcPr>
          <w:p w:rsidR="00CF119B" w:rsidRPr="00EC7A45" w:rsidRDefault="00CF119B" w:rsidP="0019763A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EC7A45">
              <w:rPr>
                <w:rFonts w:ascii="Arial" w:hAnsi="Arial" w:cs="Arial"/>
                <w:lang w:val="en-GB"/>
              </w:rPr>
              <w:t>0.0045</w:t>
            </w:r>
          </w:p>
        </w:tc>
        <w:tc>
          <w:tcPr>
            <w:tcW w:w="1719" w:type="dxa"/>
          </w:tcPr>
          <w:p w:rsidR="00CF119B" w:rsidRPr="00EC7A45" w:rsidRDefault="00CF119B" w:rsidP="0019763A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EC7A45">
              <w:rPr>
                <w:rFonts w:ascii="Arial" w:hAnsi="Arial" w:cs="Arial"/>
                <w:lang w:val="en-GB"/>
              </w:rPr>
              <w:t>2.380</w:t>
            </w:r>
          </w:p>
        </w:tc>
        <w:tc>
          <w:tcPr>
            <w:tcW w:w="1696" w:type="dxa"/>
          </w:tcPr>
          <w:p w:rsidR="00CF119B" w:rsidRPr="00EC7A45" w:rsidRDefault="00CF119B" w:rsidP="0019763A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EC7A45">
              <w:rPr>
                <w:rFonts w:ascii="Arial" w:hAnsi="Arial" w:cs="Arial"/>
                <w:lang w:val="en-GB"/>
              </w:rPr>
              <w:t>1.306-4.339</w:t>
            </w:r>
          </w:p>
        </w:tc>
      </w:tr>
      <w:tr w:rsidR="00CF119B" w:rsidRPr="00EC7A45" w:rsidTr="00CB0FC7">
        <w:trPr>
          <w:trHeight w:val="309"/>
        </w:trPr>
        <w:tc>
          <w:tcPr>
            <w:tcW w:w="2351" w:type="dxa"/>
          </w:tcPr>
          <w:p w:rsidR="00CF119B" w:rsidRPr="00CB0FC7" w:rsidRDefault="00CF119B" w:rsidP="0019763A">
            <w:pPr>
              <w:spacing w:line="48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CB0FC7">
              <w:rPr>
                <w:rFonts w:ascii="Arial" w:hAnsi="Arial" w:cs="Arial"/>
                <w:b/>
                <w:bCs/>
                <w:lang w:val="en-GB"/>
              </w:rPr>
              <w:t>Albumin &lt;3.6g/dl</w:t>
            </w:r>
          </w:p>
        </w:tc>
        <w:tc>
          <w:tcPr>
            <w:tcW w:w="1443" w:type="dxa"/>
          </w:tcPr>
          <w:p w:rsidR="00CF119B" w:rsidRPr="00EC7A45" w:rsidRDefault="00CF119B" w:rsidP="0019763A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EC7A45">
              <w:rPr>
                <w:rFonts w:ascii="Arial" w:hAnsi="Arial" w:cs="Arial"/>
                <w:lang w:val="en-GB"/>
              </w:rPr>
              <w:t>1.769</w:t>
            </w:r>
          </w:p>
        </w:tc>
        <w:tc>
          <w:tcPr>
            <w:tcW w:w="1392" w:type="dxa"/>
          </w:tcPr>
          <w:p w:rsidR="00CF119B" w:rsidRPr="00EC7A45" w:rsidRDefault="00CF119B" w:rsidP="0019763A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EC7A45">
              <w:rPr>
                <w:rFonts w:ascii="Arial" w:hAnsi="Arial" w:cs="Arial"/>
                <w:lang w:val="en-GB"/>
              </w:rPr>
              <w:t>&lt;0.0001</w:t>
            </w:r>
          </w:p>
        </w:tc>
        <w:tc>
          <w:tcPr>
            <w:tcW w:w="1719" w:type="dxa"/>
          </w:tcPr>
          <w:p w:rsidR="00CF119B" w:rsidRPr="00EC7A45" w:rsidRDefault="00CF119B" w:rsidP="0019763A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EC7A45">
              <w:rPr>
                <w:rFonts w:ascii="Arial" w:hAnsi="Arial" w:cs="Arial"/>
                <w:lang w:val="en-GB"/>
              </w:rPr>
              <w:t>5.866</w:t>
            </w:r>
          </w:p>
        </w:tc>
        <w:tc>
          <w:tcPr>
            <w:tcW w:w="1696" w:type="dxa"/>
          </w:tcPr>
          <w:p w:rsidR="00CF119B" w:rsidRPr="00EC7A45" w:rsidRDefault="00CF119B" w:rsidP="0019763A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EC7A45">
              <w:rPr>
                <w:rFonts w:ascii="Arial" w:hAnsi="Arial" w:cs="Arial"/>
                <w:lang w:val="en-GB"/>
              </w:rPr>
              <w:t>2.733-12.591</w:t>
            </w:r>
          </w:p>
        </w:tc>
      </w:tr>
      <w:tr w:rsidR="00CF119B" w:rsidRPr="00EC7A45" w:rsidTr="00CB0FC7">
        <w:tc>
          <w:tcPr>
            <w:tcW w:w="2351" w:type="dxa"/>
          </w:tcPr>
          <w:p w:rsidR="00CF119B" w:rsidRPr="00CB0FC7" w:rsidRDefault="00CF119B" w:rsidP="0019763A">
            <w:pPr>
              <w:spacing w:line="48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CB0FC7">
              <w:rPr>
                <w:rFonts w:ascii="Arial" w:hAnsi="Arial" w:cs="Arial"/>
                <w:b/>
                <w:bCs/>
                <w:lang w:val="en-GB"/>
              </w:rPr>
              <w:t>AP ≥116U/l</w:t>
            </w:r>
          </w:p>
        </w:tc>
        <w:tc>
          <w:tcPr>
            <w:tcW w:w="1443" w:type="dxa"/>
          </w:tcPr>
          <w:p w:rsidR="00CF119B" w:rsidRPr="00EC7A45" w:rsidRDefault="00CF119B" w:rsidP="0019763A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EC7A45">
              <w:rPr>
                <w:rFonts w:ascii="Arial" w:hAnsi="Arial" w:cs="Arial"/>
                <w:lang w:val="en-GB"/>
              </w:rPr>
              <w:t>2.125</w:t>
            </w:r>
          </w:p>
        </w:tc>
        <w:tc>
          <w:tcPr>
            <w:tcW w:w="1392" w:type="dxa"/>
          </w:tcPr>
          <w:p w:rsidR="00CF119B" w:rsidRPr="00EC7A45" w:rsidRDefault="00CF119B" w:rsidP="0019763A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EC7A45">
              <w:rPr>
                <w:rFonts w:ascii="Arial" w:hAnsi="Arial" w:cs="Arial"/>
                <w:lang w:val="en-GB"/>
              </w:rPr>
              <w:t>&lt;0.0001</w:t>
            </w:r>
          </w:p>
        </w:tc>
        <w:tc>
          <w:tcPr>
            <w:tcW w:w="1719" w:type="dxa"/>
          </w:tcPr>
          <w:p w:rsidR="00CF119B" w:rsidRPr="00EC7A45" w:rsidRDefault="00CF119B" w:rsidP="0019763A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EC7A45">
              <w:rPr>
                <w:rFonts w:ascii="Arial" w:hAnsi="Arial" w:cs="Arial"/>
                <w:lang w:val="en-GB"/>
              </w:rPr>
              <w:t>8.377</w:t>
            </w:r>
          </w:p>
        </w:tc>
        <w:tc>
          <w:tcPr>
            <w:tcW w:w="1696" w:type="dxa"/>
          </w:tcPr>
          <w:p w:rsidR="00CF119B" w:rsidRPr="00EC7A45" w:rsidRDefault="00CF119B" w:rsidP="0019763A">
            <w:pPr>
              <w:keepNext/>
              <w:spacing w:line="480" w:lineRule="auto"/>
              <w:rPr>
                <w:rFonts w:ascii="Arial" w:hAnsi="Arial" w:cs="Arial"/>
                <w:lang w:val="en-GB"/>
              </w:rPr>
            </w:pPr>
            <w:r w:rsidRPr="00EC7A45">
              <w:rPr>
                <w:rFonts w:ascii="Arial" w:hAnsi="Arial" w:cs="Arial"/>
                <w:lang w:val="en-GB"/>
              </w:rPr>
              <w:t>3.212-21.846</w:t>
            </w:r>
          </w:p>
        </w:tc>
      </w:tr>
    </w:tbl>
    <w:p w:rsidR="007E701A" w:rsidRDefault="007E701A"/>
    <w:sectPr w:rsidR="007E701A" w:rsidSect="0098299E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F9B" w:rsidRDefault="00D80F9B" w:rsidP="00D2201D">
      <w:r>
        <w:separator/>
      </w:r>
    </w:p>
  </w:endnote>
  <w:endnote w:type="continuationSeparator" w:id="0">
    <w:p w:rsidR="00D80F9B" w:rsidRDefault="00D80F9B" w:rsidP="00D2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F9B" w:rsidRDefault="00D80F9B" w:rsidP="00D2201D">
      <w:r>
        <w:separator/>
      </w:r>
    </w:p>
  </w:footnote>
  <w:footnote w:type="continuationSeparator" w:id="0">
    <w:p w:rsidR="00D80F9B" w:rsidRDefault="00D80F9B" w:rsidP="00D22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01D" w:rsidRPr="008C1FCF" w:rsidRDefault="00D2201D" w:rsidP="00D2201D">
    <w:pPr>
      <w:pStyle w:val="Kopfzeile"/>
      <w:jc w:val="right"/>
      <w:rPr>
        <w:color w:val="A6A6A6" w:themeColor="background1" w:themeShade="A6"/>
        <w:lang w:val="en-US"/>
      </w:rPr>
    </w:pPr>
    <w:r w:rsidRPr="008C1FCF">
      <w:rPr>
        <w:b/>
        <w:color w:val="A6A6A6" w:themeColor="background1" w:themeShade="A6"/>
        <w:lang w:val="en-US"/>
      </w:rPr>
      <w:t>Development of the Munich-SIRT score</w:t>
    </w:r>
    <w:r w:rsidRPr="008C1FCF">
      <w:rPr>
        <w:color w:val="A6A6A6" w:themeColor="background1" w:themeShade="A6"/>
        <w:lang w:val="en-US"/>
      </w:rPr>
      <w:t xml:space="preserve"> - op den Winkel et al. </w:t>
    </w:r>
  </w:p>
  <w:p w:rsidR="00D2201D" w:rsidRPr="00D2201D" w:rsidRDefault="00D2201D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9B"/>
    <w:rsid w:val="005F64B5"/>
    <w:rsid w:val="007E701A"/>
    <w:rsid w:val="008C1FCF"/>
    <w:rsid w:val="0098299E"/>
    <w:rsid w:val="00A92EF5"/>
    <w:rsid w:val="00CB0FC7"/>
    <w:rsid w:val="00CF119B"/>
    <w:rsid w:val="00D2201D"/>
    <w:rsid w:val="00D631FF"/>
    <w:rsid w:val="00D8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F1AF"/>
  <w15:chartTrackingRefBased/>
  <w15:docId w15:val="{92AED525-490F-4F45-9B35-B15F0527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119B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aliases w:val="Tabellen_Beschriftung_Diss"/>
    <w:basedOn w:val="Standard"/>
    <w:next w:val="Standard"/>
    <w:autoRedefine/>
    <w:qFormat/>
    <w:rsid w:val="00CF119B"/>
    <w:pPr>
      <w:keepLines/>
      <w:spacing w:before="120" w:after="120"/>
    </w:pPr>
    <w:rPr>
      <w:rFonts w:ascii="Arial" w:eastAsiaTheme="minorEastAsia" w:hAnsi="Arial"/>
      <w:b/>
      <w:color w:val="000000" w:themeColor="text1"/>
      <w:lang w:val="en-GB"/>
    </w:rPr>
  </w:style>
  <w:style w:type="table" w:styleId="Listentabelle6farbig">
    <w:name w:val="List Table 6 Colorful"/>
    <w:basedOn w:val="NormaleTabelle"/>
    <w:uiPriority w:val="51"/>
    <w:rsid w:val="00CF119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D220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201D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220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201D"/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CB0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221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op den Winkel</dc:creator>
  <cp:keywords/>
  <dc:description/>
  <cp:lastModifiedBy>op den Winkel, Mark Dr. med.</cp:lastModifiedBy>
  <cp:revision>5</cp:revision>
  <dcterms:created xsi:type="dcterms:W3CDTF">2020-01-04T22:27:00Z</dcterms:created>
  <dcterms:modified xsi:type="dcterms:W3CDTF">2021-04-30T18:03:00Z</dcterms:modified>
</cp:coreProperties>
</file>