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BCD92" w14:textId="77777777" w:rsidR="009F483A" w:rsidRDefault="009F483A" w:rsidP="008A1F6B">
      <w:pPr>
        <w:rPr>
          <w:rFonts w:ascii="Calibri" w:eastAsia="Times New Roman" w:hAnsi="Calibri" w:cs="Times New Roman"/>
          <w:b/>
          <w:bCs/>
          <w:color w:val="000000"/>
        </w:rPr>
      </w:pPr>
    </w:p>
    <w:p w14:paraId="34EC0D27" w14:textId="23DC76FB" w:rsidR="00CD214E" w:rsidRDefault="009F483A" w:rsidP="008A1F6B">
      <w:pPr>
        <w:rPr>
          <w:rFonts w:ascii="Calibri" w:eastAsia="Times New Roman" w:hAnsi="Calibri" w:cs="Times New Roman"/>
          <w:b/>
          <w:bCs/>
          <w:color w:val="000000"/>
          <w:lang w:val="en-US"/>
        </w:rPr>
      </w:pPr>
      <w:r w:rsidRPr="009F483A">
        <w:rPr>
          <w:rFonts w:ascii="Calibri" w:eastAsia="Times New Roman" w:hAnsi="Calibri" w:cs="Times New Roman"/>
          <w:b/>
          <w:bCs/>
          <w:color w:val="000000"/>
        </w:rPr>
        <w:t xml:space="preserve">Supplementary </w:t>
      </w:r>
      <w:r w:rsidR="0023722B">
        <w:rPr>
          <w:rFonts w:ascii="Calibri" w:eastAsia="Times New Roman" w:hAnsi="Calibri" w:cs="Times New Roman"/>
          <w:b/>
          <w:bCs/>
          <w:color w:val="000000"/>
          <w:lang w:val="en-US"/>
        </w:rPr>
        <w:t>Data</w:t>
      </w:r>
    </w:p>
    <w:p w14:paraId="3CE560E4" w14:textId="77777777" w:rsidR="00CD214E" w:rsidRDefault="00CD214E" w:rsidP="008A1F6B">
      <w:pPr>
        <w:rPr>
          <w:rFonts w:ascii="Calibri" w:eastAsia="Times New Roman" w:hAnsi="Calibri" w:cs="Times New Roman"/>
          <w:b/>
          <w:bCs/>
          <w:color w:val="000000"/>
          <w:lang w:val="en-US"/>
        </w:rPr>
      </w:pPr>
    </w:p>
    <w:p w14:paraId="41A15798" w14:textId="5912D512" w:rsidR="009F483A" w:rsidRPr="009F483A" w:rsidRDefault="0023722B" w:rsidP="008A1F6B">
      <w:pPr>
        <w:rPr>
          <w:rFonts w:ascii="Calibri" w:eastAsia="Times New Roman" w:hAnsi="Calibri" w:cs="Times New Roman"/>
          <w:color w:val="000000"/>
        </w:rPr>
      </w:pPr>
      <w:r>
        <w:rPr>
          <w:rFonts w:ascii="Calibri" w:eastAsia="Times New Roman" w:hAnsi="Calibri" w:cs="Times New Roman"/>
          <w:b/>
          <w:bCs/>
          <w:color w:val="000000"/>
          <w:lang w:val="en-US"/>
        </w:rPr>
        <w:t xml:space="preserve">Supplementary </w:t>
      </w:r>
      <w:r w:rsidR="009F483A" w:rsidRPr="009F483A">
        <w:rPr>
          <w:rFonts w:ascii="Calibri" w:eastAsia="Times New Roman" w:hAnsi="Calibri" w:cs="Times New Roman"/>
          <w:b/>
          <w:bCs/>
          <w:color w:val="000000"/>
        </w:rPr>
        <w:t>Table</w:t>
      </w:r>
      <w:r w:rsidR="00CD214E">
        <w:rPr>
          <w:rFonts w:ascii="Calibri" w:eastAsia="Times New Roman" w:hAnsi="Calibri" w:cs="Times New Roman"/>
          <w:b/>
          <w:bCs/>
          <w:color w:val="000000"/>
          <w:lang w:val="en-US"/>
        </w:rPr>
        <w:t xml:space="preserve"> 1</w:t>
      </w:r>
      <w:r w:rsidR="009F483A" w:rsidRPr="009F483A">
        <w:rPr>
          <w:rFonts w:ascii="Calibri" w:eastAsia="Times New Roman" w:hAnsi="Calibri" w:cs="Times New Roman"/>
          <w:color w:val="000000"/>
        </w:rPr>
        <w:t>. Gene and phenotype MIM numbers, Gen</w:t>
      </w:r>
      <w:r w:rsidR="00751F70">
        <w:rPr>
          <w:rFonts w:ascii="Calibri" w:eastAsia="Times New Roman" w:hAnsi="Calibri" w:cs="Times New Roman"/>
          <w:color w:val="000000"/>
          <w:lang w:val="en-US"/>
        </w:rPr>
        <w:t>B</w:t>
      </w:r>
      <w:r w:rsidR="009F483A" w:rsidRPr="009F483A">
        <w:rPr>
          <w:rFonts w:ascii="Calibri" w:eastAsia="Times New Roman" w:hAnsi="Calibri" w:cs="Times New Roman"/>
          <w:color w:val="000000"/>
        </w:rPr>
        <w:t>ank transcripts ID, and cytogenetic location of the analyzed genes</w:t>
      </w:r>
    </w:p>
    <w:p w14:paraId="4F2A39EE" w14:textId="21FD2D04" w:rsidR="009F483A" w:rsidRDefault="009F483A"/>
    <w:p w14:paraId="08B4A5DC" w14:textId="77777777" w:rsidR="009F483A" w:rsidRDefault="009F483A"/>
    <w:tbl>
      <w:tblPr>
        <w:tblW w:w="11180" w:type="dxa"/>
        <w:tblLook w:val="04A0" w:firstRow="1" w:lastRow="0" w:firstColumn="1" w:lastColumn="0" w:noHBand="0" w:noVBand="1"/>
      </w:tblPr>
      <w:tblGrid>
        <w:gridCol w:w="1100"/>
        <w:gridCol w:w="2260"/>
        <w:gridCol w:w="2320"/>
        <w:gridCol w:w="2380"/>
        <w:gridCol w:w="3120"/>
      </w:tblGrid>
      <w:tr w:rsidR="009F483A" w:rsidRPr="009F483A" w14:paraId="1D2E1753" w14:textId="77777777" w:rsidTr="009F483A">
        <w:trPr>
          <w:trHeight w:val="340"/>
        </w:trPr>
        <w:tc>
          <w:tcPr>
            <w:tcW w:w="1100" w:type="dxa"/>
            <w:tcBorders>
              <w:top w:val="single" w:sz="4" w:space="0" w:color="auto"/>
              <w:left w:val="nil"/>
              <w:bottom w:val="single" w:sz="4" w:space="0" w:color="auto"/>
              <w:right w:val="nil"/>
            </w:tcBorders>
            <w:shd w:val="clear" w:color="000000" w:fill="FFFFFF"/>
            <w:vAlign w:val="center"/>
            <w:hideMark/>
          </w:tcPr>
          <w:p w14:paraId="4BCB3729" w14:textId="77777777" w:rsidR="009F483A" w:rsidRPr="009F483A" w:rsidRDefault="009F483A" w:rsidP="009F483A">
            <w:pPr>
              <w:ind w:firstLineChars="100" w:firstLine="240"/>
              <w:jc w:val="center"/>
              <w:rPr>
                <w:rFonts w:ascii="Calibri" w:eastAsia="Times New Roman" w:hAnsi="Calibri" w:cs="Times New Roman"/>
                <w:color w:val="263238"/>
              </w:rPr>
            </w:pPr>
            <w:r w:rsidRPr="009F483A">
              <w:rPr>
                <w:rFonts w:ascii="Calibri" w:eastAsia="Times New Roman" w:hAnsi="Calibri" w:cs="Times New Roman"/>
                <w:color w:val="263238"/>
              </w:rPr>
              <w:t>Gene</w:t>
            </w:r>
          </w:p>
        </w:tc>
        <w:tc>
          <w:tcPr>
            <w:tcW w:w="2260" w:type="dxa"/>
            <w:tcBorders>
              <w:top w:val="single" w:sz="4" w:space="0" w:color="auto"/>
              <w:left w:val="nil"/>
              <w:bottom w:val="single" w:sz="4" w:space="0" w:color="auto"/>
              <w:right w:val="nil"/>
            </w:tcBorders>
            <w:shd w:val="clear" w:color="000000" w:fill="FFFFFF"/>
            <w:vAlign w:val="center"/>
            <w:hideMark/>
          </w:tcPr>
          <w:p w14:paraId="4E100E57" w14:textId="77777777" w:rsidR="009F483A" w:rsidRPr="009F483A" w:rsidRDefault="009F483A" w:rsidP="009F483A">
            <w:pPr>
              <w:ind w:firstLineChars="100" w:firstLine="240"/>
              <w:jc w:val="center"/>
              <w:rPr>
                <w:rFonts w:ascii="Calibri" w:eastAsia="Times New Roman" w:hAnsi="Calibri" w:cs="Times New Roman"/>
                <w:color w:val="263238"/>
              </w:rPr>
            </w:pPr>
            <w:r w:rsidRPr="009F483A">
              <w:rPr>
                <w:rFonts w:ascii="Calibri" w:eastAsia="Times New Roman" w:hAnsi="Calibri" w:cs="Times New Roman"/>
                <w:color w:val="263238"/>
              </w:rPr>
              <w:t>Gene MIM number</w:t>
            </w:r>
          </w:p>
        </w:tc>
        <w:tc>
          <w:tcPr>
            <w:tcW w:w="2320" w:type="dxa"/>
            <w:tcBorders>
              <w:top w:val="single" w:sz="4" w:space="0" w:color="auto"/>
              <w:left w:val="nil"/>
              <w:bottom w:val="single" w:sz="4" w:space="0" w:color="auto"/>
              <w:right w:val="nil"/>
            </w:tcBorders>
            <w:shd w:val="clear" w:color="000000" w:fill="FFFFFF"/>
            <w:vAlign w:val="center"/>
            <w:hideMark/>
          </w:tcPr>
          <w:p w14:paraId="5902EF67" w14:textId="48294717" w:rsidR="009F483A" w:rsidRPr="009F483A" w:rsidRDefault="009F483A" w:rsidP="009F483A">
            <w:pPr>
              <w:ind w:firstLineChars="100" w:firstLine="240"/>
              <w:jc w:val="center"/>
              <w:rPr>
                <w:rFonts w:ascii="Calibri" w:eastAsia="Times New Roman" w:hAnsi="Calibri" w:cs="Times New Roman"/>
                <w:color w:val="263238"/>
              </w:rPr>
            </w:pPr>
            <w:r w:rsidRPr="009F483A">
              <w:rPr>
                <w:rFonts w:ascii="Calibri" w:eastAsia="Times New Roman" w:hAnsi="Calibri" w:cs="Times New Roman"/>
                <w:color w:val="263238"/>
              </w:rPr>
              <w:t>Gen</w:t>
            </w:r>
            <w:r w:rsidR="0031311A">
              <w:rPr>
                <w:rFonts w:ascii="Calibri" w:eastAsia="Times New Roman" w:hAnsi="Calibri" w:cs="Times New Roman"/>
                <w:color w:val="263238"/>
                <w:lang w:val="en-US"/>
              </w:rPr>
              <w:t>B</w:t>
            </w:r>
            <w:r w:rsidRPr="009F483A">
              <w:rPr>
                <w:rFonts w:ascii="Calibri" w:eastAsia="Times New Roman" w:hAnsi="Calibri" w:cs="Times New Roman"/>
                <w:color w:val="263238"/>
              </w:rPr>
              <w:t>ank RefSeq</w:t>
            </w:r>
          </w:p>
        </w:tc>
        <w:tc>
          <w:tcPr>
            <w:tcW w:w="2380" w:type="dxa"/>
            <w:tcBorders>
              <w:top w:val="single" w:sz="4" w:space="0" w:color="auto"/>
              <w:left w:val="nil"/>
              <w:bottom w:val="single" w:sz="4" w:space="0" w:color="auto"/>
              <w:right w:val="nil"/>
            </w:tcBorders>
            <w:shd w:val="clear" w:color="000000" w:fill="FFFFFF"/>
            <w:vAlign w:val="center"/>
            <w:hideMark/>
          </w:tcPr>
          <w:p w14:paraId="60A72D6A" w14:textId="77777777" w:rsidR="009F483A" w:rsidRPr="009F483A" w:rsidRDefault="009F483A" w:rsidP="009F483A">
            <w:pPr>
              <w:ind w:firstLineChars="100" w:firstLine="240"/>
              <w:jc w:val="center"/>
              <w:rPr>
                <w:rFonts w:ascii="Calibri" w:eastAsia="Times New Roman" w:hAnsi="Calibri" w:cs="Times New Roman"/>
                <w:color w:val="263238"/>
              </w:rPr>
            </w:pPr>
            <w:r w:rsidRPr="009F483A">
              <w:rPr>
                <w:rFonts w:ascii="Calibri" w:eastAsia="Times New Roman" w:hAnsi="Calibri" w:cs="Times New Roman"/>
                <w:color w:val="263238"/>
              </w:rPr>
              <w:t>Cytogenetic location</w:t>
            </w:r>
          </w:p>
        </w:tc>
        <w:tc>
          <w:tcPr>
            <w:tcW w:w="3120" w:type="dxa"/>
            <w:tcBorders>
              <w:top w:val="single" w:sz="4" w:space="0" w:color="auto"/>
              <w:left w:val="nil"/>
              <w:bottom w:val="single" w:sz="4" w:space="0" w:color="auto"/>
              <w:right w:val="nil"/>
            </w:tcBorders>
            <w:shd w:val="clear" w:color="000000" w:fill="FFFFFF"/>
            <w:vAlign w:val="center"/>
            <w:hideMark/>
          </w:tcPr>
          <w:p w14:paraId="08862409" w14:textId="77777777" w:rsidR="009F483A" w:rsidRPr="009F483A" w:rsidRDefault="009F483A" w:rsidP="009F483A">
            <w:pPr>
              <w:ind w:firstLineChars="100" w:firstLine="240"/>
              <w:jc w:val="center"/>
              <w:rPr>
                <w:rFonts w:ascii="Calibri" w:eastAsia="Times New Roman" w:hAnsi="Calibri" w:cs="Times New Roman"/>
                <w:color w:val="263238"/>
              </w:rPr>
            </w:pPr>
            <w:r w:rsidRPr="009F483A">
              <w:rPr>
                <w:rFonts w:ascii="Calibri" w:eastAsia="Times New Roman" w:hAnsi="Calibri" w:cs="Times New Roman"/>
                <w:color w:val="263238"/>
              </w:rPr>
              <w:t>Phenotype MIM number</w:t>
            </w:r>
          </w:p>
        </w:tc>
      </w:tr>
      <w:tr w:rsidR="009F483A" w:rsidRPr="009F483A" w14:paraId="271F2651" w14:textId="77777777" w:rsidTr="009F483A">
        <w:trPr>
          <w:trHeight w:val="340"/>
        </w:trPr>
        <w:tc>
          <w:tcPr>
            <w:tcW w:w="1100" w:type="dxa"/>
            <w:tcBorders>
              <w:top w:val="nil"/>
              <w:left w:val="nil"/>
              <w:bottom w:val="single" w:sz="4" w:space="0" w:color="auto"/>
              <w:right w:val="nil"/>
            </w:tcBorders>
            <w:shd w:val="clear" w:color="000000" w:fill="FFFFFF"/>
            <w:noWrap/>
            <w:vAlign w:val="bottom"/>
            <w:hideMark/>
          </w:tcPr>
          <w:p w14:paraId="0C419616" w14:textId="77777777" w:rsidR="009F483A" w:rsidRPr="009F483A" w:rsidRDefault="009F483A" w:rsidP="009F483A">
            <w:pPr>
              <w:rPr>
                <w:rFonts w:ascii="Calibri" w:eastAsia="Times New Roman" w:hAnsi="Calibri" w:cs="Times New Roman"/>
                <w:i/>
                <w:iCs/>
                <w:color w:val="000000"/>
              </w:rPr>
            </w:pPr>
            <w:r w:rsidRPr="009F483A">
              <w:rPr>
                <w:rFonts w:ascii="Calibri" w:eastAsia="Times New Roman" w:hAnsi="Calibri" w:cs="Times New Roman"/>
                <w:i/>
                <w:iCs/>
                <w:color w:val="000000"/>
              </w:rPr>
              <w:t>SHH</w:t>
            </w:r>
          </w:p>
        </w:tc>
        <w:tc>
          <w:tcPr>
            <w:tcW w:w="2260" w:type="dxa"/>
            <w:tcBorders>
              <w:top w:val="nil"/>
              <w:left w:val="nil"/>
              <w:bottom w:val="single" w:sz="4" w:space="0" w:color="auto"/>
              <w:right w:val="nil"/>
            </w:tcBorders>
            <w:shd w:val="clear" w:color="000000" w:fill="FFFFFF"/>
            <w:noWrap/>
            <w:vAlign w:val="bottom"/>
            <w:hideMark/>
          </w:tcPr>
          <w:p w14:paraId="4B276FAE" w14:textId="77777777" w:rsidR="009F483A" w:rsidRPr="009F483A" w:rsidRDefault="009F483A" w:rsidP="009F483A">
            <w:pPr>
              <w:rPr>
                <w:rFonts w:ascii="Calibri" w:eastAsia="Times New Roman" w:hAnsi="Calibri" w:cs="Times New Roman"/>
                <w:color w:val="000000"/>
              </w:rPr>
            </w:pPr>
            <w:r w:rsidRPr="009F483A">
              <w:rPr>
                <w:rFonts w:ascii="Calibri" w:eastAsia="Times New Roman" w:hAnsi="Calibri" w:cs="Times New Roman"/>
                <w:color w:val="000000"/>
              </w:rPr>
              <w:t>600725</w:t>
            </w:r>
          </w:p>
        </w:tc>
        <w:tc>
          <w:tcPr>
            <w:tcW w:w="2320" w:type="dxa"/>
            <w:tcBorders>
              <w:top w:val="nil"/>
              <w:left w:val="nil"/>
              <w:bottom w:val="single" w:sz="4" w:space="0" w:color="auto"/>
              <w:right w:val="nil"/>
            </w:tcBorders>
            <w:shd w:val="clear" w:color="000000" w:fill="FFFFFF"/>
            <w:vAlign w:val="center"/>
            <w:hideMark/>
          </w:tcPr>
          <w:p w14:paraId="42F44E10" w14:textId="77777777" w:rsidR="009F483A" w:rsidRPr="009F483A" w:rsidRDefault="009F483A" w:rsidP="009F483A">
            <w:pPr>
              <w:ind w:firstLineChars="100" w:firstLine="240"/>
              <w:rPr>
                <w:rFonts w:ascii="Calibri" w:eastAsia="Times New Roman" w:hAnsi="Calibri" w:cs="Times New Roman"/>
                <w:color w:val="263238"/>
              </w:rPr>
            </w:pPr>
            <w:r w:rsidRPr="009F483A">
              <w:rPr>
                <w:rFonts w:ascii="Calibri" w:eastAsia="Times New Roman" w:hAnsi="Calibri" w:cs="Times New Roman"/>
                <w:color w:val="263238"/>
              </w:rPr>
              <w:t>NM_000193.4</w:t>
            </w:r>
          </w:p>
        </w:tc>
        <w:tc>
          <w:tcPr>
            <w:tcW w:w="2380" w:type="dxa"/>
            <w:tcBorders>
              <w:top w:val="nil"/>
              <w:left w:val="nil"/>
              <w:bottom w:val="single" w:sz="4" w:space="0" w:color="auto"/>
              <w:right w:val="nil"/>
            </w:tcBorders>
            <w:shd w:val="clear" w:color="000000" w:fill="FFFFFF"/>
            <w:noWrap/>
            <w:vAlign w:val="bottom"/>
            <w:hideMark/>
          </w:tcPr>
          <w:p w14:paraId="31638C36" w14:textId="77777777" w:rsidR="009F483A" w:rsidRPr="009F483A" w:rsidRDefault="009F483A" w:rsidP="009F483A">
            <w:pPr>
              <w:rPr>
                <w:rFonts w:ascii="Calibri" w:eastAsia="Times New Roman" w:hAnsi="Calibri" w:cs="Times New Roman"/>
                <w:color w:val="000000"/>
              </w:rPr>
            </w:pPr>
            <w:r w:rsidRPr="009F483A">
              <w:rPr>
                <w:rFonts w:ascii="Calibri" w:eastAsia="Times New Roman" w:hAnsi="Calibri" w:cs="Times New Roman"/>
                <w:color w:val="000000"/>
              </w:rPr>
              <w:t>7q36.3 </w:t>
            </w:r>
          </w:p>
        </w:tc>
        <w:tc>
          <w:tcPr>
            <w:tcW w:w="3120" w:type="dxa"/>
            <w:tcBorders>
              <w:top w:val="nil"/>
              <w:left w:val="nil"/>
              <w:bottom w:val="nil"/>
              <w:right w:val="nil"/>
            </w:tcBorders>
            <w:shd w:val="clear" w:color="000000" w:fill="FFFFFF"/>
            <w:noWrap/>
            <w:vAlign w:val="bottom"/>
            <w:hideMark/>
          </w:tcPr>
          <w:p w14:paraId="5306C9A2" w14:textId="77777777" w:rsidR="009F483A" w:rsidRPr="009F483A" w:rsidRDefault="009F483A" w:rsidP="009F483A">
            <w:pPr>
              <w:rPr>
                <w:rFonts w:ascii="Calibri" w:eastAsia="Times New Roman" w:hAnsi="Calibri" w:cs="Times New Roman"/>
                <w:color w:val="000000"/>
              </w:rPr>
            </w:pPr>
            <w:r w:rsidRPr="009F483A">
              <w:rPr>
                <w:rFonts w:ascii="Calibri" w:eastAsia="Times New Roman" w:hAnsi="Calibri" w:cs="Times New Roman"/>
                <w:color w:val="000000"/>
              </w:rPr>
              <w:t>HPE3 #142945</w:t>
            </w:r>
          </w:p>
        </w:tc>
      </w:tr>
      <w:tr w:rsidR="009F483A" w:rsidRPr="009F483A" w14:paraId="166B6290" w14:textId="77777777" w:rsidTr="009F483A">
        <w:trPr>
          <w:trHeight w:val="340"/>
        </w:trPr>
        <w:tc>
          <w:tcPr>
            <w:tcW w:w="1100" w:type="dxa"/>
            <w:tcBorders>
              <w:top w:val="nil"/>
              <w:left w:val="nil"/>
              <w:bottom w:val="single" w:sz="4" w:space="0" w:color="auto"/>
              <w:right w:val="nil"/>
            </w:tcBorders>
            <w:shd w:val="clear" w:color="000000" w:fill="FFFFFF"/>
            <w:noWrap/>
            <w:vAlign w:val="bottom"/>
            <w:hideMark/>
          </w:tcPr>
          <w:p w14:paraId="710DAC8B" w14:textId="77777777" w:rsidR="009F483A" w:rsidRPr="009F483A" w:rsidRDefault="009F483A" w:rsidP="009F483A">
            <w:pPr>
              <w:rPr>
                <w:rFonts w:ascii="Calibri" w:eastAsia="Times New Roman" w:hAnsi="Calibri" w:cs="Times New Roman"/>
                <w:i/>
                <w:iCs/>
                <w:color w:val="000000"/>
              </w:rPr>
            </w:pPr>
            <w:r w:rsidRPr="009F483A">
              <w:rPr>
                <w:rFonts w:ascii="Calibri" w:eastAsia="Times New Roman" w:hAnsi="Calibri" w:cs="Times New Roman"/>
                <w:i/>
                <w:iCs/>
                <w:color w:val="000000"/>
              </w:rPr>
              <w:t>SIX3</w:t>
            </w:r>
          </w:p>
        </w:tc>
        <w:tc>
          <w:tcPr>
            <w:tcW w:w="2260" w:type="dxa"/>
            <w:tcBorders>
              <w:top w:val="nil"/>
              <w:left w:val="nil"/>
              <w:bottom w:val="single" w:sz="4" w:space="0" w:color="auto"/>
              <w:right w:val="nil"/>
            </w:tcBorders>
            <w:shd w:val="clear" w:color="000000" w:fill="FFFFFF"/>
            <w:noWrap/>
            <w:vAlign w:val="bottom"/>
            <w:hideMark/>
          </w:tcPr>
          <w:p w14:paraId="34A13666" w14:textId="77777777" w:rsidR="009F483A" w:rsidRPr="009F483A" w:rsidRDefault="009F483A" w:rsidP="009F483A">
            <w:pPr>
              <w:rPr>
                <w:rFonts w:ascii="Calibri" w:eastAsia="Times New Roman" w:hAnsi="Calibri" w:cs="Times New Roman"/>
                <w:color w:val="000000"/>
              </w:rPr>
            </w:pPr>
            <w:r w:rsidRPr="009F483A">
              <w:rPr>
                <w:rFonts w:ascii="Calibri" w:eastAsia="Times New Roman" w:hAnsi="Calibri" w:cs="Times New Roman"/>
                <w:color w:val="000000"/>
              </w:rPr>
              <w:t>603714</w:t>
            </w:r>
          </w:p>
        </w:tc>
        <w:tc>
          <w:tcPr>
            <w:tcW w:w="2320" w:type="dxa"/>
            <w:tcBorders>
              <w:top w:val="nil"/>
              <w:left w:val="nil"/>
              <w:bottom w:val="single" w:sz="4" w:space="0" w:color="auto"/>
              <w:right w:val="nil"/>
            </w:tcBorders>
            <w:shd w:val="clear" w:color="000000" w:fill="FFFFFF"/>
            <w:vAlign w:val="center"/>
            <w:hideMark/>
          </w:tcPr>
          <w:p w14:paraId="27B0C218" w14:textId="77777777" w:rsidR="009F483A" w:rsidRPr="009F483A" w:rsidRDefault="009F483A" w:rsidP="009F483A">
            <w:pPr>
              <w:ind w:firstLineChars="100" w:firstLine="240"/>
              <w:rPr>
                <w:rFonts w:ascii="Calibri" w:eastAsia="Times New Roman" w:hAnsi="Calibri" w:cs="Times New Roman"/>
                <w:color w:val="263238"/>
              </w:rPr>
            </w:pPr>
            <w:r w:rsidRPr="009F483A">
              <w:rPr>
                <w:rFonts w:ascii="Calibri" w:eastAsia="Times New Roman" w:hAnsi="Calibri" w:cs="Times New Roman"/>
                <w:color w:val="263238"/>
              </w:rPr>
              <w:t>NM_005413.4</w:t>
            </w:r>
          </w:p>
        </w:tc>
        <w:tc>
          <w:tcPr>
            <w:tcW w:w="2380" w:type="dxa"/>
            <w:tcBorders>
              <w:top w:val="nil"/>
              <w:left w:val="nil"/>
              <w:bottom w:val="single" w:sz="4" w:space="0" w:color="auto"/>
              <w:right w:val="nil"/>
            </w:tcBorders>
            <w:shd w:val="clear" w:color="000000" w:fill="FFFFFF"/>
            <w:noWrap/>
            <w:vAlign w:val="bottom"/>
            <w:hideMark/>
          </w:tcPr>
          <w:p w14:paraId="4312E0CB" w14:textId="77777777" w:rsidR="009F483A" w:rsidRPr="009F483A" w:rsidRDefault="009F483A" w:rsidP="009F483A">
            <w:pPr>
              <w:rPr>
                <w:rFonts w:ascii="Calibri" w:eastAsia="Times New Roman" w:hAnsi="Calibri" w:cs="Times New Roman"/>
                <w:color w:val="000000"/>
              </w:rPr>
            </w:pPr>
            <w:r w:rsidRPr="009F483A">
              <w:rPr>
                <w:rFonts w:ascii="Calibri" w:eastAsia="Times New Roman" w:hAnsi="Calibri" w:cs="Times New Roman"/>
                <w:color w:val="000000"/>
              </w:rPr>
              <w:t>2p21  </w:t>
            </w:r>
          </w:p>
        </w:tc>
        <w:tc>
          <w:tcPr>
            <w:tcW w:w="3120" w:type="dxa"/>
            <w:tcBorders>
              <w:top w:val="single" w:sz="4" w:space="0" w:color="auto"/>
              <w:left w:val="nil"/>
              <w:bottom w:val="single" w:sz="4" w:space="0" w:color="auto"/>
              <w:right w:val="nil"/>
            </w:tcBorders>
            <w:shd w:val="clear" w:color="000000" w:fill="FFFFFF"/>
            <w:vAlign w:val="center"/>
            <w:hideMark/>
          </w:tcPr>
          <w:p w14:paraId="4646AFED" w14:textId="77777777" w:rsidR="009F483A" w:rsidRPr="009F483A" w:rsidRDefault="009F483A" w:rsidP="009F483A">
            <w:pPr>
              <w:rPr>
                <w:rFonts w:ascii="Calibri" w:eastAsia="Times New Roman" w:hAnsi="Calibri" w:cs="Times New Roman"/>
                <w:color w:val="263238"/>
              </w:rPr>
            </w:pPr>
            <w:r w:rsidRPr="009F483A">
              <w:rPr>
                <w:rFonts w:ascii="Calibri" w:eastAsia="Times New Roman" w:hAnsi="Calibri" w:cs="Times New Roman"/>
                <w:color w:val="263238"/>
              </w:rPr>
              <w:t>HPE2 #157170</w:t>
            </w:r>
          </w:p>
        </w:tc>
      </w:tr>
      <w:tr w:rsidR="009F483A" w:rsidRPr="009F483A" w14:paraId="67A2E26A" w14:textId="77777777" w:rsidTr="009F483A">
        <w:trPr>
          <w:trHeight w:val="340"/>
        </w:trPr>
        <w:tc>
          <w:tcPr>
            <w:tcW w:w="1100" w:type="dxa"/>
            <w:tcBorders>
              <w:top w:val="nil"/>
              <w:left w:val="nil"/>
              <w:bottom w:val="single" w:sz="4" w:space="0" w:color="auto"/>
              <w:right w:val="nil"/>
            </w:tcBorders>
            <w:shd w:val="clear" w:color="000000" w:fill="FFFFFF"/>
            <w:noWrap/>
            <w:vAlign w:val="bottom"/>
            <w:hideMark/>
          </w:tcPr>
          <w:p w14:paraId="30B0E383" w14:textId="77777777" w:rsidR="009F483A" w:rsidRPr="009F483A" w:rsidRDefault="009F483A" w:rsidP="009F483A">
            <w:pPr>
              <w:rPr>
                <w:rFonts w:ascii="Calibri" w:eastAsia="Times New Roman" w:hAnsi="Calibri" w:cs="Times New Roman"/>
                <w:i/>
                <w:iCs/>
                <w:color w:val="000000"/>
              </w:rPr>
            </w:pPr>
            <w:r w:rsidRPr="009F483A">
              <w:rPr>
                <w:rFonts w:ascii="Calibri" w:eastAsia="Times New Roman" w:hAnsi="Calibri" w:cs="Times New Roman"/>
                <w:i/>
                <w:iCs/>
                <w:color w:val="000000"/>
              </w:rPr>
              <w:t>TGIF</w:t>
            </w:r>
          </w:p>
        </w:tc>
        <w:tc>
          <w:tcPr>
            <w:tcW w:w="2260" w:type="dxa"/>
            <w:tcBorders>
              <w:top w:val="nil"/>
              <w:left w:val="nil"/>
              <w:bottom w:val="single" w:sz="4" w:space="0" w:color="auto"/>
              <w:right w:val="nil"/>
            </w:tcBorders>
            <w:shd w:val="clear" w:color="000000" w:fill="FFFFFF"/>
            <w:noWrap/>
            <w:vAlign w:val="bottom"/>
            <w:hideMark/>
          </w:tcPr>
          <w:p w14:paraId="0D14F115" w14:textId="77777777" w:rsidR="009F483A" w:rsidRPr="009F483A" w:rsidRDefault="009F483A" w:rsidP="009F483A">
            <w:pPr>
              <w:rPr>
                <w:rFonts w:ascii="Calibri" w:eastAsia="Times New Roman" w:hAnsi="Calibri" w:cs="Times New Roman"/>
                <w:color w:val="000000"/>
              </w:rPr>
            </w:pPr>
            <w:r w:rsidRPr="009F483A">
              <w:rPr>
                <w:rFonts w:ascii="Calibri" w:eastAsia="Times New Roman" w:hAnsi="Calibri" w:cs="Times New Roman"/>
                <w:color w:val="000000"/>
              </w:rPr>
              <w:t>602630</w:t>
            </w:r>
          </w:p>
        </w:tc>
        <w:tc>
          <w:tcPr>
            <w:tcW w:w="2320" w:type="dxa"/>
            <w:tcBorders>
              <w:top w:val="nil"/>
              <w:left w:val="nil"/>
              <w:bottom w:val="single" w:sz="4" w:space="0" w:color="auto"/>
              <w:right w:val="nil"/>
            </w:tcBorders>
            <w:shd w:val="clear" w:color="000000" w:fill="FFFFFF"/>
            <w:vAlign w:val="center"/>
            <w:hideMark/>
          </w:tcPr>
          <w:p w14:paraId="777179F5" w14:textId="77777777" w:rsidR="009F483A" w:rsidRPr="009F483A" w:rsidRDefault="009F483A" w:rsidP="009F483A">
            <w:pPr>
              <w:ind w:firstLineChars="100" w:firstLine="240"/>
              <w:rPr>
                <w:rFonts w:ascii="Calibri" w:eastAsia="Times New Roman" w:hAnsi="Calibri" w:cs="Times New Roman"/>
                <w:color w:val="263238"/>
              </w:rPr>
            </w:pPr>
            <w:r w:rsidRPr="009F483A">
              <w:rPr>
                <w:rFonts w:ascii="Calibri" w:eastAsia="Times New Roman" w:hAnsi="Calibri" w:cs="Times New Roman"/>
                <w:color w:val="263238"/>
              </w:rPr>
              <w:t>NM_003244.4</w:t>
            </w:r>
          </w:p>
        </w:tc>
        <w:tc>
          <w:tcPr>
            <w:tcW w:w="2380" w:type="dxa"/>
            <w:tcBorders>
              <w:top w:val="nil"/>
              <w:left w:val="nil"/>
              <w:bottom w:val="single" w:sz="4" w:space="0" w:color="auto"/>
              <w:right w:val="nil"/>
            </w:tcBorders>
            <w:shd w:val="clear" w:color="000000" w:fill="FFFFFF"/>
            <w:noWrap/>
            <w:vAlign w:val="bottom"/>
            <w:hideMark/>
          </w:tcPr>
          <w:p w14:paraId="5760A935" w14:textId="77777777" w:rsidR="009F483A" w:rsidRPr="009F483A" w:rsidRDefault="009F483A" w:rsidP="009F483A">
            <w:pPr>
              <w:rPr>
                <w:rFonts w:ascii="Calibri" w:eastAsia="Times New Roman" w:hAnsi="Calibri" w:cs="Times New Roman"/>
                <w:color w:val="000000"/>
              </w:rPr>
            </w:pPr>
            <w:r w:rsidRPr="009F483A">
              <w:rPr>
                <w:rFonts w:ascii="Calibri" w:eastAsia="Times New Roman" w:hAnsi="Calibri" w:cs="Times New Roman"/>
                <w:color w:val="000000"/>
              </w:rPr>
              <w:t>18p11.31 </w:t>
            </w:r>
          </w:p>
        </w:tc>
        <w:tc>
          <w:tcPr>
            <w:tcW w:w="3120" w:type="dxa"/>
            <w:tcBorders>
              <w:top w:val="nil"/>
              <w:left w:val="nil"/>
              <w:bottom w:val="single" w:sz="4" w:space="0" w:color="auto"/>
              <w:right w:val="nil"/>
            </w:tcBorders>
            <w:shd w:val="clear" w:color="000000" w:fill="FFFFFF"/>
            <w:vAlign w:val="center"/>
            <w:hideMark/>
          </w:tcPr>
          <w:p w14:paraId="3248442D" w14:textId="77777777" w:rsidR="009F483A" w:rsidRPr="009F483A" w:rsidRDefault="009F483A" w:rsidP="009F483A">
            <w:pPr>
              <w:rPr>
                <w:rFonts w:ascii="Calibri" w:eastAsia="Times New Roman" w:hAnsi="Calibri" w:cs="Times New Roman"/>
                <w:color w:val="263238"/>
              </w:rPr>
            </w:pPr>
            <w:r w:rsidRPr="009F483A">
              <w:rPr>
                <w:rFonts w:ascii="Calibri" w:eastAsia="Times New Roman" w:hAnsi="Calibri" w:cs="Times New Roman"/>
                <w:color w:val="263238"/>
              </w:rPr>
              <w:t>HPE4 #142946</w:t>
            </w:r>
          </w:p>
        </w:tc>
      </w:tr>
      <w:tr w:rsidR="009F483A" w:rsidRPr="009F483A" w14:paraId="28B48387" w14:textId="77777777" w:rsidTr="009F483A">
        <w:trPr>
          <w:trHeight w:val="340"/>
        </w:trPr>
        <w:tc>
          <w:tcPr>
            <w:tcW w:w="1100" w:type="dxa"/>
            <w:tcBorders>
              <w:top w:val="nil"/>
              <w:left w:val="nil"/>
              <w:bottom w:val="single" w:sz="4" w:space="0" w:color="auto"/>
              <w:right w:val="nil"/>
            </w:tcBorders>
            <w:shd w:val="clear" w:color="000000" w:fill="FFFFFF"/>
            <w:noWrap/>
            <w:vAlign w:val="bottom"/>
            <w:hideMark/>
          </w:tcPr>
          <w:p w14:paraId="6ED4E268" w14:textId="77777777" w:rsidR="009F483A" w:rsidRPr="009F483A" w:rsidRDefault="009F483A" w:rsidP="009F483A">
            <w:pPr>
              <w:rPr>
                <w:rFonts w:ascii="Calibri" w:eastAsia="Times New Roman" w:hAnsi="Calibri" w:cs="Times New Roman"/>
                <w:i/>
                <w:iCs/>
                <w:color w:val="000000"/>
              </w:rPr>
            </w:pPr>
            <w:r w:rsidRPr="009F483A">
              <w:rPr>
                <w:rFonts w:ascii="Calibri" w:eastAsia="Times New Roman" w:hAnsi="Calibri" w:cs="Times New Roman"/>
                <w:i/>
                <w:iCs/>
                <w:color w:val="000000"/>
              </w:rPr>
              <w:t>ZIC2</w:t>
            </w:r>
          </w:p>
        </w:tc>
        <w:tc>
          <w:tcPr>
            <w:tcW w:w="2260" w:type="dxa"/>
            <w:tcBorders>
              <w:top w:val="nil"/>
              <w:left w:val="nil"/>
              <w:bottom w:val="single" w:sz="4" w:space="0" w:color="auto"/>
              <w:right w:val="nil"/>
            </w:tcBorders>
            <w:shd w:val="clear" w:color="000000" w:fill="FFFFFF"/>
            <w:noWrap/>
            <w:vAlign w:val="bottom"/>
            <w:hideMark/>
          </w:tcPr>
          <w:p w14:paraId="77FEB12E" w14:textId="77777777" w:rsidR="009F483A" w:rsidRPr="009F483A" w:rsidRDefault="009F483A" w:rsidP="009F483A">
            <w:pPr>
              <w:rPr>
                <w:rFonts w:ascii="Calibri" w:eastAsia="Times New Roman" w:hAnsi="Calibri" w:cs="Times New Roman"/>
                <w:color w:val="000000"/>
              </w:rPr>
            </w:pPr>
            <w:r w:rsidRPr="009F483A">
              <w:rPr>
                <w:rFonts w:ascii="Calibri" w:eastAsia="Times New Roman" w:hAnsi="Calibri" w:cs="Times New Roman"/>
                <w:color w:val="000000"/>
              </w:rPr>
              <w:t>603073</w:t>
            </w:r>
          </w:p>
        </w:tc>
        <w:tc>
          <w:tcPr>
            <w:tcW w:w="2320" w:type="dxa"/>
            <w:tcBorders>
              <w:top w:val="nil"/>
              <w:left w:val="nil"/>
              <w:bottom w:val="single" w:sz="4" w:space="0" w:color="auto"/>
              <w:right w:val="nil"/>
            </w:tcBorders>
            <w:shd w:val="clear" w:color="000000" w:fill="FFFFFF"/>
            <w:vAlign w:val="center"/>
            <w:hideMark/>
          </w:tcPr>
          <w:p w14:paraId="00E0263B" w14:textId="77777777" w:rsidR="009F483A" w:rsidRPr="009F483A" w:rsidRDefault="009F483A" w:rsidP="009F483A">
            <w:pPr>
              <w:ind w:firstLineChars="100" w:firstLine="240"/>
              <w:rPr>
                <w:rFonts w:ascii="Calibri" w:eastAsia="Times New Roman" w:hAnsi="Calibri" w:cs="Times New Roman"/>
                <w:color w:val="263238"/>
              </w:rPr>
            </w:pPr>
            <w:r w:rsidRPr="009F483A">
              <w:rPr>
                <w:rFonts w:ascii="Calibri" w:eastAsia="Times New Roman" w:hAnsi="Calibri" w:cs="Times New Roman"/>
                <w:color w:val="263238"/>
              </w:rPr>
              <w:t>NM_007129.5</w:t>
            </w:r>
          </w:p>
        </w:tc>
        <w:tc>
          <w:tcPr>
            <w:tcW w:w="2380" w:type="dxa"/>
            <w:tcBorders>
              <w:top w:val="nil"/>
              <w:left w:val="nil"/>
              <w:bottom w:val="single" w:sz="4" w:space="0" w:color="auto"/>
              <w:right w:val="nil"/>
            </w:tcBorders>
            <w:shd w:val="clear" w:color="000000" w:fill="FFFFFF"/>
            <w:noWrap/>
            <w:vAlign w:val="bottom"/>
            <w:hideMark/>
          </w:tcPr>
          <w:p w14:paraId="322743EE" w14:textId="77777777" w:rsidR="009F483A" w:rsidRPr="009F483A" w:rsidRDefault="009F483A" w:rsidP="009F483A">
            <w:pPr>
              <w:rPr>
                <w:rFonts w:ascii="Calibri" w:eastAsia="Times New Roman" w:hAnsi="Calibri" w:cs="Times New Roman"/>
                <w:color w:val="000000"/>
              </w:rPr>
            </w:pPr>
            <w:r w:rsidRPr="009F483A">
              <w:rPr>
                <w:rFonts w:ascii="Calibri" w:eastAsia="Times New Roman" w:hAnsi="Calibri" w:cs="Times New Roman"/>
                <w:color w:val="000000"/>
              </w:rPr>
              <w:t>13q32.3 </w:t>
            </w:r>
          </w:p>
        </w:tc>
        <w:tc>
          <w:tcPr>
            <w:tcW w:w="3120" w:type="dxa"/>
            <w:tcBorders>
              <w:top w:val="nil"/>
              <w:left w:val="nil"/>
              <w:bottom w:val="single" w:sz="4" w:space="0" w:color="auto"/>
              <w:right w:val="nil"/>
            </w:tcBorders>
            <w:shd w:val="clear" w:color="000000" w:fill="FFFFFF"/>
            <w:vAlign w:val="center"/>
            <w:hideMark/>
          </w:tcPr>
          <w:p w14:paraId="2765D888" w14:textId="77777777" w:rsidR="009F483A" w:rsidRPr="009F483A" w:rsidRDefault="009F483A" w:rsidP="009F483A">
            <w:pPr>
              <w:rPr>
                <w:rFonts w:ascii="Calibri" w:eastAsia="Times New Roman" w:hAnsi="Calibri" w:cs="Times New Roman"/>
                <w:color w:val="263238"/>
              </w:rPr>
            </w:pPr>
            <w:r w:rsidRPr="009F483A">
              <w:rPr>
                <w:rFonts w:ascii="Calibri" w:eastAsia="Times New Roman" w:hAnsi="Calibri" w:cs="Times New Roman"/>
                <w:color w:val="263238"/>
              </w:rPr>
              <w:t>HPE5 #609637</w:t>
            </w:r>
          </w:p>
        </w:tc>
      </w:tr>
      <w:tr w:rsidR="009F483A" w:rsidRPr="009F483A" w14:paraId="1EB485E7" w14:textId="77777777" w:rsidTr="009F483A">
        <w:trPr>
          <w:trHeight w:val="320"/>
        </w:trPr>
        <w:tc>
          <w:tcPr>
            <w:tcW w:w="1100" w:type="dxa"/>
            <w:tcBorders>
              <w:top w:val="nil"/>
              <w:left w:val="nil"/>
              <w:bottom w:val="nil"/>
              <w:right w:val="nil"/>
            </w:tcBorders>
            <w:shd w:val="clear" w:color="000000" w:fill="FFFFFF"/>
            <w:noWrap/>
            <w:vAlign w:val="bottom"/>
            <w:hideMark/>
          </w:tcPr>
          <w:p w14:paraId="302692D2" w14:textId="77777777" w:rsidR="009F483A" w:rsidRPr="009F483A" w:rsidRDefault="009F483A" w:rsidP="009F483A">
            <w:pPr>
              <w:rPr>
                <w:rFonts w:ascii="Calibri" w:eastAsia="Times New Roman" w:hAnsi="Calibri" w:cs="Times New Roman"/>
                <w:color w:val="000000"/>
              </w:rPr>
            </w:pPr>
            <w:r w:rsidRPr="009F483A">
              <w:rPr>
                <w:rFonts w:ascii="Calibri" w:eastAsia="Times New Roman" w:hAnsi="Calibri" w:cs="Times New Roman"/>
                <w:color w:val="000000"/>
              </w:rPr>
              <w:t> </w:t>
            </w:r>
          </w:p>
        </w:tc>
        <w:tc>
          <w:tcPr>
            <w:tcW w:w="2260" w:type="dxa"/>
            <w:tcBorders>
              <w:top w:val="nil"/>
              <w:left w:val="nil"/>
              <w:bottom w:val="nil"/>
              <w:right w:val="nil"/>
            </w:tcBorders>
            <w:shd w:val="clear" w:color="000000" w:fill="FFFFFF"/>
            <w:noWrap/>
            <w:vAlign w:val="bottom"/>
            <w:hideMark/>
          </w:tcPr>
          <w:p w14:paraId="52DB4A08" w14:textId="77777777" w:rsidR="009F483A" w:rsidRPr="009F483A" w:rsidRDefault="009F483A" w:rsidP="009F483A">
            <w:pPr>
              <w:rPr>
                <w:rFonts w:ascii="Calibri" w:eastAsia="Times New Roman" w:hAnsi="Calibri" w:cs="Times New Roman"/>
                <w:color w:val="000000"/>
              </w:rPr>
            </w:pPr>
            <w:r w:rsidRPr="009F483A">
              <w:rPr>
                <w:rFonts w:ascii="Calibri" w:eastAsia="Times New Roman" w:hAnsi="Calibri" w:cs="Times New Roman"/>
                <w:color w:val="000000"/>
              </w:rPr>
              <w:t> </w:t>
            </w:r>
          </w:p>
        </w:tc>
        <w:tc>
          <w:tcPr>
            <w:tcW w:w="2320" w:type="dxa"/>
            <w:tcBorders>
              <w:top w:val="nil"/>
              <w:left w:val="nil"/>
              <w:bottom w:val="nil"/>
              <w:right w:val="nil"/>
            </w:tcBorders>
            <w:shd w:val="clear" w:color="000000" w:fill="FFFFFF"/>
            <w:noWrap/>
            <w:vAlign w:val="bottom"/>
            <w:hideMark/>
          </w:tcPr>
          <w:p w14:paraId="41B3FEE4" w14:textId="77777777" w:rsidR="009F483A" w:rsidRPr="009F483A" w:rsidRDefault="009F483A" w:rsidP="009F483A">
            <w:pPr>
              <w:rPr>
                <w:rFonts w:ascii="Calibri" w:eastAsia="Times New Roman" w:hAnsi="Calibri" w:cs="Times New Roman"/>
                <w:color w:val="000000"/>
              </w:rPr>
            </w:pPr>
            <w:r w:rsidRPr="009F483A">
              <w:rPr>
                <w:rFonts w:ascii="Calibri" w:eastAsia="Times New Roman" w:hAnsi="Calibri" w:cs="Times New Roman"/>
                <w:color w:val="000000"/>
              </w:rPr>
              <w:t> </w:t>
            </w:r>
          </w:p>
        </w:tc>
        <w:tc>
          <w:tcPr>
            <w:tcW w:w="2380" w:type="dxa"/>
            <w:tcBorders>
              <w:top w:val="nil"/>
              <w:left w:val="nil"/>
              <w:bottom w:val="nil"/>
              <w:right w:val="nil"/>
            </w:tcBorders>
            <w:shd w:val="clear" w:color="000000" w:fill="FFFFFF"/>
            <w:noWrap/>
            <w:vAlign w:val="bottom"/>
            <w:hideMark/>
          </w:tcPr>
          <w:p w14:paraId="31465B3A" w14:textId="77777777" w:rsidR="009F483A" w:rsidRPr="009F483A" w:rsidRDefault="009F483A" w:rsidP="009F483A">
            <w:pPr>
              <w:rPr>
                <w:rFonts w:ascii="Calibri" w:eastAsia="Times New Roman" w:hAnsi="Calibri" w:cs="Times New Roman"/>
                <w:color w:val="000000"/>
              </w:rPr>
            </w:pPr>
            <w:r w:rsidRPr="009F483A">
              <w:rPr>
                <w:rFonts w:ascii="Calibri" w:eastAsia="Times New Roman" w:hAnsi="Calibri" w:cs="Times New Roman"/>
                <w:color w:val="000000"/>
              </w:rPr>
              <w:t> </w:t>
            </w:r>
          </w:p>
        </w:tc>
        <w:tc>
          <w:tcPr>
            <w:tcW w:w="3120" w:type="dxa"/>
            <w:tcBorders>
              <w:top w:val="nil"/>
              <w:left w:val="nil"/>
              <w:bottom w:val="nil"/>
              <w:right w:val="nil"/>
            </w:tcBorders>
            <w:shd w:val="clear" w:color="000000" w:fill="FFFFFF"/>
            <w:noWrap/>
            <w:vAlign w:val="bottom"/>
            <w:hideMark/>
          </w:tcPr>
          <w:p w14:paraId="73269736" w14:textId="77777777" w:rsidR="009F483A" w:rsidRPr="009F483A" w:rsidRDefault="009F483A" w:rsidP="009F483A">
            <w:pPr>
              <w:rPr>
                <w:rFonts w:ascii="Calibri" w:eastAsia="Times New Roman" w:hAnsi="Calibri" w:cs="Times New Roman"/>
                <w:color w:val="000000"/>
              </w:rPr>
            </w:pPr>
            <w:r w:rsidRPr="009F483A">
              <w:rPr>
                <w:rFonts w:ascii="Calibri" w:eastAsia="Times New Roman" w:hAnsi="Calibri" w:cs="Times New Roman"/>
                <w:color w:val="000000"/>
              </w:rPr>
              <w:t> </w:t>
            </w:r>
          </w:p>
        </w:tc>
      </w:tr>
      <w:tr w:rsidR="009F483A" w:rsidRPr="009F483A" w14:paraId="6EB4C57C" w14:textId="77777777" w:rsidTr="009F483A">
        <w:trPr>
          <w:trHeight w:val="320"/>
        </w:trPr>
        <w:tc>
          <w:tcPr>
            <w:tcW w:w="11180" w:type="dxa"/>
            <w:gridSpan w:val="5"/>
            <w:tcBorders>
              <w:top w:val="nil"/>
              <w:left w:val="nil"/>
              <w:bottom w:val="single" w:sz="4" w:space="0" w:color="auto"/>
              <w:right w:val="nil"/>
            </w:tcBorders>
            <w:shd w:val="clear" w:color="000000" w:fill="FFFFFF"/>
            <w:noWrap/>
            <w:vAlign w:val="bottom"/>
            <w:hideMark/>
          </w:tcPr>
          <w:p w14:paraId="0E81BD99" w14:textId="74B45B00" w:rsidR="009F483A" w:rsidRPr="009F483A" w:rsidRDefault="009F483A" w:rsidP="009F483A">
            <w:pPr>
              <w:rPr>
                <w:rFonts w:ascii="Calibri" w:eastAsia="Times New Roman" w:hAnsi="Calibri" w:cs="Times New Roman"/>
                <w:color w:val="000000"/>
              </w:rPr>
            </w:pPr>
            <w:r w:rsidRPr="009F483A">
              <w:rPr>
                <w:rFonts w:ascii="Calibri" w:eastAsia="Times New Roman" w:hAnsi="Calibri" w:cs="Times New Roman"/>
                <w:color w:val="000000"/>
              </w:rPr>
              <w:t>MIM = http:/www/omim.org;</w:t>
            </w:r>
            <w:r w:rsidRPr="009F483A">
              <w:rPr>
                <w:rFonts w:ascii="Calibri" w:eastAsia="Times New Roman" w:hAnsi="Calibri" w:cs="Times New Roman"/>
              </w:rPr>
              <w:t xml:space="preserve"> Gen</w:t>
            </w:r>
            <w:r w:rsidR="0031311A" w:rsidRPr="0031311A">
              <w:rPr>
                <w:rFonts w:ascii="Calibri" w:eastAsia="Times New Roman" w:hAnsi="Calibri" w:cs="Times New Roman"/>
                <w:lang w:val="pt-BR"/>
              </w:rPr>
              <w:t>B</w:t>
            </w:r>
            <w:r w:rsidRPr="009F483A">
              <w:rPr>
                <w:rFonts w:ascii="Calibri" w:eastAsia="Times New Roman" w:hAnsi="Calibri" w:cs="Times New Roman"/>
              </w:rPr>
              <w:t xml:space="preserve">ank </w:t>
            </w:r>
            <w:r w:rsidRPr="009F483A">
              <w:rPr>
                <w:rFonts w:ascii="Calibri" w:eastAsia="Times New Roman" w:hAnsi="Calibri" w:cs="Times New Roman"/>
                <w:color w:val="000000"/>
              </w:rPr>
              <w:t>= http://www.ncbi.nlm.nih.gov/Genbank/</w:t>
            </w:r>
          </w:p>
        </w:tc>
      </w:tr>
    </w:tbl>
    <w:p w14:paraId="1F16B9B7" w14:textId="6B2A451C" w:rsidR="000004EC" w:rsidRDefault="000004EC"/>
    <w:p w14:paraId="4FAA32AA" w14:textId="35B0F877" w:rsidR="009F483A" w:rsidRDefault="009F483A"/>
    <w:p w14:paraId="6138B8FB" w14:textId="581D6786" w:rsidR="00067826" w:rsidRDefault="00067826"/>
    <w:p w14:paraId="7B19608F" w14:textId="179A48D6" w:rsidR="00067826" w:rsidRDefault="00067826"/>
    <w:p w14:paraId="14E8E906" w14:textId="46405642" w:rsidR="00067826" w:rsidRDefault="00067826"/>
    <w:p w14:paraId="2D39FBF8" w14:textId="24841257" w:rsidR="00067826" w:rsidRDefault="00067826"/>
    <w:p w14:paraId="79C064C0" w14:textId="64E60F16" w:rsidR="00067826" w:rsidRDefault="00067826"/>
    <w:p w14:paraId="68DDAA36" w14:textId="1AD7D70D" w:rsidR="00067826" w:rsidRDefault="00067826"/>
    <w:p w14:paraId="6561C3BE" w14:textId="729F4ECD" w:rsidR="00067826" w:rsidRDefault="00067826"/>
    <w:p w14:paraId="649EF533" w14:textId="41318091" w:rsidR="00067826" w:rsidRDefault="00067826"/>
    <w:p w14:paraId="231E08C1" w14:textId="524291EE" w:rsidR="00067826" w:rsidRDefault="00067826"/>
    <w:p w14:paraId="5EE52BAE" w14:textId="18C99259" w:rsidR="00067826" w:rsidRDefault="00067826"/>
    <w:p w14:paraId="08001589" w14:textId="0646DAE7" w:rsidR="00067826" w:rsidRDefault="00067826"/>
    <w:p w14:paraId="674870E2" w14:textId="611F8B4E" w:rsidR="00067826" w:rsidRDefault="00067826"/>
    <w:p w14:paraId="78FDE6E1" w14:textId="3F8F2B91" w:rsidR="00067826" w:rsidRDefault="00067826"/>
    <w:p w14:paraId="72872DD1" w14:textId="77777777" w:rsidR="00067826" w:rsidRDefault="00067826"/>
    <w:p w14:paraId="3F437DA4" w14:textId="1DDD243A" w:rsidR="00E978DF" w:rsidRDefault="0023722B">
      <w:pPr>
        <w:rPr>
          <w:lang w:val="en-US"/>
        </w:rPr>
      </w:pPr>
      <w:r w:rsidRPr="0023722B">
        <w:rPr>
          <w:rFonts w:ascii="Calibri" w:eastAsia="Times New Roman" w:hAnsi="Calibri" w:cs="Times New Roman"/>
          <w:b/>
          <w:bCs/>
          <w:color w:val="000000"/>
          <w:lang w:val="en-US"/>
        </w:rPr>
        <w:lastRenderedPageBreak/>
        <w:t xml:space="preserve">Supplementary </w:t>
      </w:r>
      <w:r w:rsidR="00E978DF" w:rsidRPr="0023722B">
        <w:rPr>
          <w:b/>
          <w:bCs/>
          <w:lang w:val="en-US"/>
        </w:rPr>
        <w:t>Table 2</w:t>
      </w:r>
      <w:r w:rsidR="00E978DF">
        <w:rPr>
          <w:lang w:val="en-US"/>
        </w:rPr>
        <w:t xml:space="preserve">. </w:t>
      </w:r>
      <w:r w:rsidR="00155EDE">
        <w:rPr>
          <w:lang w:val="en-US"/>
        </w:rPr>
        <w:t>Clinical and variant data of seven patients presenting benign variants.</w:t>
      </w:r>
    </w:p>
    <w:p w14:paraId="7DBD2776" w14:textId="5C9FDAD1" w:rsidR="00E978DF" w:rsidRDefault="00E978DF">
      <w:pPr>
        <w:rPr>
          <w:lang w:val="en-US"/>
        </w:rPr>
      </w:pPr>
    </w:p>
    <w:tbl>
      <w:tblPr>
        <w:tblStyle w:val="TableGrid"/>
        <w:tblW w:w="0" w:type="auto"/>
        <w:tblLook w:val="04A0" w:firstRow="1" w:lastRow="0" w:firstColumn="1" w:lastColumn="0" w:noHBand="0" w:noVBand="1"/>
      </w:tblPr>
      <w:tblGrid>
        <w:gridCol w:w="988"/>
        <w:gridCol w:w="4252"/>
        <w:gridCol w:w="2268"/>
        <w:gridCol w:w="2552"/>
        <w:gridCol w:w="1758"/>
      </w:tblGrid>
      <w:tr w:rsidR="006E5A77" w:rsidRPr="0023722B" w14:paraId="30AC6665" w14:textId="528E70A3" w:rsidTr="00DF75C9">
        <w:tc>
          <w:tcPr>
            <w:tcW w:w="988" w:type="dxa"/>
          </w:tcPr>
          <w:p w14:paraId="52259804" w14:textId="1C308E99" w:rsidR="006E5A77" w:rsidRPr="0023722B" w:rsidRDefault="006E5A77">
            <w:pPr>
              <w:rPr>
                <w:rFonts w:cstheme="minorHAnsi"/>
                <w:sz w:val="22"/>
                <w:szCs w:val="22"/>
                <w:lang w:val="en-US"/>
              </w:rPr>
            </w:pPr>
            <w:r w:rsidRPr="0023722B">
              <w:rPr>
                <w:rFonts w:cstheme="minorHAnsi"/>
                <w:sz w:val="22"/>
                <w:szCs w:val="22"/>
                <w:lang w:val="en-US"/>
              </w:rPr>
              <w:t>Patient</w:t>
            </w:r>
          </w:p>
        </w:tc>
        <w:tc>
          <w:tcPr>
            <w:tcW w:w="4252" w:type="dxa"/>
          </w:tcPr>
          <w:p w14:paraId="0745A4ED" w14:textId="56DA1DB2" w:rsidR="006E5A77" w:rsidRPr="0023722B" w:rsidRDefault="006E5A77">
            <w:pPr>
              <w:rPr>
                <w:rFonts w:cstheme="minorHAnsi"/>
                <w:sz w:val="22"/>
                <w:szCs w:val="22"/>
                <w:lang w:val="en-US"/>
              </w:rPr>
            </w:pPr>
            <w:r w:rsidRPr="0023722B">
              <w:rPr>
                <w:rFonts w:cstheme="minorHAnsi"/>
                <w:sz w:val="22"/>
                <w:szCs w:val="22"/>
                <w:lang w:val="en-US"/>
              </w:rPr>
              <w:t xml:space="preserve"> Clinical </w:t>
            </w:r>
            <w:r w:rsidR="00155EDE" w:rsidRPr="0023722B">
              <w:rPr>
                <w:rFonts w:cstheme="minorHAnsi"/>
                <w:sz w:val="22"/>
                <w:szCs w:val="22"/>
                <w:lang w:val="en-US"/>
              </w:rPr>
              <w:t>information</w:t>
            </w:r>
          </w:p>
        </w:tc>
        <w:tc>
          <w:tcPr>
            <w:tcW w:w="2268" w:type="dxa"/>
          </w:tcPr>
          <w:p w14:paraId="15D4D8EA" w14:textId="0E94FCC2" w:rsidR="006E5A77" w:rsidRPr="0023722B" w:rsidRDefault="00D84257">
            <w:pPr>
              <w:rPr>
                <w:rFonts w:cstheme="minorHAnsi"/>
                <w:sz w:val="22"/>
                <w:szCs w:val="22"/>
                <w:lang w:val="en-US"/>
              </w:rPr>
            </w:pPr>
            <w:r w:rsidRPr="0023722B">
              <w:rPr>
                <w:rFonts w:cstheme="minorHAnsi"/>
                <w:sz w:val="22"/>
                <w:szCs w:val="22"/>
                <w:lang w:val="en-US"/>
              </w:rPr>
              <w:t xml:space="preserve">SNV &amp; Population </w:t>
            </w:r>
            <w:r w:rsidR="006E5A77" w:rsidRPr="0023722B">
              <w:rPr>
                <w:rFonts w:cstheme="minorHAnsi"/>
                <w:sz w:val="22"/>
                <w:szCs w:val="22"/>
                <w:lang w:val="en-US"/>
              </w:rPr>
              <w:t>Frequency</w:t>
            </w:r>
          </w:p>
        </w:tc>
        <w:tc>
          <w:tcPr>
            <w:tcW w:w="2552" w:type="dxa"/>
          </w:tcPr>
          <w:p w14:paraId="2192410E" w14:textId="09E33866" w:rsidR="006E5A77" w:rsidRPr="0023722B" w:rsidRDefault="006E5A77">
            <w:pPr>
              <w:rPr>
                <w:rFonts w:cstheme="minorHAnsi"/>
                <w:sz w:val="22"/>
                <w:szCs w:val="22"/>
                <w:lang w:val="en-US"/>
              </w:rPr>
            </w:pPr>
            <w:r w:rsidRPr="0023722B">
              <w:rPr>
                <w:rFonts w:cstheme="minorHAnsi"/>
                <w:sz w:val="22"/>
                <w:szCs w:val="22"/>
                <w:lang w:val="en-US"/>
              </w:rPr>
              <w:t>Variant Effect</w:t>
            </w:r>
          </w:p>
        </w:tc>
        <w:tc>
          <w:tcPr>
            <w:tcW w:w="1758" w:type="dxa"/>
          </w:tcPr>
          <w:p w14:paraId="3D83F87A" w14:textId="48D89A4F" w:rsidR="006E5A77" w:rsidRPr="0023722B" w:rsidRDefault="00067826">
            <w:pPr>
              <w:rPr>
                <w:rFonts w:cstheme="minorHAnsi"/>
                <w:sz w:val="22"/>
                <w:szCs w:val="22"/>
                <w:lang w:val="en-US"/>
              </w:rPr>
            </w:pPr>
            <w:r w:rsidRPr="0023722B">
              <w:rPr>
                <w:rFonts w:cstheme="minorHAnsi"/>
                <w:sz w:val="22"/>
                <w:szCs w:val="22"/>
                <w:lang w:val="en-US"/>
              </w:rPr>
              <w:t xml:space="preserve">Variant </w:t>
            </w:r>
            <w:r w:rsidR="006E5A77" w:rsidRPr="0023722B">
              <w:rPr>
                <w:rFonts w:cstheme="minorHAnsi"/>
                <w:sz w:val="22"/>
                <w:szCs w:val="22"/>
                <w:lang w:val="en-US"/>
              </w:rPr>
              <w:t>versus wild type</w:t>
            </w:r>
            <w:r w:rsidRPr="0023722B">
              <w:rPr>
                <w:rFonts w:cstheme="minorHAnsi"/>
                <w:sz w:val="22"/>
                <w:szCs w:val="22"/>
                <w:lang w:val="en-US"/>
              </w:rPr>
              <w:t xml:space="preserve"> mRNA drawing by VARNA</w:t>
            </w:r>
            <w:r w:rsidR="0023722B">
              <w:rPr>
                <w:rFonts w:cstheme="minorHAnsi"/>
                <w:sz w:val="22"/>
                <w:szCs w:val="22"/>
                <w:lang w:val="en-US"/>
              </w:rPr>
              <w:t xml:space="preserve"> tool</w:t>
            </w:r>
          </w:p>
        </w:tc>
      </w:tr>
      <w:tr w:rsidR="006E5A77" w:rsidRPr="0023722B" w14:paraId="6FC6727C" w14:textId="0AE0434E" w:rsidTr="00DF75C9">
        <w:tc>
          <w:tcPr>
            <w:tcW w:w="988" w:type="dxa"/>
          </w:tcPr>
          <w:p w14:paraId="60E0FC71" w14:textId="34DFCDB6" w:rsidR="006E5A77" w:rsidRPr="0023722B" w:rsidRDefault="006E5A77">
            <w:pPr>
              <w:rPr>
                <w:rFonts w:cstheme="minorHAnsi"/>
                <w:sz w:val="22"/>
                <w:szCs w:val="22"/>
                <w:lang w:val="en-US"/>
              </w:rPr>
            </w:pPr>
            <w:r w:rsidRPr="0023722B">
              <w:rPr>
                <w:rFonts w:cstheme="minorHAnsi"/>
                <w:sz w:val="22"/>
                <w:szCs w:val="22"/>
                <w:lang w:val="en-US"/>
              </w:rPr>
              <w:t>4</w:t>
            </w:r>
          </w:p>
        </w:tc>
        <w:tc>
          <w:tcPr>
            <w:tcW w:w="4252" w:type="dxa"/>
          </w:tcPr>
          <w:p w14:paraId="32416D64" w14:textId="32E47321" w:rsidR="006E5A77" w:rsidRPr="0023722B" w:rsidRDefault="006E5A77">
            <w:pPr>
              <w:rPr>
                <w:rFonts w:cstheme="minorHAnsi"/>
                <w:sz w:val="22"/>
                <w:szCs w:val="22"/>
                <w:lang w:val="en-US"/>
              </w:rPr>
            </w:pPr>
            <w:r w:rsidRPr="0023722B">
              <w:rPr>
                <w:rFonts w:cstheme="minorHAnsi"/>
                <w:sz w:val="22"/>
                <w:szCs w:val="22"/>
                <w:lang w:val="en-US"/>
              </w:rPr>
              <w:t>Female</w:t>
            </w:r>
            <w:r w:rsidR="003373A6" w:rsidRPr="0023722B">
              <w:rPr>
                <w:rFonts w:cstheme="minorHAnsi"/>
                <w:sz w:val="22"/>
                <w:szCs w:val="22"/>
                <w:lang w:val="en-US"/>
              </w:rPr>
              <w:t>,</w:t>
            </w:r>
            <w:r w:rsidRPr="0023722B">
              <w:rPr>
                <w:rFonts w:cstheme="minorHAnsi"/>
                <w:sz w:val="22"/>
                <w:szCs w:val="22"/>
                <w:lang w:val="en-US"/>
              </w:rPr>
              <w:t xml:space="preserve"> one-year-ol</w:t>
            </w:r>
            <w:r w:rsidR="003373A6" w:rsidRPr="0023722B">
              <w:rPr>
                <w:rFonts w:cstheme="minorHAnsi"/>
                <w:sz w:val="22"/>
                <w:szCs w:val="22"/>
                <w:lang w:val="en-US"/>
              </w:rPr>
              <w:t>d</w:t>
            </w:r>
            <w:r w:rsidRPr="0023722B">
              <w:rPr>
                <w:rFonts w:cstheme="minorHAnsi"/>
                <w:sz w:val="22"/>
                <w:szCs w:val="22"/>
                <w:lang w:val="en-US"/>
              </w:rPr>
              <w:t xml:space="preserve">, 35-year-old mother, presenting microcephaly, MRI showing lobar holoprosencephaly and corpus callosum agenesis, sparse anterior and posterior scalp hair, ocular hypotelorism, bilateral cleft of lip and palate, flat nose, retrognathia, and non-craniofacial defects. </w:t>
            </w:r>
            <w:r w:rsidR="0023722B">
              <w:rPr>
                <w:rFonts w:cstheme="minorHAnsi"/>
                <w:sz w:val="22"/>
                <w:szCs w:val="22"/>
                <w:lang w:val="en-US"/>
              </w:rPr>
              <w:t>The</w:t>
            </w:r>
            <w:r w:rsidRPr="0023722B">
              <w:rPr>
                <w:rFonts w:cstheme="minorHAnsi"/>
                <w:sz w:val="22"/>
                <w:szCs w:val="22"/>
                <w:lang w:val="en-US"/>
              </w:rPr>
              <w:t xml:space="preserve"> variant </w:t>
            </w:r>
            <w:proofErr w:type="gramStart"/>
            <w:r w:rsidRPr="0023722B">
              <w:rPr>
                <w:rFonts w:cstheme="minorHAnsi"/>
                <w:sz w:val="22"/>
                <w:szCs w:val="22"/>
                <w:lang w:val="en-US"/>
              </w:rPr>
              <w:t>was inherited</w:t>
            </w:r>
            <w:proofErr w:type="gramEnd"/>
            <w:r w:rsidRPr="0023722B">
              <w:rPr>
                <w:rFonts w:cstheme="minorHAnsi"/>
                <w:sz w:val="22"/>
                <w:szCs w:val="22"/>
                <w:lang w:val="en-US"/>
              </w:rPr>
              <w:t xml:space="preserve"> from her father.</w:t>
            </w:r>
          </w:p>
        </w:tc>
        <w:tc>
          <w:tcPr>
            <w:tcW w:w="2268" w:type="dxa"/>
          </w:tcPr>
          <w:p w14:paraId="797C4B43" w14:textId="412EA711" w:rsidR="006E5A77" w:rsidRPr="0023722B" w:rsidRDefault="006E5A77">
            <w:pPr>
              <w:rPr>
                <w:rFonts w:cstheme="minorHAnsi"/>
                <w:sz w:val="22"/>
                <w:szCs w:val="22"/>
                <w:lang w:val="en-US"/>
              </w:rPr>
            </w:pPr>
            <w:r w:rsidRPr="0023722B">
              <w:rPr>
                <w:rFonts w:cstheme="minorHAnsi"/>
                <w:i/>
                <w:iCs/>
                <w:sz w:val="22"/>
                <w:szCs w:val="22"/>
                <w:lang w:val="en-US"/>
              </w:rPr>
              <w:t>SHH</w:t>
            </w:r>
            <w:r w:rsidRPr="0023722B">
              <w:rPr>
                <w:rFonts w:cstheme="minorHAnsi"/>
                <w:sz w:val="22"/>
                <w:szCs w:val="22"/>
                <w:lang w:val="en-US"/>
              </w:rPr>
              <w:t xml:space="preserve"> </w:t>
            </w:r>
            <w:proofErr w:type="spellStart"/>
            <w:r w:rsidR="00D84257" w:rsidRPr="0023722B">
              <w:rPr>
                <w:rFonts w:cstheme="minorHAnsi"/>
                <w:sz w:val="22"/>
                <w:szCs w:val="22"/>
                <w:lang w:val="en-US"/>
              </w:rPr>
              <w:t>sSNV</w:t>
            </w:r>
            <w:proofErr w:type="spellEnd"/>
            <w:r w:rsidR="00D84257" w:rsidRPr="0023722B">
              <w:rPr>
                <w:rFonts w:cstheme="minorHAnsi"/>
                <w:sz w:val="22"/>
                <w:szCs w:val="22"/>
                <w:lang w:val="en-US"/>
              </w:rPr>
              <w:t xml:space="preserve"> </w:t>
            </w:r>
            <w:r w:rsidRPr="0023722B">
              <w:rPr>
                <w:rFonts w:cstheme="minorHAnsi"/>
                <w:sz w:val="22"/>
                <w:szCs w:val="22"/>
                <w:lang w:val="en-US"/>
              </w:rPr>
              <w:t xml:space="preserve">(rs9333635; c.897G&gt;C, </w:t>
            </w:r>
            <w:proofErr w:type="gramStart"/>
            <w:r w:rsidRPr="0023722B">
              <w:rPr>
                <w:rFonts w:cstheme="minorHAnsi"/>
                <w:sz w:val="22"/>
                <w:szCs w:val="22"/>
                <w:lang w:val="en-US"/>
              </w:rPr>
              <w:t>p.Leu</w:t>
            </w:r>
            <w:proofErr w:type="gramEnd"/>
            <w:r w:rsidRPr="0023722B">
              <w:rPr>
                <w:rFonts w:cstheme="minorHAnsi"/>
                <w:sz w:val="22"/>
                <w:szCs w:val="22"/>
                <w:lang w:val="en-US"/>
              </w:rPr>
              <w:t>299=)</w:t>
            </w:r>
          </w:p>
          <w:p w14:paraId="7AA9F761" w14:textId="77777777" w:rsidR="006E5A77" w:rsidRPr="0023722B" w:rsidRDefault="006E5A77">
            <w:pPr>
              <w:rPr>
                <w:rFonts w:cstheme="minorHAnsi"/>
                <w:sz w:val="22"/>
                <w:szCs w:val="22"/>
                <w:lang w:val="en-US"/>
              </w:rPr>
            </w:pPr>
          </w:p>
          <w:p w14:paraId="130E7637" w14:textId="1E6D6DC8" w:rsidR="006E5A77" w:rsidRPr="0023722B" w:rsidRDefault="006E5A77">
            <w:pPr>
              <w:rPr>
                <w:rFonts w:cstheme="minorHAnsi"/>
                <w:sz w:val="22"/>
                <w:szCs w:val="22"/>
                <w:lang w:val="en-US"/>
              </w:rPr>
            </w:pPr>
            <w:r w:rsidRPr="0023722B">
              <w:rPr>
                <w:rFonts w:cstheme="minorHAnsi"/>
                <w:sz w:val="22"/>
                <w:szCs w:val="22"/>
                <w:lang w:val="en-US"/>
              </w:rPr>
              <w:t>0 - 0,99%</w:t>
            </w:r>
          </w:p>
        </w:tc>
        <w:tc>
          <w:tcPr>
            <w:tcW w:w="2552" w:type="dxa"/>
          </w:tcPr>
          <w:p w14:paraId="50B91F48" w14:textId="25F7F0C3" w:rsidR="006E5A77" w:rsidRPr="0023722B" w:rsidRDefault="00067826">
            <w:pPr>
              <w:rPr>
                <w:rFonts w:cstheme="minorHAnsi"/>
                <w:sz w:val="22"/>
                <w:szCs w:val="22"/>
                <w:lang w:val="en-US"/>
              </w:rPr>
            </w:pPr>
            <w:r w:rsidRPr="0023722B">
              <w:rPr>
                <w:rFonts w:cstheme="minorHAnsi"/>
                <w:sz w:val="22"/>
                <w:szCs w:val="22"/>
                <w:lang w:val="en-US"/>
              </w:rPr>
              <w:t xml:space="preserve">HSF: </w:t>
            </w:r>
            <w:r w:rsidR="006E5A77" w:rsidRPr="0023722B">
              <w:rPr>
                <w:rFonts w:cstheme="minorHAnsi"/>
                <w:sz w:val="22"/>
                <w:szCs w:val="22"/>
                <w:lang w:val="en-US"/>
              </w:rPr>
              <w:t>Potentially causes an alteration of splicing by modification of an ESE site.</w:t>
            </w:r>
          </w:p>
          <w:p w14:paraId="23B8F07E" w14:textId="77777777" w:rsidR="006E5A77" w:rsidRPr="0023722B" w:rsidRDefault="006E5A77">
            <w:pPr>
              <w:rPr>
                <w:rFonts w:cstheme="minorHAnsi"/>
                <w:sz w:val="22"/>
                <w:szCs w:val="22"/>
                <w:lang w:val="en-US"/>
              </w:rPr>
            </w:pPr>
          </w:p>
          <w:p w14:paraId="2CD9CA23" w14:textId="261252E5" w:rsidR="006E5A77" w:rsidRPr="0023722B" w:rsidRDefault="00067826" w:rsidP="00067826">
            <w:pPr>
              <w:autoSpaceDE w:val="0"/>
              <w:autoSpaceDN w:val="0"/>
              <w:adjustRightInd w:val="0"/>
              <w:rPr>
                <w:rFonts w:cstheme="minorHAnsi"/>
                <w:sz w:val="22"/>
                <w:szCs w:val="22"/>
                <w:lang w:val="en-US"/>
              </w:rPr>
            </w:pPr>
            <w:r w:rsidRPr="0023722B">
              <w:rPr>
                <w:rFonts w:cstheme="minorHAnsi"/>
                <w:sz w:val="22"/>
                <w:szCs w:val="22"/>
                <w:lang w:val="en-US"/>
              </w:rPr>
              <w:t xml:space="preserve">Kim et al., 2020: Alterations of codon usage, protein misfolding, and degradation; </w:t>
            </w:r>
            <w:r w:rsidR="006E5A77" w:rsidRPr="0023722B">
              <w:rPr>
                <w:rFonts w:cstheme="minorHAnsi"/>
                <w:sz w:val="22"/>
                <w:szCs w:val="22"/>
                <w:lang w:val="en-US"/>
              </w:rPr>
              <w:t>13%</w:t>
            </w:r>
            <w:r w:rsidRPr="0023722B">
              <w:rPr>
                <w:rFonts w:cstheme="minorHAnsi"/>
                <w:sz w:val="22"/>
                <w:szCs w:val="22"/>
                <w:lang w:val="en-US"/>
              </w:rPr>
              <w:t xml:space="preserve"> reduction of SHH amount in cell assay.</w:t>
            </w:r>
          </w:p>
        </w:tc>
        <w:tc>
          <w:tcPr>
            <w:tcW w:w="1758" w:type="dxa"/>
          </w:tcPr>
          <w:p w14:paraId="5882B8CA" w14:textId="606489D3" w:rsidR="006E5A77" w:rsidRPr="0023722B" w:rsidRDefault="00067826">
            <w:pPr>
              <w:rPr>
                <w:rFonts w:cstheme="minorHAnsi"/>
                <w:sz w:val="22"/>
                <w:szCs w:val="22"/>
                <w:lang w:val="en-US"/>
              </w:rPr>
            </w:pPr>
            <w:r w:rsidRPr="0023722B">
              <w:rPr>
                <w:rFonts w:cstheme="minorHAnsi"/>
                <w:sz w:val="22"/>
                <w:szCs w:val="22"/>
                <w:lang w:val="en-US"/>
              </w:rPr>
              <w:t xml:space="preserve">Highly </w:t>
            </w:r>
            <w:r w:rsidR="00D84257" w:rsidRPr="0023722B">
              <w:rPr>
                <w:rFonts w:cstheme="minorHAnsi"/>
                <w:sz w:val="22"/>
                <w:szCs w:val="22"/>
                <w:lang w:val="en-US"/>
              </w:rPr>
              <w:t>changed</w:t>
            </w:r>
            <w:r w:rsidR="00271538" w:rsidRPr="0023722B">
              <w:rPr>
                <w:rFonts w:cstheme="minorHAnsi"/>
                <w:sz w:val="22"/>
                <w:szCs w:val="22"/>
                <w:lang w:val="en-US"/>
              </w:rPr>
              <w:t>.</w:t>
            </w:r>
          </w:p>
        </w:tc>
      </w:tr>
      <w:tr w:rsidR="006E5A77" w:rsidRPr="0023722B" w14:paraId="79B861DE" w14:textId="29F7F2BA" w:rsidTr="00DF75C9">
        <w:tc>
          <w:tcPr>
            <w:tcW w:w="988" w:type="dxa"/>
          </w:tcPr>
          <w:p w14:paraId="2B230505" w14:textId="08E38FE5" w:rsidR="006E5A77" w:rsidRPr="0023722B" w:rsidRDefault="006E5A77">
            <w:pPr>
              <w:rPr>
                <w:rFonts w:cstheme="minorHAnsi"/>
                <w:sz w:val="22"/>
                <w:szCs w:val="22"/>
                <w:lang w:val="en-US"/>
              </w:rPr>
            </w:pPr>
            <w:r w:rsidRPr="0023722B">
              <w:rPr>
                <w:rFonts w:cstheme="minorHAnsi"/>
                <w:sz w:val="22"/>
                <w:szCs w:val="22"/>
                <w:lang w:val="en-US"/>
              </w:rPr>
              <w:t>5</w:t>
            </w:r>
          </w:p>
        </w:tc>
        <w:tc>
          <w:tcPr>
            <w:tcW w:w="4252" w:type="dxa"/>
          </w:tcPr>
          <w:p w14:paraId="798461F6" w14:textId="1E4C4D0A" w:rsidR="006E5A77" w:rsidRPr="0023722B" w:rsidRDefault="003373A6">
            <w:pPr>
              <w:rPr>
                <w:rFonts w:cstheme="minorHAnsi"/>
                <w:sz w:val="22"/>
                <w:szCs w:val="22"/>
                <w:lang w:val="en-US"/>
              </w:rPr>
            </w:pPr>
            <w:r w:rsidRPr="0023722B">
              <w:rPr>
                <w:rFonts w:cstheme="minorHAnsi"/>
                <w:sz w:val="22"/>
                <w:szCs w:val="22"/>
                <w:lang w:val="en-US"/>
              </w:rPr>
              <w:t xml:space="preserve">Male, </w:t>
            </w:r>
            <w:r w:rsidR="00067826" w:rsidRPr="0023722B">
              <w:rPr>
                <w:rFonts w:cstheme="minorHAnsi"/>
                <w:sz w:val="22"/>
                <w:szCs w:val="22"/>
                <w:lang w:val="en-US"/>
              </w:rPr>
              <w:t>six-month-old, third pregnancy of mother 33, and father 36 years old, healthy and nonconsanguineous. At birth he presented alobar HPE by trans-fontanelle ultrasound, right microphthalmia, left eyelid coloboma with ipsilateral proptosis, arrhinia, premaxillary agenesis, right microtia, left dysmorphic ear with preauricular tags, and a complex heart disease.</w:t>
            </w:r>
          </w:p>
        </w:tc>
        <w:tc>
          <w:tcPr>
            <w:tcW w:w="2268" w:type="dxa"/>
          </w:tcPr>
          <w:p w14:paraId="21D6C2C2" w14:textId="1BFDFC59" w:rsidR="006E5A77" w:rsidRPr="0023722B" w:rsidRDefault="00D84257">
            <w:pPr>
              <w:rPr>
                <w:rFonts w:cstheme="minorHAnsi"/>
                <w:sz w:val="22"/>
                <w:szCs w:val="22"/>
                <w:lang w:val="en-US"/>
              </w:rPr>
            </w:pPr>
            <w:r w:rsidRPr="0023722B">
              <w:rPr>
                <w:rFonts w:cstheme="minorHAnsi"/>
                <w:i/>
                <w:iCs/>
                <w:sz w:val="22"/>
                <w:szCs w:val="22"/>
                <w:lang w:val="en-US"/>
              </w:rPr>
              <w:t>SHH</w:t>
            </w:r>
            <w:r w:rsidRPr="0023722B">
              <w:rPr>
                <w:rFonts w:cstheme="minorHAnsi"/>
                <w:sz w:val="22"/>
                <w:szCs w:val="22"/>
                <w:lang w:val="en-US"/>
              </w:rPr>
              <w:t xml:space="preserve"> </w:t>
            </w:r>
            <w:proofErr w:type="spellStart"/>
            <w:r w:rsidR="00271538" w:rsidRPr="0023722B">
              <w:rPr>
                <w:rFonts w:cstheme="minorHAnsi"/>
                <w:sz w:val="22"/>
                <w:szCs w:val="22"/>
                <w:lang w:val="en-US"/>
              </w:rPr>
              <w:t>s</w:t>
            </w:r>
            <w:r w:rsidRPr="0023722B">
              <w:rPr>
                <w:rFonts w:cstheme="minorHAnsi"/>
                <w:sz w:val="22"/>
                <w:szCs w:val="22"/>
                <w:lang w:val="en-US"/>
              </w:rPr>
              <w:t>SNV</w:t>
            </w:r>
            <w:proofErr w:type="spellEnd"/>
            <w:r w:rsidRPr="0023722B">
              <w:rPr>
                <w:rFonts w:cstheme="minorHAnsi"/>
                <w:sz w:val="22"/>
                <w:szCs w:val="22"/>
                <w:lang w:val="en-US"/>
              </w:rPr>
              <w:t xml:space="preserve"> (rs9333634; c.630C&gt;T, </w:t>
            </w:r>
            <w:proofErr w:type="gramStart"/>
            <w:r w:rsidRPr="0023722B">
              <w:rPr>
                <w:rFonts w:cstheme="minorHAnsi"/>
                <w:sz w:val="22"/>
                <w:szCs w:val="22"/>
                <w:lang w:val="en-US"/>
              </w:rPr>
              <w:t>p.Gly</w:t>
            </w:r>
            <w:proofErr w:type="gramEnd"/>
            <w:r w:rsidRPr="0023722B">
              <w:rPr>
                <w:rFonts w:cstheme="minorHAnsi"/>
                <w:sz w:val="22"/>
                <w:szCs w:val="22"/>
                <w:lang w:val="en-US"/>
              </w:rPr>
              <w:t>210=)</w:t>
            </w:r>
          </w:p>
          <w:p w14:paraId="0E598CEE" w14:textId="77777777" w:rsidR="00D84257" w:rsidRPr="0023722B" w:rsidRDefault="00D84257">
            <w:pPr>
              <w:rPr>
                <w:rFonts w:cstheme="minorHAnsi"/>
                <w:sz w:val="22"/>
                <w:szCs w:val="22"/>
                <w:lang w:val="en-US"/>
              </w:rPr>
            </w:pPr>
          </w:p>
          <w:p w14:paraId="66AF0FB4" w14:textId="14024D2E" w:rsidR="00D84257" w:rsidRPr="0023722B" w:rsidRDefault="00D84257">
            <w:pPr>
              <w:rPr>
                <w:rFonts w:cstheme="minorHAnsi"/>
                <w:sz w:val="22"/>
                <w:szCs w:val="22"/>
                <w:lang w:val="en-US"/>
              </w:rPr>
            </w:pPr>
            <w:r w:rsidRPr="0023722B">
              <w:rPr>
                <w:rFonts w:cstheme="minorHAnsi"/>
                <w:sz w:val="22"/>
                <w:szCs w:val="22"/>
                <w:lang w:val="en-US"/>
              </w:rPr>
              <w:t>0 - 3.85%</w:t>
            </w:r>
          </w:p>
        </w:tc>
        <w:tc>
          <w:tcPr>
            <w:tcW w:w="2552" w:type="dxa"/>
          </w:tcPr>
          <w:p w14:paraId="4FBA210B" w14:textId="531F446D" w:rsidR="006E5A77" w:rsidRPr="0023722B" w:rsidRDefault="00D84257">
            <w:pPr>
              <w:rPr>
                <w:rFonts w:cstheme="minorHAnsi"/>
                <w:sz w:val="22"/>
                <w:szCs w:val="22"/>
                <w:lang w:val="en-US"/>
              </w:rPr>
            </w:pPr>
            <w:r w:rsidRPr="0023722B">
              <w:rPr>
                <w:rFonts w:cstheme="minorHAnsi"/>
                <w:sz w:val="22"/>
                <w:szCs w:val="22"/>
                <w:lang w:val="en-US"/>
              </w:rPr>
              <w:t>HSF: Potentially causes an alteration of splicing by activation of an ECD site and creation of an ESS site.</w:t>
            </w:r>
          </w:p>
          <w:p w14:paraId="38B21094" w14:textId="77777777" w:rsidR="00D84257" w:rsidRPr="0023722B" w:rsidRDefault="00D84257">
            <w:pPr>
              <w:rPr>
                <w:rFonts w:cstheme="minorHAnsi"/>
                <w:sz w:val="22"/>
                <w:szCs w:val="22"/>
                <w:lang w:val="en-US"/>
              </w:rPr>
            </w:pPr>
          </w:p>
          <w:p w14:paraId="64FA579C" w14:textId="343EC117" w:rsidR="00D84257" w:rsidRPr="0023722B" w:rsidRDefault="00D84257">
            <w:pPr>
              <w:rPr>
                <w:rFonts w:cstheme="minorHAnsi"/>
                <w:b/>
                <w:bCs/>
                <w:sz w:val="22"/>
                <w:szCs w:val="22"/>
                <w:lang w:val="en-US"/>
              </w:rPr>
            </w:pPr>
            <w:r w:rsidRPr="0023722B">
              <w:rPr>
                <w:rFonts w:cstheme="minorHAnsi"/>
                <w:sz w:val="22"/>
                <w:szCs w:val="22"/>
                <w:lang w:val="en-US"/>
              </w:rPr>
              <w:t>Kim et al., 2020: Alterations of codon usage, protein misfolding, and degradation; 5% reduction of SHH amount in cell assay.</w:t>
            </w:r>
          </w:p>
        </w:tc>
        <w:tc>
          <w:tcPr>
            <w:tcW w:w="1758" w:type="dxa"/>
          </w:tcPr>
          <w:p w14:paraId="28279F24" w14:textId="18E9E78B" w:rsidR="006E5A77" w:rsidRPr="0023722B" w:rsidRDefault="00D84257">
            <w:pPr>
              <w:rPr>
                <w:rFonts w:cstheme="minorHAnsi"/>
                <w:sz w:val="22"/>
                <w:szCs w:val="22"/>
                <w:lang w:val="en-US"/>
              </w:rPr>
            </w:pPr>
            <w:r w:rsidRPr="0023722B">
              <w:rPr>
                <w:rFonts w:cstheme="minorHAnsi"/>
                <w:sz w:val="22"/>
                <w:szCs w:val="22"/>
                <w:lang w:val="en-US"/>
              </w:rPr>
              <w:t>Slightly changed</w:t>
            </w:r>
            <w:r w:rsidR="00271538" w:rsidRPr="0023722B">
              <w:rPr>
                <w:rFonts w:cstheme="minorHAnsi"/>
                <w:sz w:val="22"/>
                <w:szCs w:val="22"/>
                <w:lang w:val="en-US"/>
              </w:rPr>
              <w:t>.</w:t>
            </w:r>
          </w:p>
        </w:tc>
      </w:tr>
      <w:tr w:rsidR="006E5A77" w:rsidRPr="0023722B" w14:paraId="77DDBA24" w14:textId="1310EC31" w:rsidTr="00DF75C9">
        <w:tc>
          <w:tcPr>
            <w:tcW w:w="988" w:type="dxa"/>
          </w:tcPr>
          <w:p w14:paraId="318F6F58" w14:textId="1D13F054" w:rsidR="006E5A77" w:rsidRPr="0023722B" w:rsidRDefault="006E5A77">
            <w:pPr>
              <w:rPr>
                <w:rFonts w:cstheme="minorHAnsi"/>
                <w:sz w:val="22"/>
                <w:szCs w:val="22"/>
                <w:lang w:val="en-US"/>
              </w:rPr>
            </w:pPr>
            <w:r w:rsidRPr="0023722B">
              <w:rPr>
                <w:rFonts w:cstheme="minorHAnsi"/>
                <w:sz w:val="22"/>
                <w:szCs w:val="22"/>
                <w:lang w:val="en-US"/>
              </w:rPr>
              <w:t>7</w:t>
            </w:r>
          </w:p>
        </w:tc>
        <w:tc>
          <w:tcPr>
            <w:tcW w:w="4252" w:type="dxa"/>
          </w:tcPr>
          <w:p w14:paraId="66AF59CF" w14:textId="3D28D035" w:rsidR="006E5A77" w:rsidRPr="0023722B" w:rsidRDefault="00271538">
            <w:pPr>
              <w:rPr>
                <w:rFonts w:cstheme="minorHAnsi"/>
                <w:sz w:val="22"/>
                <w:szCs w:val="22"/>
                <w:lang w:val="en-US"/>
              </w:rPr>
            </w:pPr>
            <w:r w:rsidRPr="0023722B">
              <w:rPr>
                <w:rFonts w:cstheme="minorHAnsi"/>
                <w:sz w:val="22"/>
                <w:szCs w:val="22"/>
                <w:lang w:val="en-US"/>
              </w:rPr>
              <w:t xml:space="preserve">Male stillbirth with a prenatal diagnosis of holoprosencephaly, arrhinia, and severe bilateral microphthalmia. At birth, he also presented severe oxycephaly, ocular </w:t>
            </w:r>
            <w:r w:rsidRPr="0023722B">
              <w:rPr>
                <w:rFonts w:cstheme="minorHAnsi"/>
                <w:sz w:val="22"/>
                <w:szCs w:val="22"/>
                <w:lang w:val="en-US"/>
              </w:rPr>
              <w:lastRenderedPageBreak/>
              <w:t>hypotelorism, bilateral microtia, and a rare median cleft of the lip and soft palate.</w:t>
            </w:r>
          </w:p>
        </w:tc>
        <w:tc>
          <w:tcPr>
            <w:tcW w:w="2268" w:type="dxa"/>
          </w:tcPr>
          <w:p w14:paraId="17B36470" w14:textId="72CA4EB6" w:rsidR="006E5A77" w:rsidRPr="0023722B" w:rsidRDefault="00271538">
            <w:pPr>
              <w:rPr>
                <w:rFonts w:cstheme="minorHAnsi"/>
                <w:sz w:val="22"/>
                <w:szCs w:val="22"/>
                <w:lang w:val="en-US"/>
              </w:rPr>
            </w:pPr>
            <w:r w:rsidRPr="0023722B">
              <w:rPr>
                <w:rFonts w:cstheme="minorHAnsi"/>
                <w:i/>
                <w:iCs/>
                <w:sz w:val="22"/>
                <w:szCs w:val="22"/>
                <w:lang w:val="en-US"/>
              </w:rPr>
              <w:lastRenderedPageBreak/>
              <w:t>SIX3</w:t>
            </w:r>
            <w:r w:rsidRPr="0023722B">
              <w:rPr>
                <w:rFonts w:cstheme="minorHAnsi"/>
                <w:sz w:val="22"/>
                <w:szCs w:val="22"/>
                <w:lang w:val="en-US"/>
              </w:rPr>
              <w:t xml:space="preserve"> </w:t>
            </w:r>
            <w:proofErr w:type="spellStart"/>
            <w:r w:rsidRPr="0023722B">
              <w:rPr>
                <w:rFonts w:cstheme="minorHAnsi"/>
                <w:sz w:val="22"/>
                <w:szCs w:val="22"/>
                <w:lang w:val="en-US"/>
              </w:rPr>
              <w:t>sSNV</w:t>
            </w:r>
            <w:proofErr w:type="spellEnd"/>
            <w:r w:rsidRPr="0023722B">
              <w:rPr>
                <w:rFonts w:cstheme="minorHAnsi"/>
                <w:sz w:val="22"/>
                <w:szCs w:val="22"/>
                <w:lang w:val="en-US"/>
              </w:rPr>
              <w:t xml:space="preserve"> (rs186163123; c.219C&gt;T, </w:t>
            </w:r>
            <w:proofErr w:type="gramStart"/>
            <w:r w:rsidRPr="0023722B">
              <w:rPr>
                <w:rFonts w:cstheme="minorHAnsi"/>
                <w:sz w:val="22"/>
                <w:szCs w:val="22"/>
                <w:lang w:val="en-US"/>
              </w:rPr>
              <w:t>p.Pro</w:t>
            </w:r>
            <w:proofErr w:type="gramEnd"/>
            <w:r w:rsidRPr="0023722B">
              <w:rPr>
                <w:rFonts w:cstheme="minorHAnsi"/>
                <w:sz w:val="22"/>
                <w:szCs w:val="22"/>
                <w:lang w:val="en-US"/>
              </w:rPr>
              <w:t>73=)</w:t>
            </w:r>
          </w:p>
          <w:p w14:paraId="7F500C4F" w14:textId="77777777" w:rsidR="00271538" w:rsidRPr="0023722B" w:rsidRDefault="00271538">
            <w:pPr>
              <w:rPr>
                <w:rFonts w:cstheme="minorHAnsi"/>
                <w:sz w:val="22"/>
                <w:szCs w:val="22"/>
                <w:lang w:val="en-US"/>
              </w:rPr>
            </w:pPr>
          </w:p>
          <w:p w14:paraId="7015480B" w14:textId="1634841A" w:rsidR="00271538" w:rsidRPr="0023722B" w:rsidRDefault="00271538">
            <w:pPr>
              <w:rPr>
                <w:rFonts w:cstheme="minorHAnsi"/>
                <w:sz w:val="22"/>
                <w:szCs w:val="22"/>
                <w:lang w:val="en-US"/>
              </w:rPr>
            </w:pPr>
            <w:r w:rsidRPr="0023722B">
              <w:rPr>
                <w:rFonts w:cstheme="minorHAnsi"/>
                <w:sz w:val="22"/>
                <w:szCs w:val="22"/>
                <w:lang w:val="en-US"/>
              </w:rPr>
              <w:lastRenderedPageBreak/>
              <w:t>0.01 - 0.15%</w:t>
            </w:r>
          </w:p>
        </w:tc>
        <w:tc>
          <w:tcPr>
            <w:tcW w:w="2552" w:type="dxa"/>
          </w:tcPr>
          <w:p w14:paraId="7B79B2C5" w14:textId="7EA51A01" w:rsidR="006E5A77" w:rsidRPr="0023722B" w:rsidRDefault="00271538">
            <w:pPr>
              <w:rPr>
                <w:rFonts w:cstheme="minorHAnsi"/>
                <w:sz w:val="22"/>
                <w:szCs w:val="22"/>
                <w:lang w:val="en-US"/>
              </w:rPr>
            </w:pPr>
            <w:r w:rsidRPr="0023722B">
              <w:rPr>
                <w:rFonts w:cstheme="minorHAnsi"/>
                <w:sz w:val="22"/>
                <w:szCs w:val="22"/>
                <w:lang w:val="en-US"/>
              </w:rPr>
              <w:lastRenderedPageBreak/>
              <w:t>HSF: Potentially produces an alteration of an ESE site</w:t>
            </w:r>
          </w:p>
        </w:tc>
        <w:tc>
          <w:tcPr>
            <w:tcW w:w="1758" w:type="dxa"/>
          </w:tcPr>
          <w:p w14:paraId="0B41CB8D" w14:textId="3A8845C8" w:rsidR="006E5A77" w:rsidRPr="0023722B" w:rsidRDefault="00271538">
            <w:pPr>
              <w:rPr>
                <w:rFonts w:cstheme="minorHAnsi"/>
                <w:sz w:val="22"/>
                <w:szCs w:val="22"/>
                <w:lang w:val="en-US"/>
              </w:rPr>
            </w:pPr>
            <w:r w:rsidRPr="0023722B">
              <w:rPr>
                <w:rFonts w:cstheme="minorHAnsi"/>
                <w:sz w:val="22"/>
                <w:szCs w:val="22"/>
                <w:lang w:val="en-US"/>
              </w:rPr>
              <w:t>Not changed.</w:t>
            </w:r>
          </w:p>
        </w:tc>
      </w:tr>
      <w:tr w:rsidR="006E5A77" w:rsidRPr="0023722B" w14:paraId="7CD0FBAF" w14:textId="762A9917" w:rsidTr="00DF75C9">
        <w:tc>
          <w:tcPr>
            <w:tcW w:w="988" w:type="dxa"/>
          </w:tcPr>
          <w:p w14:paraId="103AFC61" w14:textId="20F77978" w:rsidR="006E5A77" w:rsidRPr="0023722B" w:rsidRDefault="006E5A77">
            <w:pPr>
              <w:rPr>
                <w:rFonts w:cstheme="minorHAnsi"/>
                <w:sz w:val="22"/>
                <w:szCs w:val="22"/>
                <w:lang w:val="en-US"/>
              </w:rPr>
            </w:pPr>
            <w:r w:rsidRPr="0023722B">
              <w:rPr>
                <w:rFonts w:cstheme="minorHAnsi"/>
                <w:sz w:val="22"/>
                <w:szCs w:val="22"/>
                <w:lang w:val="en-US"/>
              </w:rPr>
              <w:t>8</w:t>
            </w:r>
          </w:p>
        </w:tc>
        <w:tc>
          <w:tcPr>
            <w:tcW w:w="4252" w:type="dxa"/>
          </w:tcPr>
          <w:p w14:paraId="41F0CE1C" w14:textId="2ADCE349" w:rsidR="006E5A77" w:rsidRPr="0023722B" w:rsidRDefault="00271538">
            <w:pPr>
              <w:rPr>
                <w:rFonts w:cstheme="minorHAnsi"/>
                <w:sz w:val="22"/>
                <w:szCs w:val="22"/>
                <w:lang w:val="en-US"/>
              </w:rPr>
            </w:pPr>
            <w:r w:rsidRPr="0023722B">
              <w:rPr>
                <w:rFonts w:cstheme="minorHAnsi"/>
                <w:sz w:val="22"/>
                <w:szCs w:val="22"/>
                <w:lang w:val="en-US"/>
              </w:rPr>
              <w:t>Male, 105-days-old, 30-year-old mother, presented HPE with no further specified type, anterior narrowing of the nasal fossa, bilateral stenosis of the piriform opening, SMMCI, and lacrimal ducts stenosis.</w:t>
            </w:r>
          </w:p>
        </w:tc>
        <w:tc>
          <w:tcPr>
            <w:tcW w:w="2268" w:type="dxa"/>
          </w:tcPr>
          <w:p w14:paraId="5358FC41" w14:textId="77777777" w:rsidR="006E5A77" w:rsidRPr="0023722B" w:rsidRDefault="00271538">
            <w:pPr>
              <w:rPr>
                <w:rFonts w:cstheme="minorHAnsi"/>
                <w:sz w:val="22"/>
                <w:szCs w:val="22"/>
                <w:lang w:val="en-US"/>
              </w:rPr>
            </w:pPr>
            <w:r w:rsidRPr="0023722B">
              <w:rPr>
                <w:rFonts w:cstheme="minorHAnsi"/>
                <w:i/>
                <w:iCs/>
                <w:sz w:val="22"/>
                <w:szCs w:val="22"/>
                <w:lang w:val="en-US"/>
              </w:rPr>
              <w:t>SIX3</w:t>
            </w:r>
            <w:r w:rsidRPr="0023722B">
              <w:rPr>
                <w:rFonts w:cstheme="minorHAnsi"/>
                <w:sz w:val="22"/>
                <w:szCs w:val="22"/>
                <w:lang w:val="en-US"/>
              </w:rPr>
              <w:t> </w:t>
            </w:r>
            <w:proofErr w:type="spellStart"/>
            <w:r w:rsidRPr="0023722B">
              <w:rPr>
                <w:rFonts w:cstheme="minorHAnsi"/>
                <w:sz w:val="22"/>
                <w:szCs w:val="22"/>
                <w:lang w:val="en-US"/>
              </w:rPr>
              <w:t>sSNV</w:t>
            </w:r>
            <w:proofErr w:type="spellEnd"/>
            <w:r w:rsidRPr="0023722B" w:rsidDel="00D31AEF">
              <w:rPr>
                <w:rFonts w:cstheme="minorHAnsi"/>
                <w:sz w:val="22"/>
                <w:szCs w:val="22"/>
                <w:lang w:val="en-US"/>
              </w:rPr>
              <w:t xml:space="preserve"> </w:t>
            </w:r>
            <w:r w:rsidRPr="0023722B">
              <w:rPr>
                <w:rFonts w:cstheme="minorHAnsi"/>
                <w:sz w:val="22"/>
                <w:szCs w:val="22"/>
                <w:lang w:val="en-US"/>
              </w:rPr>
              <w:t xml:space="preserve">c.576C&gt; T, </w:t>
            </w:r>
            <w:proofErr w:type="gramStart"/>
            <w:r w:rsidRPr="0023722B">
              <w:rPr>
                <w:rFonts w:cstheme="minorHAnsi"/>
                <w:sz w:val="22"/>
                <w:szCs w:val="22"/>
                <w:lang w:val="en-US"/>
              </w:rPr>
              <w:t>p.Arg</w:t>
            </w:r>
            <w:proofErr w:type="gramEnd"/>
            <w:r w:rsidRPr="0023722B">
              <w:rPr>
                <w:rFonts w:cstheme="minorHAnsi"/>
                <w:sz w:val="22"/>
                <w:szCs w:val="22"/>
                <w:lang w:val="en-US"/>
              </w:rPr>
              <w:t>192=, rs182881</w:t>
            </w:r>
          </w:p>
          <w:p w14:paraId="775B8022" w14:textId="77777777" w:rsidR="00271538" w:rsidRPr="0023722B" w:rsidRDefault="00271538">
            <w:pPr>
              <w:rPr>
                <w:rFonts w:cstheme="minorHAnsi"/>
                <w:sz w:val="22"/>
                <w:szCs w:val="22"/>
                <w:lang w:val="en-US"/>
              </w:rPr>
            </w:pPr>
          </w:p>
          <w:p w14:paraId="4E1FDCD7" w14:textId="61F5EFDA" w:rsidR="00271538" w:rsidRPr="0023722B" w:rsidRDefault="00271538">
            <w:pPr>
              <w:rPr>
                <w:rFonts w:cstheme="minorHAnsi"/>
                <w:sz w:val="22"/>
                <w:szCs w:val="22"/>
                <w:lang w:val="en-US"/>
              </w:rPr>
            </w:pPr>
            <w:r w:rsidRPr="0023722B">
              <w:rPr>
                <w:rFonts w:cstheme="minorHAnsi"/>
                <w:sz w:val="22"/>
                <w:szCs w:val="22"/>
                <w:lang w:val="en-US"/>
              </w:rPr>
              <w:t>0.12 - 4.87%</w:t>
            </w:r>
          </w:p>
        </w:tc>
        <w:tc>
          <w:tcPr>
            <w:tcW w:w="2552" w:type="dxa"/>
          </w:tcPr>
          <w:p w14:paraId="376807B0" w14:textId="0D2BE405" w:rsidR="006E5A77" w:rsidRPr="0023722B" w:rsidRDefault="00271538" w:rsidP="003373A6">
            <w:pPr>
              <w:spacing w:after="120"/>
              <w:rPr>
                <w:rFonts w:cstheme="minorHAnsi"/>
                <w:sz w:val="22"/>
                <w:szCs w:val="22"/>
                <w:lang w:val="en-US"/>
              </w:rPr>
            </w:pPr>
            <w:r w:rsidRPr="0023722B">
              <w:rPr>
                <w:rFonts w:cstheme="minorHAnsi"/>
                <w:sz w:val="22"/>
                <w:szCs w:val="22"/>
                <w:lang w:val="en-US"/>
              </w:rPr>
              <w:t>HSF: Potentially induces alteration of splicing by modification of an ESE site, activation of an ECD site, and creation of an ESS site.</w:t>
            </w:r>
          </w:p>
        </w:tc>
        <w:tc>
          <w:tcPr>
            <w:tcW w:w="1758" w:type="dxa"/>
          </w:tcPr>
          <w:p w14:paraId="5B400263" w14:textId="4F018C57" w:rsidR="006E5A77" w:rsidRPr="0023722B" w:rsidRDefault="00DF75C9">
            <w:pPr>
              <w:rPr>
                <w:rFonts w:cstheme="minorHAnsi"/>
                <w:sz w:val="22"/>
                <w:szCs w:val="22"/>
                <w:lang w:val="en-US"/>
              </w:rPr>
            </w:pPr>
            <w:r w:rsidRPr="0023722B">
              <w:rPr>
                <w:rFonts w:cstheme="minorHAnsi"/>
                <w:sz w:val="22"/>
                <w:szCs w:val="22"/>
                <w:lang w:val="en-US"/>
              </w:rPr>
              <w:t>Highly changed.</w:t>
            </w:r>
          </w:p>
        </w:tc>
      </w:tr>
      <w:tr w:rsidR="006E5A77" w:rsidRPr="0023722B" w14:paraId="49217651" w14:textId="41A873B2" w:rsidTr="00DF75C9">
        <w:tc>
          <w:tcPr>
            <w:tcW w:w="988" w:type="dxa"/>
          </w:tcPr>
          <w:p w14:paraId="78545D3C" w14:textId="50FBB7DA" w:rsidR="006E5A77" w:rsidRPr="0023722B" w:rsidRDefault="006E5A77">
            <w:pPr>
              <w:rPr>
                <w:rFonts w:cstheme="minorHAnsi"/>
                <w:sz w:val="22"/>
                <w:szCs w:val="22"/>
                <w:lang w:val="en-US"/>
              </w:rPr>
            </w:pPr>
            <w:r w:rsidRPr="0023722B">
              <w:rPr>
                <w:rFonts w:cstheme="minorHAnsi"/>
                <w:sz w:val="22"/>
                <w:szCs w:val="22"/>
                <w:lang w:val="en-US"/>
              </w:rPr>
              <w:t>9</w:t>
            </w:r>
          </w:p>
        </w:tc>
        <w:tc>
          <w:tcPr>
            <w:tcW w:w="4252" w:type="dxa"/>
          </w:tcPr>
          <w:p w14:paraId="5789BFF4" w14:textId="2017BF03" w:rsidR="006E5A77" w:rsidRPr="0023722B" w:rsidRDefault="006648AE">
            <w:pPr>
              <w:rPr>
                <w:rFonts w:cstheme="minorHAnsi"/>
                <w:sz w:val="22"/>
                <w:szCs w:val="22"/>
                <w:lang w:val="en-US"/>
              </w:rPr>
            </w:pPr>
            <w:r w:rsidRPr="0023722B">
              <w:rPr>
                <w:rFonts w:cstheme="minorHAnsi"/>
                <w:sz w:val="22"/>
                <w:szCs w:val="22"/>
                <w:lang w:val="en-US"/>
              </w:rPr>
              <w:t xml:space="preserve">Male newborn, presenting cerebral CT scan with </w:t>
            </w:r>
            <w:proofErr w:type="spellStart"/>
            <w:r w:rsidRPr="0023722B">
              <w:rPr>
                <w:rFonts w:cstheme="minorHAnsi"/>
                <w:sz w:val="22"/>
                <w:szCs w:val="22"/>
                <w:lang w:val="en-US"/>
              </w:rPr>
              <w:t>semilobar</w:t>
            </w:r>
            <w:proofErr w:type="spellEnd"/>
            <w:r w:rsidRPr="0023722B">
              <w:rPr>
                <w:rFonts w:cstheme="minorHAnsi"/>
                <w:sz w:val="22"/>
                <w:szCs w:val="22"/>
                <w:lang w:val="en-US"/>
              </w:rPr>
              <w:t xml:space="preserve"> HPE, hydrocephaly, cranial asymmetry with open cranial sutures, and no facial clefts.</w:t>
            </w:r>
          </w:p>
        </w:tc>
        <w:tc>
          <w:tcPr>
            <w:tcW w:w="2268" w:type="dxa"/>
          </w:tcPr>
          <w:p w14:paraId="783CBE3F" w14:textId="77777777" w:rsidR="006E5A77" w:rsidRPr="0023722B" w:rsidRDefault="006648AE">
            <w:pPr>
              <w:rPr>
                <w:rFonts w:cstheme="minorHAnsi"/>
                <w:sz w:val="22"/>
                <w:szCs w:val="22"/>
                <w:lang w:val="en-US"/>
              </w:rPr>
            </w:pPr>
            <w:r w:rsidRPr="0023722B">
              <w:rPr>
                <w:rFonts w:cstheme="minorHAnsi"/>
                <w:i/>
                <w:iCs/>
                <w:sz w:val="22"/>
                <w:szCs w:val="22"/>
                <w:lang w:val="en-US"/>
              </w:rPr>
              <w:t>ZIC2</w:t>
            </w:r>
            <w:r w:rsidRPr="0023722B">
              <w:rPr>
                <w:rFonts w:cstheme="minorHAnsi"/>
                <w:sz w:val="22"/>
                <w:szCs w:val="22"/>
                <w:lang w:val="en-US"/>
              </w:rPr>
              <w:t> </w:t>
            </w:r>
            <w:proofErr w:type="spellStart"/>
            <w:r w:rsidRPr="0023722B">
              <w:rPr>
                <w:rFonts w:cstheme="minorHAnsi"/>
                <w:sz w:val="22"/>
                <w:szCs w:val="22"/>
                <w:lang w:val="en-US"/>
              </w:rPr>
              <w:t>sSNV</w:t>
            </w:r>
            <w:proofErr w:type="spellEnd"/>
            <w:r w:rsidRPr="0023722B">
              <w:rPr>
                <w:rFonts w:cstheme="minorHAnsi"/>
                <w:sz w:val="22"/>
                <w:szCs w:val="22"/>
                <w:lang w:val="en-US"/>
              </w:rPr>
              <w:t xml:space="preserve"> (</w:t>
            </w:r>
            <w:r w:rsidRPr="0023722B">
              <w:rPr>
                <w:rFonts w:cstheme="minorHAnsi"/>
                <w:color w:val="000000"/>
                <w:sz w:val="22"/>
                <w:szCs w:val="22"/>
                <w:lang w:val="en-US"/>
              </w:rPr>
              <w:t>c.716_718dupACC</w:t>
            </w:r>
            <w:r w:rsidRPr="0023722B">
              <w:rPr>
                <w:rFonts w:cstheme="minorHAnsi"/>
                <w:sz w:val="22"/>
                <w:szCs w:val="22"/>
                <w:lang w:val="en-US"/>
              </w:rPr>
              <w:t xml:space="preserve">, </w:t>
            </w:r>
            <w:proofErr w:type="gramStart"/>
            <w:r w:rsidRPr="0023722B">
              <w:rPr>
                <w:rFonts w:cstheme="minorHAnsi"/>
                <w:sz w:val="22"/>
                <w:szCs w:val="22"/>
                <w:lang w:val="en-US"/>
              </w:rPr>
              <w:t>p.His</w:t>
            </w:r>
            <w:proofErr w:type="gramEnd"/>
            <w:r w:rsidRPr="0023722B">
              <w:rPr>
                <w:rFonts w:cstheme="minorHAnsi"/>
                <w:sz w:val="22"/>
                <w:szCs w:val="22"/>
                <w:lang w:val="en-US"/>
              </w:rPr>
              <w:t>239dup,  rs398124241)</w:t>
            </w:r>
          </w:p>
          <w:p w14:paraId="493C5BCB" w14:textId="77777777" w:rsidR="006648AE" w:rsidRPr="0023722B" w:rsidRDefault="006648AE">
            <w:pPr>
              <w:rPr>
                <w:rFonts w:cstheme="minorHAnsi"/>
                <w:sz w:val="22"/>
                <w:szCs w:val="22"/>
                <w:lang w:val="en-US"/>
              </w:rPr>
            </w:pPr>
          </w:p>
          <w:p w14:paraId="5A95E8E7" w14:textId="52E8E714" w:rsidR="006648AE" w:rsidRPr="0023722B" w:rsidRDefault="006648AE">
            <w:pPr>
              <w:rPr>
                <w:rFonts w:cstheme="minorHAnsi"/>
                <w:sz w:val="22"/>
                <w:szCs w:val="22"/>
                <w:lang w:val="en-US"/>
              </w:rPr>
            </w:pPr>
            <w:bookmarkStart w:id="0" w:name="_Hlk43280987"/>
            <w:r w:rsidRPr="0023722B">
              <w:rPr>
                <w:rFonts w:cstheme="minorHAnsi"/>
                <w:sz w:val="22"/>
                <w:szCs w:val="22"/>
                <w:lang w:val="en-US"/>
              </w:rPr>
              <w:t>0.07 - 12.70%</w:t>
            </w:r>
            <w:bookmarkEnd w:id="0"/>
          </w:p>
        </w:tc>
        <w:tc>
          <w:tcPr>
            <w:tcW w:w="2552" w:type="dxa"/>
          </w:tcPr>
          <w:p w14:paraId="4414CA06" w14:textId="3B323377" w:rsidR="006E5A77" w:rsidRPr="0023722B" w:rsidRDefault="006648AE">
            <w:pPr>
              <w:rPr>
                <w:rFonts w:cstheme="minorHAnsi"/>
                <w:sz w:val="22"/>
                <w:szCs w:val="22"/>
                <w:lang w:val="en-US"/>
              </w:rPr>
            </w:pPr>
            <w:r w:rsidRPr="0023722B">
              <w:rPr>
                <w:rFonts w:cstheme="minorHAnsi"/>
                <w:sz w:val="22"/>
                <w:szCs w:val="22"/>
                <w:lang w:val="en-US"/>
              </w:rPr>
              <w:t>HSF: Potentially induces alteration of splicing by modification of an ESE site.</w:t>
            </w:r>
          </w:p>
        </w:tc>
        <w:tc>
          <w:tcPr>
            <w:tcW w:w="1758" w:type="dxa"/>
          </w:tcPr>
          <w:p w14:paraId="766B446F" w14:textId="25F6CF75" w:rsidR="006E5A77" w:rsidRPr="0023722B" w:rsidRDefault="006648AE">
            <w:pPr>
              <w:rPr>
                <w:rFonts w:cstheme="minorHAnsi"/>
                <w:sz w:val="22"/>
                <w:szCs w:val="22"/>
                <w:lang w:val="en-US"/>
              </w:rPr>
            </w:pPr>
            <w:r w:rsidRPr="0023722B">
              <w:rPr>
                <w:rFonts w:cstheme="minorHAnsi"/>
                <w:sz w:val="22"/>
                <w:szCs w:val="22"/>
                <w:lang w:val="en-US"/>
              </w:rPr>
              <w:t>Not changed.</w:t>
            </w:r>
          </w:p>
        </w:tc>
      </w:tr>
      <w:tr w:rsidR="006E5A77" w:rsidRPr="0023722B" w14:paraId="1009D341" w14:textId="0C2D4F30" w:rsidTr="00DF75C9">
        <w:tc>
          <w:tcPr>
            <w:tcW w:w="988" w:type="dxa"/>
          </w:tcPr>
          <w:p w14:paraId="23C4EB74" w14:textId="2F94DC25" w:rsidR="006E5A77" w:rsidRPr="0023722B" w:rsidRDefault="006E5A77">
            <w:pPr>
              <w:rPr>
                <w:rFonts w:cstheme="minorHAnsi"/>
                <w:sz w:val="22"/>
                <w:szCs w:val="22"/>
                <w:lang w:val="en-US"/>
              </w:rPr>
            </w:pPr>
            <w:r w:rsidRPr="0023722B">
              <w:rPr>
                <w:rFonts w:cstheme="minorHAnsi"/>
                <w:sz w:val="22"/>
                <w:szCs w:val="22"/>
                <w:lang w:val="en-US"/>
              </w:rPr>
              <w:t>10</w:t>
            </w:r>
          </w:p>
        </w:tc>
        <w:tc>
          <w:tcPr>
            <w:tcW w:w="4252" w:type="dxa"/>
          </w:tcPr>
          <w:p w14:paraId="54897571" w14:textId="1243F9CF" w:rsidR="006E5A77" w:rsidRPr="0023722B" w:rsidRDefault="006648AE">
            <w:pPr>
              <w:rPr>
                <w:rFonts w:cstheme="minorHAnsi"/>
                <w:sz w:val="22"/>
                <w:szCs w:val="22"/>
                <w:lang w:val="en-US"/>
              </w:rPr>
            </w:pPr>
            <w:r w:rsidRPr="0023722B">
              <w:rPr>
                <w:rFonts w:cstheme="minorHAnsi"/>
                <w:sz w:val="22"/>
                <w:szCs w:val="22"/>
                <w:lang w:val="en-US"/>
              </w:rPr>
              <w:t>Male newborn presenting MRI with alobar HPE, premaxillary agenesis, absent nasal bone, ocular hypotelorism, and non-craniofacial defects.</w:t>
            </w:r>
          </w:p>
        </w:tc>
        <w:tc>
          <w:tcPr>
            <w:tcW w:w="2268" w:type="dxa"/>
          </w:tcPr>
          <w:p w14:paraId="5C695C1E" w14:textId="77777777" w:rsidR="006E5A77" w:rsidRPr="0023722B" w:rsidRDefault="006648AE">
            <w:pPr>
              <w:rPr>
                <w:rFonts w:cstheme="minorHAnsi"/>
                <w:sz w:val="22"/>
                <w:szCs w:val="22"/>
                <w:lang w:val="en-US"/>
              </w:rPr>
            </w:pPr>
            <w:r w:rsidRPr="0023722B">
              <w:rPr>
                <w:rFonts w:cstheme="minorHAnsi"/>
                <w:i/>
                <w:iCs/>
                <w:sz w:val="22"/>
                <w:szCs w:val="22"/>
                <w:lang w:val="en-US"/>
              </w:rPr>
              <w:t>ZIC2</w:t>
            </w:r>
            <w:r w:rsidRPr="0023722B">
              <w:rPr>
                <w:rFonts w:cstheme="minorHAnsi"/>
                <w:sz w:val="22"/>
                <w:szCs w:val="22"/>
                <w:lang w:val="en-US"/>
              </w:rPr>
              <w:t> </w:t>
            </w:r>
            <w:proofErr w:type="spellStart"/>
            <w:r w:rsidRPr="0023722B">
              <w:rPr>
                <w:rFonts w:cstheme="minorHAnsi"/>
                <w:sz w:val="22"/>
                <w:szCs w:val="22"/>
                <w:lang w:val="en-US"/>
              </w:rPr>
              <w:t>sSNV</w:t>
            </w:r>
            <w:proofErr w:type="spellEnd"/>
            <w:r w:rsidRPr="0023722B">
              <w:rPr>
                <w:rFonts w:cstheme="minorHAnsi"/>
                <w:sz w:val="22"/>
                <w:szCs w:val="22"/>
                <w:lang w:val="en-US"/>
              </w:rPr>
              <w:t xml:space="preserve"> (</w:t>
            </w:r>
            <w:r w:rsidRPr="0023722B">
              <w:rPr>
                <w:rFonts w:cstheme="minorHAnsi"/>
                <w:color w:val="000000"/>
                <w:sz w:val="22"/>
                <w:szCs w:val="22"/>
                <w:lang w:val="en-US"/>
              </w:rPr>
              <w:t>c.716_718dupACC</w:t>
            </w:r>
            <w:r w:rsidRPr="0023722B">
              <w:rPr>
                <w:rFonts w:cstheme="minorHAnsi"/>
                <w:sz w:val="22"/>
                <w:szCs w:val="22"/>
                <w:lang w:val="en-US"/>
              </w:rPr>
              <w:t xml:space="preserve">, </w:t>
            </w:r>
            <w:proofErr w:type="gramStart"/>
            <w:r w:rsidRPr="0023722B">
              <w:rPr>
                <w:rFonts w:cstheme="minorHAnsi"/>
                <w:sz w:val="22"/>
                <w:szCs w:val="22"/>
                <w:lang w:val="en-US"/>
              </w:rPr>
              <w:t>p.His</w:t>
            </w:r>
            <w:proofErr w:type="gramEnd"/>
            <w:r w:rsidRPr="0023722B">
              <w:rPr>
                <w:rFonts w:cstheme="minorHAnsi"/>
                <w:sz w:val="22"/>
                <w:szCs w:val="22"/>
                <w:lang w:val="en-US"/>
              </w:rPr>
              <w:t>239dup,  rs398124241)</w:t>
            </w:r>
          </w:p>
          <w:p w14:paraId="011CA1F6" w14:textId="77777777" w:rsidR="006648AE" w:rsidRPr="0023722B" w:rsidRDefault="006648AE">
            <w:pPr>
              <w:rPr>
                <w:rFonts w:cstheme="minorHAnsi"/>
                <w:sz w:val="22"/>
                <w:szCs w:val="22"/>
                <w:lang w:val="en-US"/>
              </w:rPr>
            </w:pPr>
          </w:p>
          <w:p w14:paraId="386B41A6" w14:textId="309BD886" w:rsidR="006648AE" w:rsidRPr="0023722B" w:rsidRDefault="006648AE">
            <w:pPr>
              <w:rPr>
                <w:rFonts w:cstheme="minorHAnsi"/>
                <w:sz w:val="22"/>
                <w:szCs w:val="22"/>
                <w:lang w:val="en-US"/>
              </w:rPr>
            </w:pPr>
            <w:r w:rsidRPr="0023722B">
              <w:rPr>
                <w:rFonts w:cstheme="minorHAnsi"/>
                <w:sz w:val="22"/>
                <w:szCs w:val="22"/>
                <w:lang w:val="en-US"/>
              </w:rPr>
              <w:t>0.07 - 12.70%</w:t>
            </w:r>
          </w:p>
        </w:tc>
        <w:tc>
          <w:tcPr>
            <w:tcW w:w="2552" w:type="dxa"/>
          </w:tcPr>
          <w:p w14:paraId="05C24FBB" w14:textId="7E205451" w:rsidR="006E5A77" w:rsidRPr="0023722B" w:rsidRDefault="006648AE">
            <w:pPr>
              <w:rPr>
                <w:rFonts w:cstheme="minorHAnsi"/>
                <w:sz w:val="22"/>
                <w:szCs w:val="22"/>
                <w:lang w:val="en-US"/>
              </w:rPr>
            </w:pPr>
            <w:r w:rsidRPr="0023722B">
              <w:rPr>
                <w:rFonts w:cstheme="minorHAnsi"/>
                <w:sz w:val="22"/>
                <w:szCs w:val="22"/>
                <w:lang w:val="en-US"/>
              </w:rPr>
              <w:t>HSF: Potentially induces alteration of splicing by modification of an ESE site.</w:t>
            </w:r>
          </w:p>
        </w:tc>
        <w:tc>
          <w:tcPr>
            <w:tcW w:w="1758" w:type="dxa"/>
          </w:tcPr>
          <w:p w14:paraId="41439777" w14:textId="08817594" w:rsidR="006E5A77" w:rsidRPr="0023722B" w:rsidRDefault="006648AE">
            <w:pPr>
              <w:rPr>
                <w:rFonts w:cstheme="minorHAnsi"/>
                <w:sz w:val="22"/>
                <w:szCs w:val="22"/>
                <w:lang w:val="en-US"/>
              </w:rPr>
            </w:pPr>
            <w:r w:rsidRPr="0023722B">
              <w:rPr>
                <w:rFonts w:cstheme="minorHAnsi"/>
                <w:sz w:val="22"/>
                <w:szCs w:val="22"/>
                <w:lang w:val="en-US"/>
              </w:rPr>
              <w:t>Not changed.</w:t>
            </w:r>
          </w:p>
        </w:tc>
      </w:tr>
      <w:tr w:rsidR="006E5A77" w:rsidRPr="0023722B" w14:paraId="35427C8F" w14:textId="59167E74" w:rsidTr="00DF75C9">
        <w:tc>
          <w:tcPr>
            <w:tcW w:w="988" w:type="dxa"/>
          </w:tcPr>
          <w:p w14:paraId="63FA0D73" w14:textId="0DE698D0" w:rsidR="006E5A77" w:rsidRPr="0023722B" w:rsidRDefault="006E5A77">
            <w:pPr>
              <w:rPr>
                <w:rFonts w:cstheme="minorHAnsi"/>
                <w:sz w:val="22"/>
                <w:szCs w:val="22"/>
                <w:lang w:val="en-US"/>
              </w:rPr>
            </w:pPr>
            <w:r w:rsidRPr="0023722B">
              <w:rPr>
                <w:rFonts w:cstheme="minorHAnsi"/>
                <w:sz w:val="22"/>
                <w:szCs w:val="22"/>
                <w:lang w:val="en-US"/>
              </w:rPr>
              <w:t>11</w:t>
            </w:r>
          </w:p>
        </w:tc>
        <w:tc>
          <w:tcPr>
            <w:tcW w:w="4252" w:type="dxa"/>
          </w:tcPr>
          <w:p w14:paraId="0AE2CE65" w14:textId="57710737" w:rsidR="006E5A77" w:rsidRPr="0023722B" w:rsidRDefault="006648AE">
            <w:pPr>
              <w:rPr>
                <w:rFonts w:cstheme="minorHAnsi"/>
                <w:sz w:val="22"/>
                <w:szCs w:val="22"/>
                <w:lang w:val="en-US"/>
              </w:rPr>
            </w:pPr>
            <w:r w:rsidRPr="0023722B">
              <w:rPr>
                <w:rFonts w:cstheme="minorHAnsi"/>
                <w:sz w:val="22"/>
                <w:szCs w:val="22"/>
                <w:lang w:val="en-US"/>
              </w:rPr>
              <w:t>Female newborn presenting alobar HPE, maxillary agenesis, arrhinia, ocular hypotelorism, and a sacral dimple. Parents were nonconsanguineous, 33-year-old mother, and 30-years-old, healthy father</w:t>
            </w:r>
          </w:p>
        </w:tc>
        <w:tc>
          <w:tcPr>
            <w:tcW w:w="2268" w:type="dxa"/>
          </w:tcPr>
          <w:p w14:paraId="0CD9FC28" w14:textId="77777777" w:rsidR="006E5A77" w:rsidRPr="0023722B" w:rsidRDefault="006648AE">
            <w:pPr>
              <w:rPr>
                <w:rFonts w:cstheme="minorHAnsi"/>
                <w:sz w:val="22"/>
                <w:szCs w:val="22"/>
                <w:lang w:val="en-US"/>
              </w:rPr>
            </w:pPr>
            <w:r w:rsidRPr="0023722B">
              <w:rPr>
                <w:rFonts w:cstheme="minorHAnsi"/>
                <w:i/>
                <w:iCs/>
                <w:sz w:val="22"/>
                <w:szCs w:val="22"/>
                <w:lang w:val="en-US"/>
              </w:rPr>
              <w:t>ZIC2</w:t>
            </w:r>
            <w:r w:rsidRPr="0023722B">
              <w:rPr>
                <w:rFonts w:cstheme="minorHAnsi"/>
                <w:sz w:val="22"/>
                <w:szCs w:val="22"/>
                <w:lang w:val="en-US"/>
              </w:rPr>
              <w:t> intronic SNV (rs139312964, c.1239+18G&gt;A)</w:t>
            </w:r>
          </w:p>
          <w:p w14:paraId="42F21354" w14:textId="77777777" w:rsidR="006648AE" w:rsidRPr="0023722B" w:rsidRDefault="006648AE">
            <w:pPr>
              <w:rPr>
                <w:rFonts w:cstheme="minorHAnsi"/>
                <w:sz w:val="22"/>
                <w:szCs w:val="22"/>
                <w:lang w:val="en-US"/>
              </w:rPr>
            </w:pPr>
          </w:p>
          <w:p w14:paraId="3A14B575" w14:textId="5BDC5003" w:rsidR="006648AE" w:rsidRPr="0023722B" w:rsidRDefault="006648AE">
            <w:pPr>
              <w:rPr>
                <w:rFonts w:cstheme="minorHAnsi"/>
                <w:sz w:val="22"/>
                <w:szCs w:val="22"/>
                <w:lang w:val="en-US"/>
              </w:rPr>
            </w:pPr>
            <w:r w:rsidRPr="0023722B">
              <w:rPr>
                <w:rFonts w:cstheme="minorHAnsi"/>
                <w:sz w:val="22"/>
                <w:szCs w:val="22"/>
                <w:lang w:val="en-US"/>
              </w:rPr>
              <w:t>0 – 6,62%</w:t>
            </w:r>
          </w:p>
        </w:tc>
        <w:tc>
          <w:tcPr>
            <w:tcW w:w="2552" w:type="dxa"/>
          </w:tcPr>
          <w:p w14:paraId="47822F42" w14:textId="34841E53" w:rsidR="006E5A77" w:rsidRPr="0023722B" w:rsidRDefault="003373A6">
            <w:pPr>
              <w:rPr>
                <w:rFonts w:cstheme="minorHAnsi"/>
                <w:sz w:val="22"/>
                <w:szCs w:val="22"/>
                <w:lang w:val="en-US"/>
              </w:rPr>
            </w:pPr>
            <w:r w:rsidRPr="0023722B">
              <w:rPr>
                <w:rFonts w:cstheme="minorHAnsi"/>
                <w:sz w:val="22"/>
                <w:szCs w:val="22"/>
                <w:lang w:val="en-US"/>
              </w:rPr>
              <w:t>HSV: Potential alteration of an Intronic Splicing Silencer (ISS) site and creation of an Intronic Splicing Enhancer (ISE) site, but with no impact on splicing.</w:t>
            </w:r>
          </w:p>
        </w:tc>
        <w:tc>
          <w:tcPr>
            <w:tcW w:w="1758" w:type="dxa"/>
          </w:tcPr>
          <w:p w14:paraId="4EFE1A41" w14:textId="7DBA7B53" w:rsidR="006E5A77" w:rsidRPr="0023722B" w:rsidRDefault="0023722B">
            <w:pPr>
              <w:rPr>
                <w:rFonts w:cstheme="minorHAnsi"/>
                <w:sz w:val="22"/>
                <w:szCs w:val="22"/>
                <w:lang w:val="en-US"/>
              </w:rPr>
            </w:pPr>
            <w:r>
              <w:rPr>
                <w:rFonts w:cstheme="minorHAnsi"/>
                <w:sz w:val="22"/>
                <w:szCs w:val="22"/>
                <w:lang w:val="en-US"/>
              </w:rPr>
              <w:t>--</w:t>
            </w:r>
          </w:p>
        </w:tc>
      </w:tr>
    </w:tbl>
    <w:p w14:paraId="7B9A74FD" w14:textId="529BEBCB" w:rsidR="00E978DF" w:rsidRDefault="00E978DF">
      <w:pPr>
        <w:rPr>
          <w:lang w:val="en-US"/>
        </w:rPr>
      </w:pPr>
    </w:p>
    <w:p w14:paraId="42B1A5C9" w14:textId="08CEC73C" w:rsidR="003373A6" w:rsidRPr="0023722B" w:rsidRDefault="0023722B">
      <w:pPr>
        <w:rPr>
          <w:b/>
          <w:bCs/>
          <w:lang w:val="en-US"/>
        </w:rPr>
      </w:pPr>
      <w:r>
        <w:rPr>
          <w:lang w:val="en-US"/>
        </w:rPr>
        <w:t xml:space="preserve">SNV = Single Nucleotide Variant; </w:t>
      </w:r>
      <w:proofErr w:type="spellStart"/>
      <w:r>
        <w:rPr>
          <w:lang w:val="en-US"/>
        </w:rPr>
        <w:t>sSNV</w:t>
      </w:r>
      <w:proofErr w:type="spellEnd"/>
      <w:r>
        <w:rPr>
          <w:lang w:val="en-US"/>
        </w:rPr>
        <w:t xml:space="preserve"> = synonym SNV; </w:t>
      </w:r>
      <w:r w:rsidR="003373A6" w:rsidRPr="003373A6">
        <w:rPr>
          <w:lang w:val="en-US"/>
        </w:rPr>
        <w:t xml:space="preserve">HSF = Human Splicing Finding;  ESE = </w:t>
      </w:r>
      <w:proofErr w:type="spellStart"/>
      <w:r w:rsidR="003373A6" w:rsidRPr="003373A6">
        <w:rPr>
          <w:lang w:val="en-US"/>
        </w:rPr>
        <w:t>Exonic</w:t>
      </w:r>
      <w:proofErr w:type="spellEnd"/>
      <w:r w:rsidR="003373A6" w:rsidRPr="003373A6">
        <w:rPr>
          <w:lang w:val="en-US"/>
        </w:rPr>
        <w:t xml:space="preserve"> Splicing Enhancer; ESS = </w:t>
      </w:r>
      <w:proofErr w:type="spellStart"/>
      <w:r w:rsidR="003373A6" w:rsidRPr="003373A6">
        <w:rPr>
          <w:lang w:val="en-US"/>
        </w:rPr>
        <w:t>Exonic</w:t>
      </w:r>
      <w:proofErr w:type="spellEnd"/>
      <w:r w:rsidR="003373A6" w:rsidRPr="003373A6">
        <w:rPr>
          <w:lang w:val="en-US"/>
        </w:rPr>
        <w:t xml:space="preserve"> Splicing Silencer</w:t>
      </w:r>
      <w:r>
        <w:rPr>
          <w:lang w:val="en-US"/>
        </w:rPr>
        <w:t xml:space="preserve">; </w:t>
      </w:r>
      <w:r w:rsidR="003373A6" w:rsidRPr="003373A6">
        <w:rPr>
          <w:lang w:val="en-US"/>
        </w:rPr>
        <w:t>ECD</w:t>
      </w:r>
      <w:r>
        <w:rPr>
          <w:lang w:val="en-US"/>
        </w:rPr>
        <w:t xml:space="preserve"> </w:t>
      </w:r>
      <w:r w:rsidR="003373A6" w:rsidRPr="003373A6">
        <w:rPr>
          <w:lang w:val="en-US"/>
        </w:rPr>
        <w:t xml:space="preserve">= </w:t>
      </w:r>
      <w:proofErr w:type="spellStart"/>
      <w:r w:rsidR="003373A6" w:rsidRPr="003373A6">
        <w:rPr>
          <w:lang w:val="en-US"/>
        </w:rPr>
        <w:t>Exonic</w:t>
      </w:r>
      <w:proofErr w:type="spellEnd"/>
      <w:r w:rsidR="003373A6" w:rsidRPr="003373A6">
        <w:rPr>
          <w:lang w:val="en-US"/>
        </w:rPr>
        <w:t xml:space="preserve"> Cryptic;</w:t>
      </w:r>
      <w:r w:rsidR="003373A6">
        <w:rPr>
          <w:lang w:val="en-US"/>
        </w:rPr>
        <w:t xml:space="preserve"> VARNA </w:t>
      </w:r>
      <w:r w:rsidRPr="00A438A4">
        <w:rPr>
          <w:rFonts w:cstheme="minorHAnsi"/>
          <w:color w:val="0050F0"/>
          <w:lang w:val="en-US"/>
        </w:rPr>
        <w:t xml:space="preserve"> (</w:t>
      </w:r>
      <w:hyperlink r:id="rId4" w:history="1">
        <w:r w:rsidRPr="00A438A4">
          <w:rPr>
            <w:rStyle w:val="Hyperlink"/>
            <w:rFonts w:cstheme="minorHAnsi"/>
            <w:color w:val="0050F0"/>
            <w:lang w:val="en-US"/>
          </w:rPr>
          <w:t>http://varna.lri.fr/)</w:t>
        </w:r>
      </w:hyperlink>
    </w:p>
    <w:sectPr w:rsidR="003373A6" w:rsidRPr="0023722B" w:rsidSect="009F483A">
      <w:pgSz w:w="16817" w:h="11901" w:orient="landscape"/>
      <w:pgMar w:top="1361" w:right="1820"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3A"/>
    <w:rsid w:val="000004EC"/>
    <w:rsid w:val="00067826"/>
    <w:rsid w:val="000A0623"/>
    <w:rsid w:val="00155EDE"/>
    <w:rsid w:val="001E2BE5"/>
    <w:rsid w:val="0023722B"/>
    <w:rsid w:val="00271538"/>
    <w:rsid w:val="0031311A"/>
    <w:rsid w:val="003373A6"/>
    <w:rsid w:val="006648AE"/>
    <w:rsid w:val="00680C96"/>
    <w:rsid w:val="006E5A77"/>
    <w:rsid w:val="00751F70"/>
    <w:rsid w:val="009F483A"/>
    <w:rsid w:val="00A90554"/>
    <w:rsid w:val="00CD214E"/>
    <w:rsid w:val="00D84257"/>
    <w:rsid w:val="00DF75C9"/>
    <w:rsid w:val="00E978DF"/>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E33D"/>
  <w15:chartTrackingRefBased/>
  <w15:docId w15:val="{60F12B69-8318-5948-BEE3-6FD0AB65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1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311A"/>
    <w:rPr>
      <w:rFonts w:ascii="Times New Roman" w:hAnsi="Times New Roman" w:cs="Times New Roman"/>
      <w:sz w:val="18"/>
      <w:szCs w:val="18"/>
    </w:rPr>
  </w:style>
  <w:style w:type="table" w:styleId="TableGrid">
    <w:name w:val="Table Grid"/>
    <w:basedOn w:val="TableNormal"/>
    <w:uiPriority w:val="39"/>
    <w:rsid w:val="00E9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37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91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arna.lri.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UFRJ</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Ieda Orioli</dc:creator>
  <cp:keywords/>
  <dc:description/>
  <cp:lastModifiedBy>Ieda Orioli</cp:lastModifiedBy>
  <cp:revision>2</cp:revision>
  <dcterms:created xsi:type="dcterms:W3CDTF">2020-12-02T19:52:00Z</dcterms:created>
  <dcterms:modified xsi:type="dcterms:W3CDTF">2020-12-02T19:52:00Z</dcterms:modified>
</cp:coreProperties>
</file>