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5B58" w:rsidRDefault="00DD5B58" w:rsidP="00DD5B58">
      <w:pPr>
        <w:spacing w:line="360" w:lineRule="auto"/>
        <w:jc w:val="both"/>
        <w:rPr>
          <w:rFonts w:cstheme="minorHAnsi"/>
          <w:lang w:val="en-US"/>
        </w:rPr>
      </w:pPr>
      <w:bookmarkStart w:id="0" w:name="_GoBack"/>
      <w:bookmarkEnd w:id="0"/>
      <w:r>
        <w:rPr>
          <w:rFonts w:cstheme="minorHAnsi"/>
          <w:lang w:val="en-US"/>
        </w:rPr>
        <w:t>Table 1S. Diagnosis of patients with neuromuscular disorders.</w:t>
      </w:r>
    </w:p>
    <w:p w:rsidR="00DD5B58" w:rsidRDefault="00DD5B58" w:rsidP="00DD5B58">
      <w:pPr>
        <w:spacing w:line="360" w:lineRule="auto"/>
        <w:jc w:val="both"/>
        <w:rPr>
          <w:rFonts w:cstheme="min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D5B58" w:rsidTr="000D0D66">
        <w:tc>
          <w:tcPr>
            <w:tcW w:w="4528" w:type="dxa"/>
          </w:tcPr>
          <w:p w:rsidR="00DD5B58" w:rsidRPr="008B5043" w:rsidRDefault="00DD5B58" w:rsidP="000D0D66">
            <w:pPr>
              <w:spacing w:line="360" w:lineRule="auto"/>
              <w:rPr>
                <w:b/>
                <w:bCs/>
                <w:iCs/>
                <w:lang w:val="en-US"/>
              </w:rPr>
            </w:pPr>
            <w:r w:rsidRPr="008B5043">
              <w:rPr>
                <w:b/>
                <w:bCs/>
                <w:iCs/>
                <w:lang w:val="en-US"/>
              </w:rPr>
              <w:t>Neuromuscular disorders</w:t>
            </w:r>
          </w:p>
        </w:tc>
        <w:tc>
          <w:tcPr>
            <w:tcW w:w="4528" w:type="dxa"/>
          </w:tcPr>
          <w:p w:rsidR="00DD5B58" w:rsidRDefault="00DD5B58" w:rsidP="000D0D6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 (49%)*</w:t>
            </w:r>
          </w:p>
        </w:tc>
      </w:tr>
      <w:tr w:rsidR="00DD5B58" w:rsidTr="000D0D66">
        <w:tc>
          <w:tcPr>
            <w:tcW w:w="4528" w:type="dxa"/>
          </w:tcPr>
          <w:p w:rsidR="00DD5B58" w:rsidRDefault="00DD5B58" w:rsidP="000D0D6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Amyotrophic lateral sclerosis</w:t>
            </w:r>
          </w:p>
        </w:tc>
        <w:tc>
          <w:tcPr>
            <w:tcW w:w="4528" w:type="dxa"/>
          </w:tcPr>
          <w:p w:rsidR="00DD5B58" w:rsidRDefault="00DD5B58" w:rsidP="000D0D6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 (28%)</w:t>
            </w:r>
            <w:r w:rsidRPr="008E588B">
              <w:rPr>
                <w:vertAlign w:val="superscript"/>
                <w:lang w:val="en-US"/>
              </w:rPr>
              <w:t>§</w:t>
            </w:r>
          </w:p>
        </w:tc>
      </w:tr>
      <w:tr w:rsidR="00DD5B58" w:rsidTr="000D0D66">
        <w:tc>
          <w:tcPr>
            <w:tcW w:w="4528" w:type="dxa"/>
          </w:tcPr>
          <w:p w:rsidR="00DD5B58" w:rsidRDefault="00DD5B58" w:rsidP="000D0D6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Duchenne muscular dystrophy</w:t>
            </w:r>
          </w:p>
        </w:tc>
        <w:tc>
          <w:tcPr>
            <w:tcW w:w="4528" w:type="dxa"/>
          </w:tcPr>
          <w:p w:rsidR="00DD5B58" w:rsidRDefault="00DD5B58" w:rsidP="000D0D6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 (9%)</w:t>
            </w:r>
            <w:r w:rsidRPr="000D717E">
              <w:rPr>
                <w:vertAlign w:val="superscript"/>
                <w:lang w:val="en-US"/>
              </w:rPr>
              <w:t>§</w:t>
            </w:r>
          </w:p>
        </w:tc>
      </w:tr>
      <w:tr w:rsidR="00DD5B58" w:rsidTr="000D0D66">
        <w:tc>
          <w:tcPr>
            <w:tcW w:w="4528" w:type="dxa"/>
          </w:tcPr>
          <w:p w:rsidR="00DD5B58" w:rsidRDefault="00DD5B58" w:rsidP="000D0D6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Myotonic dystrophy (Steinert)</w:t>
            </w:r>
          </w:p>
        </w:tc>
        <w:tc>
          <w:tcPr>
            <w:tcW w:w="4528" w:type="dxa"/>
          </w:tcPr>
          <w:p w:rsidR="00DD5B58" w:rsidRDefault="00DD5B58" w:rsidP="000D0D6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 (9%)</w:t>
            </w:r>
            <w:r w:rsidRPr="000D717E">
              <w:rPr>
                <w:vertAlign w:val="superscript"/>
                <w:lang w:val="en-US"/>
              </w:rPr>
              <w:t>§</w:t>
            </w:r>
          </w:p>
        </w:tc>
      </w:tr>
      <w:tr w:rsidR="00DD5B58" w:rsidTr="000D0D66">
        <w:tc>
          <w:tcPr>
            <w:tcW w:w="4528" w:type="dxa"/>
          </w:tcPr>
          <w:p w:rsidR="00DD5B58" w:rsidRDefault="00DD5B58" w:rsidP="000D0D6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 traumatic tetraplegia</w:t>
            </w:r>
          </w:p>
        </w:tc>
        <w:tc>
          <w:tcPr>
            <w:tcW w:w="4528" w:type="dxa"/>
          </w:tcPr>
          <w:p w:rsidR="00DD5B58" w:rsidRDefault="00DD5B58" w:rsidP="000D0D6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(6%)</w:t>
            </w:r>
            <w:r w:rsidRPr="000D717E">
              <w:rPr>
                <w:vertAlign w:val="superscript"/>
                <w:lang w:val="en-US"/>
              </w:rPr>
              <w:t>§</w:t>
            </w:r>
          </w:p>
        </w:tc>
      </w:tr>
      <w:tr w:rsidR="00DD5B58" w:rsidTr="000D0D66">
        <w:tc>
          <w:tcPr>
            <w:tcW w:w="4528" w:type="dxa"/>
          </w:tcPr>
          <w:p w:rsidR="00DD5B58" w:rsidRDefault="00DD5B58" w:rsidP="000D0D6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Nemaline myopathy</w:t>
            </w:r>
          </w:p>
        </w:tc>
        <w:tc>
          <w:tcPr>
            <w:tcW w:w="4528" w:type="dxa"/>
          </w:tcPr>
          <w:p w:rsidR="00DD5B58" w:rsidRDefault="00DD5B58" w:rsidP="000D0D6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(6%)</w:t>
            </w:r>
            <w:r w:rsidRPr="000D717E">
              <w:rPr>
                <w:vertAlign w:val="superscript"/>
                <w:lang w:val="en-US"/>
              </w:rPr>
              <w:t>§</w:t>
            </w:r>
          </w:p>
        </w:tc>
      </w:tr>
      <w:tr w:rsidR="00DD5B58" w:rsidTr="000D0D66">
        <w:tc>
          <w:tcPr>
            <w:tcW w:w="4528" w:type="dxa"/>
          </w:tcPr>
          <w:p w:rsidR="00DD5B58" w:rsidRDefault="00DD5B58" w:rsidP="000D0D6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Diaphragmatic paralysis</w:t>
            </w:r>
          </w:p>
        </w:tc>
        <w:tc>
          <w:tcPr>
            <w:tcW w:w="4528" w:type="dxa"/>
          </w:tcPr>
          <w:p w:rsidR="00DD5B58" w:rsidRDefault="00DD5B58" w:rsidP="000D0D6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(6%)</w:t>
            </w:r>
            <w:r w:rsidRPr="000D717E">
              <w:rPr>
                <w:vertAlign w:val="superscript"/>
                <w:lang w:val="en-US"/>
              </w:rPr>
              <w:t>§</w:t>
            </w:r>
          </w:p>
        </w:tc>
      </w:tr>
      <w:tr w:rsidR="00DD5B58" w:rsidTr="000D0D66">
        <w:tc>
          <w:tcPr>
            <w:tcW w:w="4528" w:type="dxa"/>
          </w:tcPr>
          <w:p w:rsidR="00DD5B58" w:rsidRDefault="00DD5B58" w:rsidP="000D0D6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Multiple sclerosis</w:t>
            </w:r>
          </w:p>
        </w:tc>
        <w:tc>
          <w:tcPr>
            <w:tcW w:w="4528" w:type="dxa"/>
          </w:tcPr>
          <w:p w:rsidR="00DD5B58" w:rsidRDefault="00DD5B58" w:rsidP="000D0D6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(6%)</w:t>
            </w:r>
            <w:r w:rsidRPr="000D717E">
              <w:rPr>
                <w:vertAlign w:val="superscript"/>
                <w:lang w:val="en-US"/>
              </w:rPr>
              <w:t>§</w:t>
            </w:r>
          </w:p>
        </w:tc>
      </w:tr>
      <w:tr w:rsidR="00DD5B58" w:rsidTr="000D0D66">
        <w:tc>
          <w:tcPr>
            <w:tcW w:w="4528" w:type="dxa"/>
          </w:tcPr>
          <w:p w:rsidR="00DD5B58" w:rsidRDefault="00DD5B58" w:rsidP="000D0D6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Spinal muscular atrophy (SMA)</w:t>
            </w:r>
          </w:p>
        </w:tc>
        <w:tc>
          <w:tcPr>
            <w:tcW w:w="4528" w:type="dxa"/>
          </w:tcPr>
          <w:p w:rsidR="00DD5B58" w:rsidRDefault="00DD5B58" w:rsidP="000D0D6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(6%)</w:t>
            </w:r>
            <w:r w:rsidRPr="000D717E">
              <w:rPr>
                <w:vertAlign w:val="superscript"/>
                <w:lang w:val="en-US"/>
              </w:rPr>
              <w:t>§</w:t>
            </w:r>
          </w:p>
        </w:tc>
      </w:tr>
      <w:tr w:rsidR="00DD5B58" w:rsidTr="000D0D66">
        <w:tc>
          <w:tcPr>
            <w:tcW w:w="4528" w:type="dxa"/>
          </w:tcPr>
          <w:p w:rsidR="00DD5B58" w:rsidRDefault="00DD5B58" w:rsidP="000D0D6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Inclusion myositis</w:t>
            </w:r>
          </w:p>
        </w:tc>
        <w:tc>
          <w:tcPr>
            <w:tcW w:w="4528" w:type="dxa"/>
          </w:tcPr>
          <w:p w:rsidR="00DD5B58" w:rsidRDefault="00DD5B58" w:rsidP="000D0D6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(6%)</w:t>
            </w:r>
            <w:r w:rsidRPr="000D717E">
              <w:rPr>
                <w:vertAlign w:val="superscript"/>
                <w:lang w:val="en-US"/>
              </w:rPr>
              <w:t>§</w:t>
            </w:r>
          </w:p>
        </w:tc>
      </w:tr>
      <w:tr w:rsidR="00DD5B58" w:rsidTr="000D0D66">
        <w:tc>
          <w:tcPr>
            <w:tcW w:w="4528" w:type="dxa"/>
          </w:tcPr>
          <w:p w:rsidR="00DD5B58" w:rsidRDefault="00DD5B58" w:rsidP="000D0D6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Neurodegenerative disorders</w:t>
            </w:r>
          </w:p>
        </w:tc>
        <w:tc>
          <w:tcPr>
            <w:tcW w:w="4528" w:type="dxa"/>
          </w:tcPr>
          <w:p w:rsidR="00DD5B58" w:rsidRDefault="00DD5B58" w:rsidP="000D0D6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(6%)</w:t>
            </w:r>
            <w:r w:rsidRPr="000D717E">
              <w:rPr>
                <w:vertAlign w:val="superscript"/>
                <w:lang w:val="en-US"/>
              </w:rPr>
              <w:t>§</w:t>
            </w:r>
          </w:p>
        </w:tc>
      </w:tr>
      <w:tr w:rsidR="00DD5B58" w:rsidTr="000D0D66">
        <w:tc>
          <w:tcPr>
            <w:tcW w:w="4528" w:type="dxa"/>
          </w:tcPr>
          <w:p w:rsidR="00DD5B58" w:rsidRDefault="00DD5B58" w:rsidP="000D0D6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Post-polio syndrome</w:t>
            </w:r>
          </w:p>
        </w:tc>
        <w:tc>
          <w:tcPr>
            <w:tcW w:w="4528" w:type="dxa"/>
          </w:tcPr>
          <w:p w:rsidR="00DD5B58" w:rsidRDefault="00DD5B58" w:rsidP="000D0D6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 (9%)</w:t>
            </w:r>
            <w:r w:rsidRPr="000D717E">
              <w:rPr>
                <w:vertAlign w:val="superscript"/>
                <w:lang w:val="en-US"/>
              </w:rPr>
              <w:t>§</w:t>
            </w:r>
          </w:p>
        </w:tc>
      </w:tr>
    </w:tbl>
    <w:p w:rsidR="00DD5B58" w:rsidRDefault="00DD5B58" w:rsidP="00DD5B58">
      <w:pPr>
        <w:spacing w:line="360" w:lineRule="auto"/>
        <w:jc w:val="both"/>
        <w:rPr>
          <w:rFonts w:cstheme="minorHAnsi"/>
          <w:lang w:val="en-US"/>
        </w:rPr>
      </w:pPr>
    </w:p>
    <w:p w:rsidR="00DD5B58" w:rsidRDefault="00DD5B58" w:rsidP="00DD5B58">
      <w:pPr>
        <w:spacing w:line="360" w:lineRule="auto"/>
        <w:jc w:val="both"/>
        <w:rPr>
          <w:rFonts w:cstheme="minorHAnsi"/>
          <w:lang w:val="en-US"/>
        </w:rPr>
      </w:pPr>
      <w:r w:rsidRPr="0025175D">
        <w:rPr>
          <w:rFonts w:cstheme="minorHAnsi"/>
          <w:lang w:val="en-US"/>
        </w:rPr>
        <w:t xml:space="preserve">Values expressed as </w:t>
      </w:r>
      <w:r>
        <w:rPr>
          <w:rFonts w:cstheme="minorHAnsi"/>
          <w:lang w:val="en-US"/>
        </w:rPr>
        <w:t>frequency (%); *: percentage of total patients included (n=66); §: percentage of patients with neuromuscular disorders</w:t>
      </w:r>
    </w:p>
    <w:p w:rsidR="003756C5" w:rsidRPr="00DD5B58" w:rsidRDefault="003756C5">
      <w:pPr>
        <w:rPr>
          <w:lang w:val="en-US"/>
        </w:rPr>
      </w:pPr>
    </w:p>
    <w:sectPr w:rsidR="003756C5" w:rsidRPr="00DD5B58" w:rsidSect="00CA2E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58"/>
    <w:rsid w:val="000133FE"/>
    <w:rsid w:val="0005448D"/>
    <w:rsid w:val="00087D0D"/>
    <w:rsid w:val="000B49FC"/>
    <w:rsid w:val="0012170B"/>
    <w:rsid w:val="00162986"/>
    <w:rsid w:val="001C34AA"/>
    <w:rsid w:val="001E01C5"/>
    <w:rsid w:val="00240263"/>
    <w:rsid w:val="00241FAB"/>
    <w:rsid w:val="0025475A"/>
    <w:rsid w:val="0026617B"/>
    <w:rsid w:val="002814B4"/>
    <w:rsid w:val="00286A2A"/>
    <w:rsid w:val="00293344"/>
    <w:rsid w:val="002C45E6"/>
    <w:rsid w:val="002F357F"/>
    <w:rsid w:val="0036538B"/>
    <w:rsid w:val="003756C5"/>
    <w:rsid w:val="00377C6E"/>
    <w:rsid w:val="00382B71"/>
    <w:rsid w:val="003A14B2"/>
    <w:rsid w:val="003A6E1A"/>
    <w:rsid w:val="00402B2E"/>
    <w:rsid w:val="0045143E"/>
    <w:rsid w:val="004A4AC0"/>
    <w:rsid w:val="004F08AF"/>
    <w:rsid w:val="005328AE"/>
    <w:rsid w:val="00634897"/>
    <w:rsid w:val="006753D3"/>
    <w:rsid w:val="006A0DC6"/>
    <w:rsid w:val="00725B85"/>
    <w:rsid w:val="00735E75"/>
    <w:rsid w:val="008241B1"/>
    <w:rsid w:val="00857AF0"/>
    <w:rsid w:val="008A17FE"/>
    <w:rsid w:val="008F159E"/>
    <w:rsid w:val="009426AE"/>
    <w:rsid w:val="00960113"/>
    <w:rsid w:val="00971088"/>
    <w:rsid w:val="009D06B3"/>
    <w:rsid w:val="00A122AE"/>
    <w:rsid w:val="00A64BAD"/>
    <w:rsid w:val="00AB6732"/>
    <w:rsid w:val="00AC2284"/>
    <w:rsid w:val="00AD5A41"/>
    <w:rsid w:val="00B11AC2"/>
    <w:rsid w:val="00B80464"/>
    <w:rsid w:val="00BD3C45"/>
    <w:rsid w:val="00C65B68"/>
    <w:rsid w:val="00C910C7"/>
    <w:rsid w:val="00C94F37"/>
    <w:rsid w:val="00CA2E35"/>
    <w:rsid w:val="00D141E2"/>
    <w:rsid w:val="00D4289A"/>
    <w:rsid w:val="00DB466A"/>
    <w:rsid w:val="00DD5B58"/>
    <w:rsid w:val="00E309EE"/>
    <w:rsid w:val="00E443EF"/>
    <w:rsid w:val="00E53F3F"/>
    <w:rsid w:val="00F0155D"/>
    <w:rsid w:val="00F41B16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59C12"/>
  <w15:chartTrackingRefBased/>
  <w15:docId w15:val="{F8C25A49-3745-B445-B7B3-BA2A849D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5B58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5B58"/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Cantero</dc:creator>
  <cp:keywords/>
  <dc:description/>
  <cp:lastModifiedBy>Chloe Cantero</cp:lastModifiedBy>
  <cp:revision>1</cp:revision>
  <dcterms:created xsi:type="dcterms:W3CDTF">2020-11-28T15:39:00Z</dcterms:created>
  <dcterms:modified xsi:type="dcterms:W3CDTF">2020-11-28T15:39:00Z</dcterms:modified>
</cp:coreProperties>
</file>