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1647" w14:textId="04889D00" w:rsidR="00C77C25" w:rsidRPr="00C77C25" w:rsidRDefault="00C77C25" w:rsidP="00C77C25">
      <w:pPr>
        <w:rPr>
          <w:rFonts w:ascii="Times New Roman" w:hAnsi="Times New Roman" w:cs="Times New Roman"/>
          <w:b/>
          <w:sz w:val="24"/>
          <w:szCs w:val="24"/>
        </w:rPr>
      </w:pPr>
      <w:r w:rsidRPr="00C77C25">
        <w:rPr>
          <w:rFonts w:ascii="Times New Roman" w:hAnsi="Times New Roman" w:cs="Times New Roman"/>
          <w:b/>
          <w:sz w:val="24"/>
          <w:szCs w:val="24"/>
        </w:rPr>
        <w:t xml:space="preserve">S. Table 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C77C25">
        <w:rPr>
          <w:rFonts w:ascii="Times New Roman" w:hAnsi="Times New Roman" w:cs="Times New Roman"/>
          <w:b/>
          <w:sz w:val="24"/>
          <w:szCs w:val="24"/>
        </w:rPr>
        <w:t xml:space="preserve"> Sensitivity analyses for different outcomes among COVID-19 positive patients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263"/>
        <w:gridCol w:w="2409"/>
        <w:gridCol w:w="1638"/>
        <w:gridCol w:w="2160"/>
        <w:gridCol w:w="2430"/>
      </w:tblGrid>
      <w:tr w:rsidR="00C77C25" w:rsidRPr="00C77C25" w14:paraId="220D5E1B" w14:textId="77777777" w:rsidTr="00C77C25">
        <w:trPr>
          <w:trHeight w:val="300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18686B8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0EB3476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Studies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A4850C2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studies (sample size)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34EFDAB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Proportion (%) </w:t>
            </w:r>
          </w:p>
          <w:p w14:paraId="28664A3C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73AB3B7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I2 (95% CI)</w:t>
            </w:r>
          </w:p>
        </w:tc>
      </w:tr>
      <w:tr w:rsidR="00C77C25" w:rsidRPr="00C77C25" w14:paraId="52B33B2A" w14:textId="77777777" w:rsidTr="00C77C25">
        <w:trPr>
          <w:trHeight w:val="64"/>
        </w:trPr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5DFF790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953A3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Defined criteria for AKI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87A65A9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32 (n=11,295)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AEF3F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17.16 (11.00 - 24.36)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D8F81D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98.75% (98.57 to 98.91)</w:t>
            </w:r>
          </w:p>
        </w:tc>
      </w:tr>
      <w:tr w:rsidR="00C77C25" w:rsidRPr="00C77C25" w14:paraId="762EEC44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190CD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CDA73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 xml:space="preserve">Prospective/Retrospective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5651651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46 (n=25,030)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215DF2C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20.32 (14.82 - 26.44)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C1F41E0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99.16% (99.07 to 99.24)</w:t>
            </w:r>
          </w:p>
        </w:tc>
      </w:tr>
      <w:tr w:rsidR="00C77C25" w:rsidRPr="00C77C25" w14:paraId="6B26118D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ADEE6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5CA23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Non-China geography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D187D7B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16 (n=21,107)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F9291AE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35.32 (28.74 - 42.19)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4EB8A50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98.83% (98.59 to 99.04)</w:t>
            </w:r>
          </w:p>
        </w:tc>
      </w:tr>
      <w:tr w:rsidR="00C77C25" w:rsidRPr="00C77C25" w14:paraId="719FA4C5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C3D0B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E9B58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Mean/Median age ≥60 y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FDA82B1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32 (n=24,628)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CD4A6BB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28.45 (22.82 - 34.45)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50D1306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98.89% (98.73 to 99.02)</w:t>
            </w:r>
          </w:p>
        </w:tc>
      </w:tr>
      <w:tr w:rsidR="00C77C25" w:rsidRPr="00C77C25" w14:paraId="5148E319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1005F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7F815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Sample size &gt;175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AF5009D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28 (n=27,210)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4256FB6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18.66 (12.55 - 25.67)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B3B6971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99.46% (99.40 to 99.52)</w:t>
            </w:r>
          </w:p>
        </w:tc>
      </w:tr>
      <w:tr w:rsidR="00C77C25" w:rsidRPr="00C77C25" w14:paraId="6C4FBD78" w14:textId="77777777" w:rsidTr="00C77C25">
        <w:trPr>
          <w:trHeight w:val="64"/>
        </w:trPr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43D281F" w14:textId="5AD05EA5" w:rsidR="00C77C25" w:rsidRPr="00C77C25" w:rsidRDefault="00451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C77C25" w:rsidRPr="00C77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918A2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Defined criteria for AKI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E72E3EE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(n=14,199)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89EFC93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8.11 (3.27 - 14.86)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64C6871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98.98% (98.80 to 99.14)</w:t>
            </w:r>
          </w:p>
        </w:tc>
      </w:tr>
      <w:tr w:rsidR="00C77C25" w:rsidRPr="00C77C25" w14:paraId="60FA3B60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49FB3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F80A6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Prospective/Retrospective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FC74C5A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(n=24,389)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BC8EFD6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 (6.30 - 14.58)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6A5C819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98.87% (98.70 to 99.02) </w:t>
            </w:r>
          </w:p>
        </w:tc>
      </w:tr>
      <w:tr w:rsidR="00C77C25" w:rsidRPr="00C77C25" w14:paraId="32EBE411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4B8F9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92642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Non-China geography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C3DB147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(n=24,360)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5C6E1EF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11.15 (5.72 - 18.1)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9D6724D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99.48% (99.39 to 99.56)</w:t>
            </w:r>
          </w:p>
        </w:tc>
      </w:tr>
      <w:tr w:rsidR="00C77C25" w:rsidRPr="00C77C25" w14:paraId="227C7953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92FD4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C8EB6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Mean/Median age ≥60 y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38BCCE2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(n=13,860)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53FE22D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35.48 (24.22 - 47.63)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ED4BDA6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99.05% (98.79 to 99.26)</w:t>
            </w:r>
          </w:p>
        </w:tc>
      </w:tr>
      <w:tr w:rsidR="00C77C25" w:rsidRPr="00C77C25" w14:paraId="68C0D486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72DD6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6258F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Sample size &gt;175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3CBCF57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(n=26,820)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CDE2820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 (4.30 - 14.11)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1B646A4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99.45% (99.36 to 99.52)</w:t>
            </w:r>
          </w:p>
        </w:tc>
      </w:tr>
      <w:tr w:rsidR="00C77C25" w:rsidRPr="00C77C25" w14:paraId="2011577D" w14:textId="77777777" w:rsidTr="00C77C25">
        <w:trPr>
          <w:trHeight w:val="64"/>
        </w:trPr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8A5F571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Mortality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5C4F2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Defined criteria for AKI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B214A09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(n=11,613)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722181C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 (6.53 - 31.23)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2039FAC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99.30% (99.17 to 99.40)</w:t>
            </w:r>
          </w:p>
        </w:tc>
      </w:tr>
      <w:tr w:rsidR="00C77C25" w:rsidRPr="00C77C25" w14:paraId="358992F3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60D42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77552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 xml:space="preserve">Prospective/Retrospective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6C842F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(n=17,228)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217DE29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 (11.95 - 27.37)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8B291A1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99.14% (99.01 to 99.26)</w:t>
            </w:r>
          </w:p>
        </w:tc>
      </w:tr>
      <w:tr w:rsidR="00C77C25" w:rsidRPr="00C77C25" w14:paraId="5A1CC5A3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7365C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D6F91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Non-China geography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5BDE92A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(n=13,521)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1A6C1C8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28.17 (16.30 - 41.84)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564E11D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99.31% (99.11 to 99.46)</w:t>
            </w:r>
          </w:p>
        </w:tc>
      </w:tr>
      <w:tr w:rsidR="00C77C25" w:rsidRPr="00C77C25" w14:paraId="7A24BC7A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6EF95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1FA25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Mean/Median age ≥60 y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2D66789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(n=13,860)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64EC39F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35.48 (24.22 - 47.63)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6B35DDE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99.05% (98.79 to 99.26)</w:t>
            </w:r>
          </w:p>
        </w:tc>
      </w:tr>
      <w:tr w:rsidR="00C77C25" w:rsidRPr="00C77C25" w14:paraId="0039AB00" w14:textId="77777777" w:rsidTr="00C77C25">
        <w:trPr>
          <w:trHeight w:val="64"/>
        </w:trPr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F8250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729C7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sz w:val="20"/>
                <w:szCs w:val="20"/>
              </w:rPr>
              <w:t>Sample size &gt;175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0AA94BA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(n=16,681)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B1890D1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24.27 (14.3 - 35.89)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8787552" w14:textId="77777777" w:rsidR="00C77C25" w:rsidRPr="00C77C25" w:rsidRDefault="00C77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99.49% (99.40 to 99.56)</w:t>
            </w:r>
          </w:p>
        </w:tc>
      </w:tr>
    </w:tbl>
    <w:p w14:paraId="3F61DB2B" w14:textId="77777777" w:rsidR="00C77C25" w:rsidRPr="00C77C25" w:rsidRDefault="00C77C25" w:rsidP="00C77C25">
      <w:pPr>
        <w:rPr>
          <w:rFonts w:ascii="Times New Roman" w:hAnsi="Times New Roman" w:cs="Times New Roman"/>
          <w:sz w:val="20"/>
          <w:szCs w:val="20"/>
        </w:rPr>
      </w:pPr>
      <w:r w:rsidRPr="00C77C25">
        <w:rPr>
          <w:rFonts w:ascii="Times New Roman" w:hAnsi="Times New Roman" w:cs="Times New Roman"/>
          <w:sz w:val="20"/>
          <w:szCs w:val="20"/>
        </w:rPr>
        <w:t>p value was &lt;0.0001 for each of these analysis</w:t>
      </w:r>
    </w:p>
    <w:p w14:paraId="6287B27F" w14:textId="77777777" w:rsidR="000F41D7" w:rsidRDefault="000F41D7"/>
    <w:sectPr w:rsidR="000F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25"/>
    <w:rsid w:val="000F41D7"/>
    <w:rsid w:val="00451DA1"/>
    <w:rsid w:val="00C77C25"/>
    <w:rsid w:val="00D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F207"/>
  <w15:chartTrackingRefBased/>
  <w15:docId w15:val="{961D9914-B310-418F-A4FE-DF1F7E49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25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C25"/>
    <w:pPr>
      <w:spacing w:after="0" w:line="240" w:lineRule="auto"/>
    </w:pPr>
    <w:rPr>
      <w:lang w:val="en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2020-10-14T20:09:00Z</dcterms:created>
  <dcterms:modified xsi:type="dcterms:W3CDTF">2020-10-14T20:15:00Z</dcterms:modified>
</cp:coreProperties>
</file>