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30"/>
        <w:gridCol w:w="1671"/>
      </w:tblGrid>
      <w:tr w:rsidR="00D8602F" w:rsidRPr="008469D3" w14:paraId="634543F3" w14:textId="77777777" w:rsidTr="00BF6E87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009295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28515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68CCDF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32C6EF1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4CEF979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3681C472" w14:textId="77777777" w:rsidTr="00BF6E87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4CB12E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62972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0DE72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281B3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6720B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273C3112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5A28F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CE1BC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07A79A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B58348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7A2DCE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17CEA41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3355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B5D76E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A700F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DBD78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3CE8DFF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E4D2EF" w14:textId="6172168A" w:rsidR="00D8602F" w:rsidRPr="008469D3" w:rsidRDefault="00BF6E8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4152F0">
              <w:rPr>
                <w:rFonts w:cstheme="minorHAnsi"/>
                <w:color w:val="000000" w:themeColor="text1"/>
                <w:sz w:val="18"/>
                <w:lang w:val="en-GB"/>
              </w:rPr>
              <w:t>-</w:t>
            </w:r>
            <w:r w:rsidR="003B23F2"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D8602F" w:rsidRPr="008469D3" w14:paraId="09440374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33616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2CA9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271523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6CBF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F6E88B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17F116A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451C4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5AD74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F010EC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A03E7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C89E767" w14:textId="68562AE8" w:rsidR="00D8602F" w:rsidRPr="008469D3" w:rsidRDefault="00626EF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D8602F" w:rsidRPr="008469D3" w14:paraId="4FEE923D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CBF5C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A0F79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48027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93BDE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E896D1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F740BC2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6CFE7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6BAA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694CC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B299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C4FEE8" w14:textId="0A3CD5F9" w:rsidR="00D8602F" w:rsidRPr="008469D3" w:rsidRDefault="00BF6E8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14:paraId="13BFFAE0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F3E68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DF5C5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E7A37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770F4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920B16" w14:textId="084B238F" w:rsidR="00D8602F" w:rsidRPr="008469D3" w:rsidRDefault="00BF6E8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  <w:r w:rsidR="00396DE6">
              <w:rPr>
                <w:rFonts w:cstheme="minorHAnsi"/>
                <w:color w:val="000000" w:themeColor="text1"/>
                <w:sz w:val="18"/>
                <w:lang w:val="en-GB"/>
              </w:rPr>
              <w:t>-5</w:t>
            </w:r>
          </w:p>
        </w:tc>
      </w:tr>
      <w:tr w:rsidR="00D8602F" w:rsidRPr="008469D3" w14:paraId="58CB3A6B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08197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CC6165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53EA3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4CF4F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5E1EA9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9A5BFB3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8D12F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1E078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14299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8CC51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71325B" w14:textId="50A93571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75009788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B80C9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DC70F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97B4F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07321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2197094" w14:textId="38C3402B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5C2A5303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C23E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DE1B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D2929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4E53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7D687F3" w14:textId="37133EDC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5BBC5864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BF8B3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54D3A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D9ECB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5BDE4E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6C59C2" w14:textId="77F9DC89" w:rsidR="00D8602F" w:rsidRPr="008469D3" w:rsidRDefault="00665A3C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265368BB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97EA4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0308C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D7548A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70567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B2682E" w14:textId="3C8E6574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304BFE8B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E5945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79AA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87F53A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B90D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590CC6" w14:textId="5862CBEC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6-7</w:t>
            </w:r>
          </w:p>
        </w:tc>
      </w:tr>
      <w:tr w:rsidR="00D8602F" w:rsidRPr="008469D3" w14:paraId="62B819E3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70E29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BB1179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E1DA6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83D1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DFC4A38" w14:textId="73B18BC4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6-7</w:t>
            </w:r>
          </w:p>
        </w:tc>
      </w:tr>
      <w:tr w:rsidR="00D8602F" w:rsidRPr="008469D3" w14:paraId="33904FDD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C6079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1EC5F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9D437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632D31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D85061" w14:textId="5AE7A2AE" w:rsidR="00D8602F" w:rsidRPr="008469D3" w:rsidRDefault="00665A3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6-7</w:t>
            </w:r>
          </w:p>
        </w:tc>
      </w:tr>
      <w:tr w:rsidR="00D8602F" w:rsidRPr="008469D3" w14:paraId="53BC9C8C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5494B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DA42F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D47DBB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C3E69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E725892" w14:textId="4F8BCCCD" w:rsidR="00D8602F" w:rsidRPr="008469D3" w:rsidRDefault="00665A3C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6-7</w:t>
            </w:r>
          </w:p>
        </w:tc>
      </w:tr>
      <w:tr w:rsidR="00D8602F" w:rsidRPr="008469D3" w14:paraId="1F54A231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CE99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F4D91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3A259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C02B6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54EE92F" w14:textId="411F1FAC" w:rsidR="00D8602F" w:rsidRPr="008469D3" w:rsidRDefault="00665A3C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6-7</w:t>
            </w:r>
          </w:p>
        </w:tc>
      </w:tr>
      <w:tr w:rsidR="00665A3C" w:rsidRPr="008469D3" w14:paraId="4FF7D224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CDEFDC8" w14:textId="77777777" w:rsidR="00665A3C" w:rsidRPr="008469D3" w:rsidRDefault="00665A3C" w:rsidP="00665A3C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BA9C2C" w14:textId="77777777" w:rsidR="00665A3C" w:rsidRPr="008469D3" w:rsidRDefault="00665A3C" w:rsidP="00665A3C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063EDE" w14:textId="77777777" w:rsidR="00665A3C" w:rsidRPr="0046212E" w:rsidRDefault="00665A3C" w:rsidP="00665A3C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A6A04B" w14:textId="77777777" w:rsidR="00665A3C" w:rsidRPr="008469D3" w:rsidRDefault="00665A3C" w:rsidP="00665A3C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602853" w14:textId="61CC3A93" w:rsidR="00665A3C" w:rsidRPr="008469D3" w:rsidRDefault="00665A3C" w:rsidP="00665A3C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2F26F0">
              <w:rPr>
                <w:rFonts w:cstheme="minorHAnsi"/>
                <w:sz w:val="18"/>
                <w:lang w:val="en-GB"/>
              </w:rPr>
              <w:t>6-7</w:t>
            </w:r>
          </w:p>
        </w:tc>
      </w:tr>
      <w:tr w:rsidR="00665A3C" w:rsidRPr="008469D3" w14:paraId="5010BA90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458EAF" w14:textId="77777777" w:rsidR="00665A3C" w:rsidRPr="008469D3" w:rsidDel="0039653F" w:rsidRDefault="00665A3C" w:rsidP="00665A3C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7FC716" w14:textId="77777777" w:rsidR="00665A3C" w:rsidRPr="008469D3" w:rsidDel="0039653F" w:rsidRDefault="00665A3C" w:rsidP="00665A3C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505660C" w14:textId="77777777" w:rsidR="00665A3C" w:rsidRPr="0046212E" w:rsidRDefault="00665A3C" w:rsidP="00665A3C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287FAD" w14:textId="77777777" w:rsidR="00665A3C" w:rsidRPr="008469D3" w:rsidRDefault="00665A3C" w:rsidP="00665A3C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B6D4DC" w14:textId="7C980911" w:rsidR="00665A3C" w:rsidRPr="008469D3" w:rsidRDefault="00665A3C" w:rsidP="00665A3C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2F26F0">
              <w:rPr>
                <w:rFonts w:cstheme="minorHAnsi"/>
                <w:sz w:val="18"/>
                <w:lang w:val="en-GB"/>
              </w:rPr>
              <w:t>6-7</w:t>
            </w:r>
          </w:p>
        </w:tc>
      </w:tr>
      <w:tr w:rsidR="00D8602F" w:rsidRPr="008469D3" w14:paraId="1708E039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D1FA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E8233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0506C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E2E4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762F7E" w14:textId="7BFE0893" w:rsidR="00D8602F" w:rsidRPr="008469D3" w:rsidRDefault="00E265C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7-8</w:t>
            </w:r>
          </w:p>
        </w:tc>
      </w:tr>
      <w:tr w:rsidR="00E265C3" w:rsidRPr="008469D3" w14:paraId="13F8AFC4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8EB077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14A330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C56019" w14:textId="77777777" w:rsidR="00E265C3" w:rsidRPr="0046212E" w:rsidRDefault="00E265C3" w:rsidP="00E265C3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047BFE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15A21A" w14:textId="77A3C008" w:rsidR="00E265C3" w:rsidRPr="008469D3" w:rsidRDefault="00E265C3" w:rsidP="00E265C3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995500">
              <w:rPr>
                <w:rFonts w:cstheme="minorHAnsi"/>
                <w:color w:val="000000" w:themeColor="text1"/>
                <w:sz w:val="18"/>
                <w:lang w:val="en-GB"/>
              </w:rPr>
              <w:t>7-8</w:t>
            </w:r>
          </w:p>
        </w:tc>
      </w:tr>
      <w:tr w:rsidR="00E265C3" w:rsidRPr="008469D3" w14:paraId="6F49CD14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67BB078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22DC343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A8A8C0" w14:textId="77777777" w:rsidR="00E265C3" w:rsidRPr="0046212E" w:rsidRDefault="00E265C3" w:rsidP="00E265C3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5E8532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228B8E5" w14:textId="1C9C47B0" w:rsidR="00E265C3" w:rsidRPr="008469D3" w:rsidRDefault="00E265C3" w:rsidP="00E265C3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995500">
              <w:rPr>
                <w:rFonts w:cstheme="minorHAnsi"/>
                <w:color w:val="000000" w:themeColor="text1"/>
                <w:sz w:val="18"/>
                <w:lang w:val="en-GB"/>
              </w:rPr>
              <w:t>7-8</w:t>
            </w:r>
          </w:p>
        </w:tc>
      </w:tr>
      <w:tr w:rsidR="00E265C3" w:rsidRPr="008469D3" w14:paraId="721ED2BE" w14:textId="77777777" w:rsidTr="00BF6E87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D4D78B1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01C1BF5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1695101" w14:textId="77777777" w:rsidR="00E265C3" w:rsidRPr="0046212E" w:rsidRDefault="00E265C3" w:rsidP="00E265C3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558CBF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055F1E" w14:textId="14EBFDEF" w:rsidR="00E265C3" w:rsidRPr="008469D3" w:rsidRDefault="00E265C3" w:rsidP="00E265C3">
            <w:pPr>
              <w:rPr>
                <w:rFonts w:cstheme="minorHAnsi"/>
                <w:sz w:val="18"/>
                <w:lang w:val="en-GB"/>
              </w:rPr>
            </w:pPr>
            <w:r w:rsidRPr="00995500">
              <w:rPr>
                <w:rFonts w:cstheme="minorHAnsi"/>
                <w:color w:val="000000" w:themeColor="text1"/>
                <w:sz w:val="18"/>
                <w:lang w:val="en-GB"/>
              </w:rPr>
              <w:t>7-8</w:t>
            </w:r>
          </w:p>
        </w:tc>
      </w:tr>
      <w:tr w:rsidR="00E265C3" w:rsidRPr="008469D3" w14:paraId="0418A9E9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87C2DA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A4AFA8A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7A55B4" w14:textId="77777777" w:rsidR="00E265C3" w:rsidRPr="0046212E" w:rsidRDefault="00E265C3" w:rsidP="00E265C3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369E81" w14:textId="77777777" w:rsidR="00E265C3" w:rsidRPr="008469D3" w:rsidRDefault="00E265C3" w:rsidP="00E265C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6B729D" w14:textId="19FB4DCB" w:rsidR="00E265C3" w:rsidRPr="008469D3" w:rsidRDefault="00E265C3" w:rsidP="00E265C3">
            <w:pPr>
              <w:rPr>
                <w:rFonts w:cstheme="minorHAnsi"/>
                <w:sz w:val="18"/>
                <w:lang w:val="en-GB"/>
              </w:rPr>
            </w:pPr>
            <w:r w:rsidRPr="00995500">
              <w:rPr>
                <w:rFonts w:cstheme="minorHAnsi"/>
                <w:color w:val="000000" w:themeColor="text1"/>
                <w:sz w:val="18"/>
                <w:lang w:val="en-GB"/>
              </w:rPr>
              <w:t>7-8</w:t>
            </w:r>
          </w:p>
        </w:tc>
      </w:tr>
      <w:tr w:rsidR="00D8602F" w:rsidRPr="008469D3" w14:paraId="11CA942A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3AFDF3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F2D36D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49E58C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BFE53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C9478C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BE178F1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A2BB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04644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86F2E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82026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5F0221" w14:textId="6A23D28C" w:rsidR="00D8602F" w:rsidRPr="008469D3" w:rsidRDefault="00456D8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  <w:r w:rsidR="000F6503">
              <w:rPr>
                <w:rFonts w:cstheme="minorHAnsi"/>
                <w:color w:val="000000" w:themeColor="text1"/>
                <w:sz w:val="18"/>
                <w:lang w:val="en-GB"/>
              </w:rPr>
              <w:t xml:space="preserve"> - Table 1</w:t>
            </w:r>
          </w:p>
        </w:tc>
      </w:tr>
      <w:tr w:rsidR="00D8602F" w:rsidRPr="008469D3" w14:paraId="66C83F61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E97DE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90FF2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9895D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BA294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CF965C" w14:textId="7E1EAD5F" w:rsidR="00D8602F" w:rsidRPr="008469D3" w:rsidRDefault="000F6503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8</w:t>
            </w:r>
          </w:p>
        </w:tc>
      </w:tr>
      <w:tr w:rsidR="00D8602F" w:rsidRPr="008469D3" w14:paraId="0B2FB8CA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3465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17496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67954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D7ED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2CFDBCA" w14:textId="2395023C" w:rsidR="00D8602F" w:rsidRPr="008469D3" w:rsidRDefault="000F65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8-9</w:t>
            </w:r>
          </w:p>
        </w:tc>
      </w:tr>
      <w:tr w:rsidR="000F6503" w:rsidRPr="008469D3" w14:paraId="3B143197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D0E025" w14:textId="77777777" w:rsidR="000F6503" w:rsidRPr="008469D3" w:rsidRDefault="000F6503" w:rsidP="000F6503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33BF37" w14:textId="77777777" w:rsidR="000F6503" w:rsidRPr="008469D3" w:rsidRDefault="000F6503" w:rsidP="000F6503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3B574D" w14:textId="77777777" w:rsidR="000F6503" w:rsidRPr="0046212E" w:rsidRDefault="000F6503" w:rsidP="000F6503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3911943" w14:textId="77777777" w:rsidR="000F6503" w:rsidRPr="008469D3" w:rsidRDefault="000F6503" w:rsidP="000F65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82F596" w14:textId="16C4F8BC" w:rsidR="000F6503" w:rsidRPr="008469D3" w:rsidRDefault="000F6503" w:rsidP="000F6503">
            <w:pPr>
              <w:rPr>
                <w:rFonts w:cstheme="minorHAnsi"/>
                <w:sz w:val="18"/>
                <w:lang w:val="en-GB"/>
              </w:rPr>
            </w:pPr>
            <w:r w:rsidRPr="00111C2C">
              <w:rPr>
                <w:rFonts w:cstheme="minorHAnsi"/>
                <w:color w:val="000000" w:themeColor="text1"/>
                <w:sz w:val="18"/>
                <w:lang w:val="en-GB"/>
              </w:rPr>
              <w:t>8-9</w:t>
            </w:r>
          </w:p>
        </w:tc>
      </w:tr>
      <w:tr w:rsidR="000F6503" w:rsidRPr="008469D3" w14:paraId="27C41B54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BF4D3E" w14:textId="77777777" w:rsidR="000F6503" w:rsidRPr="008469D3" w:rsidRDefault="000F6503" w:rsidP="000F6503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030B3C" w14:textId="77777777" w:rsidR="000F6503" w:rsidRPr="008469D3" w:rsidRDefault="000F6503" w:rsidP="000F6503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DD2A9C2" w14:textId="77777777" w:rsidR="000F6503" w:rsidRPr="0046212E" w:rsidRDefault="000F6503" w:rsidP="000F6503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5C72A5A" w14:textId="77777777" w:rsidR="000F6503" w:rsidRPr="008469D3" w:rsidRDefault="000F6503" w:rsidP="000F6503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4B0A559" w14:textId="5E54F32B" w:rsidR="000F6503" w:rsidRPr="008469D3" w:rsidRDefault="000F6503" w:rsidP="000F6503">
            <w:pPr>
              <w:rPr>
                <w:rFonts w:cstheme="minorHAnsi"/>
                <w:sz w:val="18"/>
                <w:lang w:val="en-GB"/>
              </w:rPr>
            </w:pPr>
            <w:r w:rsidRPr="00111C2C">
              <w:rPr>
                <w:rFonts w:cstheme="minorHAnsi"/>
                <w:color w:val="000000" w:themeColor="text1"/>
                <w:sz w:val="18"/>
                <w:lang w:val="en-GB"/>
              </w:rPr>
              <w:t>8-9</w:t>
            </w:r>
          </w:p>
        </w:tc>
      </w:tr>
      <w:tr w:rsidR="00D8602F" w:rsidRPr="008469D3" w14:paraId="3477797F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5930B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DAFD0F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CEFD1A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74A78D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0A9809" w14:textId="695E075C" w:rsidR="00D8602F" w:rsidRPr="008469D3" w:rsidRDefault="000F65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2</w:t>
            </w:r>
          </w:p>
        </w:tc>
      </w:tr>
      <w:tr w:rsidR="00D8602F" w:rsidRPr="008469D3" w14:paraId="179F5BA3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7CCA0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5EBC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805A1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0C8B6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84CDBF6" w14:textId="7DA8805D" w:rsidR="00D8602F" w:rsidRPr="008469D3" w:rsidRDefault="000F650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Table 2</w:t>
            </w:r>
          </w:p>
        </w:tc>
      </w:tr>
      <w:tr w:rsidR="00D8602F" w:rsidRPr="008469D3" w14:paraId="1A239F99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8B4BF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5ED1A3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139CA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6C8E8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A39F50" w14:textId="345246CB" w:rsidR="00D8602F" w:rsidRPr="008469D3" w:rsidRDefault="00674D9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Not applicable</w:t>
            </w:r>
          </w:p>
        </w:tc>
      </w:tr>
      <w:tr w:rsidR="00D8602F" w:rsidRPr="008469D3" w14:paraId="3984CB8B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AE7AC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A85DF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28848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70D55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B4F0BF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31EEB88F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816C9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E2F8F3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95C07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066C4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73C238" w14:textId="15B8647D" w:rsidR="00D8602F" w:rsidRPr="008469D3" w:rsidRDefault="004152F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</w:t>
            </w:r>
            <w:r w:rsidR="00E44514">
              <w:rPr>
                <w:rFonts w:cstheme="minorHAnsi"/>
                <w:color w:val="000000" w:themeColor="text1"/>
                <w:sz w:val="18"/>
                <w:lang w:val="en-GB"/>
              </w:rPr>
              <w:t>1-12</w:t>
            </w:r>
          </w:p>
        </w:tc>
      </w:tr>
      <w:tr w:rsidR="00D8602F" w:rsidRPr="008469D3" w14:paraId="0D9BF59C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2B14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AEEE3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2F61D8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D7CAE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904B0C" w14:textId="5A2D3499" w:rsidR="00D8602F" w:rsidRPr="008469D3" w:rsidRDefault="00761B59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9-12</w:t>
            </w:r>
          </w:p>
        </w:tc>
      </w:tr>
      <w:tr w:rsidR="00D8602F" w:rsidRPr="008469D3" w14:paraId="2B982BC2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2A2B0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C17EB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126FDC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E2D0A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6A6457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051FA49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D3764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6CB87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EC813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2533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2A3C25" w14:textId="661F68E1" w:rsidR="00D8602F" w:rsidRPr="008469D3" w:rsidRDefault="00CA48F0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50CD66E8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FB87C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93CAA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D27D2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1901A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609F55" w14:textId="290A7E44" w:rsidR="00D8602F" w:rsidRPr="008469D3" w:rsidRDefault="00B95097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AVAILABLE AT REQUEST</w:t>
            </w:r>
          </w:p>
        </w:tc>
      </w:tr>
      <w:tr w:rsidR="00D8602F" w:rsidRPr="008469D3" w14:paraId="12A149B7" w14:textId="77777777" w:rsidTr="00BF6E8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F1A2D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3B0082F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1DAD49E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30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BF9B6C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1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55E6CF08" w14:textId="746BB8F7" w:rsidR="00D8602F" w:rsidRPr="008469D3" w:rsidRDefault="004152F0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</w:t>
            </w:r>
            <w:r w:rsidR="003D23BB">
              <w:rPr>
                <w:rFonts w:cstheme="minorHAnsi"/>
                <w:color w:val="000000" w:themeColor="text1"/>
                <w:sz w:val="18"/>
              </w:rPr>
              <w:t>2</w:t>
            </w:r>
          </w:p>
        </w:tc>
      </w:tr>
      <w:tr w:rsidR="00D8602F" w:rsidRPr="005320D9" w14:paraId="45604671" w14:textId="77777777" w:rsidTr="00BF6E87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095A2DC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5A04D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5D4C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F16B5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6FF62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6856F79F" w14:textId="77777777" w:rsid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</w:pPr>
    </w:p>
    <w:p w14:paraId="197B3000" w14:textId="72455190" w:rsidR="001824DA" w:rsidRPr="001824DA" w:rsidRDefault="001824DA" w:rsidP="001824DA">
      <w:pPr>
        <w:rPr>
          <w:sz w:val="28"/>
          <w:szCs w:val="22"/>
        </w:rPr>
        <w:sectPr w:rsidR="001824DA" w:rsidRPr="001824DA" w:rsidSect="0046212E">
          <w:head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25ED2666" w14:textId="277BCF6D" w:rsidR="001824DA" w:rsidRPr="00523AA2" w:rsidRDefault="0084546B" w:rsidP="001824DA">
      <w:r>
        <w:rPr>
          <w:sz w:val="28"/>
        </w:rPr>
        <w:br w:type="page"/>
      </w:r>
    </w:p>
    <w:p w14:paraId="320CD590" w14:textId="1DCFB04F" w:rsidR="00411FEB" w:rsidRPr="00523AA2" w:rsidRDefault="00411FEB" w:rsidP="00F31F82"/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D300" w14:textId="77777777" w:rsidR="001527E2" w:rsidRDefault="001527E2" w:rsidP="00757FD1">
      <w:pPr>
        <w:spacing w:after="0" w:line="240" w:lineRule="auto"/>
      </w:pPr>
      <w:r>
        <w:separator/>
      </w:r>
    </w:p>
  </w:endnote>
  <w:endnote w:type="continuationSeparator" w:id="0">
    <w:p w14:paraId="24382736" w14:textId="77777777" w:rsidR="001527E2" w:rsidRDefault="001527E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55191" w14:textId="77777777" w:rsidR="001527E2" w:rsidRDefault="001527E2" w:rsidP="00757FD1">
      <w:pPr>
        <w:spacing w:after="0" w:line="240" w:lineRule="auto"/>
      </w:pPr>
      <w:r>
        <w:separator/>
      </w:r>
    </w:p>
  </w:footnote>
  <w:footnote w:type="continuationSeparator" w:id="0">
    <w:p w14:paraId="02A22C8B" w14:textId="77777777" w:rsidR="001527E2" w:rsidRDefault="001527E2" w:rsidP="007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96E4" w14:textId="2261D25B" w:rsidR="001824DA" w:rsidRDefault="001824DA" w:rsidP="001824DA">
    <w:pPr>
      <w:rPr>
        <w:sz w:val="28"/>
      </w:rPr>
    </w:pPr>
    <w:r>
      <w:rPr>
        <w:sz w:val="28"/>
      </w:rPr>
      <w:br w:type="page"/>
    </w:r>
    <w:r w:rsidRPr="00877F0A">
      <w:rPr>
        <w:sz w:val="28"/>
      </w:rPr>
      <w:t>STARD</w:t>
    </w:r>
    <w:r>
      <w:rPr>
        <w:sz w:val="28"/>
      </w:rPr>
      <w:t xml:space="preserve"> 2015 - </w:t>
    </w:r>
    <w:r>
      <w:t>“Standards for Reporting Diagnostic accuracy studies”</w:t>
    </w:r>
  </w:p>
  <w:p w14:paraId="698D171A" w14:textId="77777777" w:rsidR="001824DA" w:rsidRDefault="001824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0F6503"/>
    <w:rsid w:val="00104FCD"/>
    <w:rsid w:val="00110EEC"/>
    <w:rsid w:val="00114C52"/>
    <w:rsid w:val="001306B6"/>
    <w:rsid w:val="00131B16"/>
    <w:rsid w:val="001476C3"/>
    <w:rsid w:val="001527E2"/>
    <w:rsid w:val="00152CED"/>
    <w:rsid w:val="00155255"/>
    <w:rsid w:val="00155CAD"/>
    <w:rsid w:val="001709BF"/>
    <w:rsid w:val="001824DA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96DE6"/>
    <w:rsid w:val="003A2EA1"/>
    <w:rsid w:val="003B0B2A"/>
    <w:rsid w:val="003B23F2"/>
    <w:rsid w:val="003C0AB8"/>
    <w:rsid w:val="003C5973"/>
    <w:rsid w:val="003D227B"/>
    <w:rsid w:val="003D23BB"/>
    <w:rsid w:val="003D4562"/>
    <w:rsid w:val="0040769C"/>
    <w:rsid w:val="00411FEB"/>
    <w:rsid w:val="004152F0"/>
    <w:rsid w:val="004228A5"/>
    <w:rsid w:val="00431C4E"/>
    <w:rsid w:val="004378AC"/>
    <w:rsid w:val="0044171E"/>
    <w:rsid w:val="00456D8B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26EF7"/>
    <w:rsid w:val="00637958"/>
    <w:rsid w:val="00641E60"/>
    <w:rsid w:val="00650885"/>
    <w:rsid w:val="006571B2"/>
    <w:rsid w:val="00665A3C"/>
    <w:rsid w:val="00674D94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61B59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550DA"/>
    <w:rsid w:val="00A63FA9"/>
    <w:rsid w:val="00A807CA"/>
    <w:rsid w:val="00A84F5C"/>
    <w:rsid w:val="00A86360"/>
    <w:rsid w:val="00AA5FAA"/>
    <w:rsid w:val="00AD20C2"/>
    <w:rsid w:val="00B01FA8"/>
    <w:rsid w:val="00B112A3"/>
    <w:rsid w:val="00B30129"/>
    <w:rsid w:val="00B37D7D"/>
    <w:rsid w:val="00B44BD2"/>
    <w:rsid w:val="00B65AAD"/>
    <w:rsid w:val="00B727FD"/>
    <w:rsid w:val="00B82B57"/>
    <w:rsid w:val="00B9509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BF6E87"/>
    <w:rsid w:val="00C106F1"/>
    <w:rsid w:val="00C17FE3"/>
    <w:rsid w:val="00CA48F0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65C3"/>
    <w:rsid w:val="00E27216"/>
    <w:rsid w:val="00E27BEB"/>
    <w:rsid w:val="00E369C4"/>
    <w:rsid w:val="00E4451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65D05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1F8B2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FEB"/>
  </w:style>
  <w:style w:type="paragraph" w:styleId="Titolo1">
    <w:name w:val="heading 1"/>
    <w:basedOn w:val="Normale"/>
    <w:next w:val="Normale"/>
    <w:link w:val="Titolo1Carattere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Paragrafoelenco">
    <w:name w:val="List Paragraph"/>
    <w:basedOn w:val="Normale"/>
    <w:uiPriority w:val="34"/>
    <w:qFormat/>
    <w:rsid w:val="0065088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11FEB"/>
    <w:rPr>
      <w:caps/>
      <w:color w:val="1F4D78" w:themeColor="accent1" w:themeShade="7F"/>
      <w:spacing w:val="15"/>
    </w:rPr>
  </w:style>
  <w:style w:type="character" w:styleId="Rimandocommento">
    <w:name w:val="annotation reference"/>
    <w:basedOn w:val="Carpredefinitoparagrafo"/>
    <w:uiPriority w:val="99"/>
    <w:semiHidden/>
    <w:unhideWhenUsed/>
    <w:rsid w:val="00686D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6D6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6D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6D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6D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FD1"/>
  </w:style>
  <w:style w:type="paragraph" w:styleId="Pidipagina">
    <w:name w:val="footer"/>
    <w:basedOn w:val="Normale"/>
    <w:link w:val="PidipaginaCaratter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FD1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11FEB"/>
    <w:rPr>
      <w:b/>
      <w:bCs/>
    </w:rPr>
  </w:style>
  <w:style w:type="character" w:styleId="Enfasicorsivo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411FE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11FEB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1FEB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1FEB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11FEB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11FE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ellanormale"/>
    <w:next w:val="Grigliatabella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6B9A-1304-4B77-930E-C2554E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STARD 2015</vt:lpstr>
      <vt:lpstr>STARD 2015</vt:lpstr>
      <vt:lpstr>STARD 2015</vt:lpstr>
      <vt:lpstr>STARD 2015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Fabio Barra</cp:lastModifiedBy>
  <cp:revision>18</cp:revision>
  <cp:lastPrinted>2015-10-23T10:20:00Z</cp:lastPrinted>
  <dcterms:created xsi:type="dcterms:W3CDTF">2020-12-28T15:51:00Z</dcterms:created>
  <dcterms:modified xsi:type="dcterms:W3CDTF">2021-02-01T08:03:00Z</dcterms:modified>
</cp:coreProperties>
</file>