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DA" w:rsidRPr="00D20A82" w:rsidRDefault="003164DA" w:rsidP="00833724">
      <w:pPr>
        <w:spacing w:afterLines="50" w:line="360" w:lineRule="auto"/>
        <w:jc w:val="center"/>
        <w:rPr>
          <w:rFonts w:ascii="Times New Roman" w:hAnsi="Times New Roman"/>
          <w:b/>
          <w:bCs/>
          <w:color w:val="000000"/>
          <w:szCs w:val="21"/>
        </w:rPr>
      </w:pPr>
      <w:r w:rsidRPr="00D20A82">
        <w:rPr>
          <w:rFonts w:ascii="Times New Roman" w:hAnsi="Times New Roman"/>
          <w:b/>
          <w:bCs/>
          <w:color w:val="000000"/>
          <w:szCs w:val="21"/>
        </w:rPr>
        <w:t>Supplemental t</w:t>
      </w:r>
      <w:r w:rsidRPr="00D20A82">
        <w:rPr>
          <w:rFonts w:ascii="Times New Roman" w:hAnsi="Times New Roman" w:hint="eastAsia"/>
          <w:b/>
          <w:bCs/>
          <w:color w:val="000000"/>
          <w:szCs w:val="21"/>
        </w:rPr>
        <w:t>able</w:t>
      </w:r>
      <w:r w:rsidR="00B374C5" w:rsidRPr="00D20A82">
        <w:rPr>
          <w:rFonts w:ascii="Times New Roman" w:hAnsi="Times New Roman"/>
          <w:b/>
          <w:bCs/>
          <w:color w:val="000000"/>
          <w:szCs w:val="21"/>
        </w:rPr>
        <w:t xml:space="preserve"> 1</w:t>
      </w:r>
      <w:r w:rsidRPr="00D20A82">
        <w:rPr>
          <w:rFonts w:ascii="Times New Roman" w:hAnsi="Times New Roman" w:hint="eastAsia"/>
          <w:b/>
          <w:bCs/>
          <w:color w:val="000000"/>
          <w:szCs w:val="21"/>
        </w:rPr>
        <w:t>.</w:t>
      </w:r>
      <w:r w:rsidRPr="00D20A82">
        <w:rPr>
          <w:rFonts w:ascii="Times New Roman" w:hAnsi="Times New Roman"/>
          <w:b/>
          <w:bCs/>
          <w:color w:val="000000"/>
          <w:szCs w:val="21"/>
        </w:rPr>
        <w:t xml:space="preserve"> Univariate analysis of correlations between hs-cTnT and coefficients</w:t>
      </w:r>
    </w:p>
    <w:tbl>
      <w:tblPr>
        <w:tblStyle w:val="a3"/>
        <w:tblW w:w="4652" w:type="pct"/>
        <w:jc w:val="center"/>
        <w:tblLook w:val="04A0"/>
      </w:tblPr>
      <w:tblGrid>
        <w:gridCol w:w="3397"/>
        <w:gridCol w:w="2667"/>
        <w:gridCol w:w="1865"/>
      </w:tblGrid>
      <w:tr w:rsidR="003164DA" w:rsidRPr="00D20A82" w:rsidTr="001412C0">
        <w:trPr>
          <w:trHeight w:val="522"/>
          <w:jc w:val="center"/>
        </w:trPr>
        <w:tc>
          <w:tcPr>
            <w:tcW w:w="2142" w:type="pct"/>
            <w:vMerge w:val="restart"/>
            <w:vAlign w:val="center"/>
          </w:tcPr>
          <w:p w:rsidR="003164DA" w:rsidRPr="00D20A82" w:rsidRDefault="003164DA" w:rsidP="002663E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20A82">
              <w:rPr>
                <w:rFonts w:ascii="Times New Roman" w:hAnsi="Times New Roman"/>
                <w:b/>
                <w:szCs w:val="21"/>
              </w:rPr>
              <w:t>Variable</w:t>
            </w:r>
          </w:p>
        </w:tc>
        <w:tc>
          <w:tcPr>
            <w:tcW w:w="2858" w:type="pct"/>
            <w:gridSpan w:val="2"/>
            <w:vAlign w:val="center"/>
          </w:tcPr>
          <w:p w:rsidR="003164DA" w:rsidRPr="00D20A82" w:rsidRDefault="003164DA" w:rsidP="002663E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Cs w:val="21"/>
              </w:rPr>
            </w:pPr>
            <w:r w:rsidRPr="00D20A82">
              <w:rPr>
                <w:rFonts w:ascii="Times New Roman" w:hAnsi="Times New Roman"/>
                <w:b/>
                <w:szCs w:val="21"/>
              </w:rPr>
              <w:t>Hs-cTnT (pg/ml)</w:t>
            </w:r>
          </w:p>
        </w:tc>
      </w:tr>
      <w:tr w:rsidR="003164DA" w:rsidRPr="00D20A82" w:rsidTr="001412C0">
        <w:trPr>
          <w:trHeight w:val="522"/>
          <w:jc w:val="center"/>
        </w:trPr>
        <w:tc>
          <w:tcPr>
            <w:tcW w:w="2142" w:type="pct"/>
            <w:vMerge/>
            <w:vAlign w:val="center"/>
          </w:tcPr>
          <w:p w:rsidR="003164DA" w:rsidRPr="00D20A82" w:rsidRDefault="003164DA" w:rsidP="002663EF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20A82">
              <w:rPr>
                <w:rFonts w:ascii="Times New Roman" w:hAnsi="Times New Roman" w:hint="eastAsia"/>
                <w:b/>
                <w:szCs w:val="21"/>
              </w:rPr>
              <w:t>R</w:t>
            </w:r>
            <w:r w:rsidRPr="00D20A82">
              <w:rPr>
                <w:rFonts w:ascii="Times New Roman" w:hAnsi="Times New Roman"/>
                <w:b/>
                <w:szCs w:val="21"/>
              </w:rPr>
              <w:t>ho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D20A82">
              <w:rPr>
                <w:rFonts w:ascii="Times New Roman" w:hAnsi="Times New Roman" w:hint="eastAsia"/>
                <w:b/>
                <w:szCs w:val="21"/>
              </w:rPr>
              <w:t>p</w:t>
            </w:r>
            <w:r w:rsidRPr="00D20A82">
              <w:rPr>
                <w:rFonts w:ascii="Times New Roman" w:hAnsi="Times New Roman"/>
                <w:b/>
                <w:i/>
                <w:iCs/>
                <w:szCs w:val="21"/>
              </w:rPr>
              <w:t xml:space="preserve"> </w:t>
            </w:r>
            <w:r w:rsidRPr="00D20A82">
              <w:rPr>
                <w:rFonts w:ascii="Times New Roman" w:hAnsi="Times New Roman"/>
                <w:b/>
                <w:szCs w:val="21"/>
              </w:rPr>
              <w:t>value</w:t>
            </w:r>
          </w:p>
        </w:tc>
      </w:tr>
      <w:tr w:rsidR="003164DA" w:rsidRPr="00D20A82" w:rsidTr="001412C0">
        <w:trPr>
          <w:trHeight w:val="285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Age (years)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.1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164DA" w:rsidRPr="00D20A82" w:rsidTr="001412C0">
        <w:trPr>
          <w:trHeight w:val="54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BMI (kg/m</w:t>
            </w:r>
            <w:r w:rsidRPr="00D20A8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.3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3164DA" w:rsidRPr="00D20A82" w:rsidTr="001412C0">
        <w:trPr>
          <w:trHeight w:val="285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Dialysis vintage (months)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SBP (mm Hg)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.4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DBP (mm Hg)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.29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Kt/V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/>
                <w:sz w:val="18"/>
                <w:szCs w:val="18"/>
              </w:rPr>
              <w:t>-</w:t>
            </w: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.3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Ultrafiltration</w:t>
            </w:r>
            <w:r w:rsidRPr="00D20A82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Volume (kg/each time)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0.20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.0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Scr</w:t>
            </w:r>
            <w:proofErr w:type="spellEnd"/>
            <w:r w:rsidRPr="00D20A82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umol</w:t>
            </w:r>
            <w:proofErr w:type="spellEnd"/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/L)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.27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3164DA" w:rsidRPr="00D20A82" w:rsidTr="001412C0">
        <w:trPr>
          <w:trHeight w:val="285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Albumin (g/L)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.07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.2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164DA" w:rsidRPr="00D20A82" w:rsidTr="001412C0">
        <w:trPr>
          <w:trHeight w:val="285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Hemoglobin (g/L)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.08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.1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164DA" w:rsidRPr="00D20A82" w:rsidTr="001412C0">
        <w:trPr>
          <w:trHeight w:val="285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Cholesterol (mmol/L)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.1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</w:tr>
      <w:tr w:rsidR="001412C0" w:rsidRPr="00D20A82" w:rsidTr="001412C0">
        <w:trPr>
          <w:trHeight w:val="285"/>
          <w:jc w:val="center"/>
        </w:trPr>
        <w:tc>
          <w:tcPr>
            <w:tcW w:w="2142" w:type="pct"/>
            <w:vAlign w:val="center"/>
          </w:tcPr>
          <w:p w:rsidR="001412C0" w:rsidRPr="00D20A82" w:rsidRDefault="001412C0" w:rsidP="00D710B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b/>
                <w:sz w:val="18"/>
                <w:szCs w:val="18"/>
              </w:rPr>
              <w:t>C</w:t>
            </w: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alcium</w:t>
            </w:r>
            <w:r w:rsidRPr="00D20A82">
              <w:rPr>
                <w:rFonts w:ascii="Times New Roman" w:hAnsi="Times New Roman" w:hint="eastAsia"/>
                <w:b/>
                <w:sz w:val="18"/>
                <w:szCs w:val="18"/>
              </w:rPr>
              <w:t>(mmol/L)</w:t>
            </w:r>
          </w:p>
        </w:tc>
        <w:tc>
          <w:tcPr>
            <w:tcW w:w="1682" w:type="pct"/>
            <w:vAlign w:val="center"/>
          </w:tcPr>
          <w:p w:rsidR="001412C0" w:rsidRPr="00D20A82" w:rsidRDefault="001412C0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0.0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7" w:type="pct"/>
            <w:vAlign w:val="center"/>
          </w:tcPr>
          <w:p w:rsidR="001412C0" w:rsidRPr="00D20A82" w:rsidRDefault="001412C0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0.31</w:t>
            </w:r>
          </w:p>
        </w:tc>
      </w:tr>
      <w:tr w:rsidR="001412C0" w:rsidRPr="00D20A82" w:rsidTr="001412C0">
        <w:trPr>
          <w:trHeight w:val="285"/>
          <w:jc w:val="center"/>
        </w:trPr>
        <w:tc>
          <w:tcPr>
            <w:tcW w:w="2142" w:type="pct"/>
            <w:vAlign w:val="center"/>
          </w:tcPr>
          <w:p w:rsidR="001412C0" w:rsidRPr="00D20A82" w:rsidRDefault="001412C0" w:rsidP="00D710B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b/>
                <w:sz w:val="18"/>
                <w:szCs w:val="18"/>
              </w:rPr>
              <w:t>P</w:t>
            </w: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hosphorus</w:t>
            </w:r>
            <w:r w:rsidRPr="00D20A82">
              <w:rPr>
                <w:rFonts w:ascii="Times New Roman" w:hAnsi="Times New Roman" w:hint="eastAsia"/>
                <w:b/>
                <w:sz w:val="18"/>
                <w:szCs w:val="18"/>
              </w:rPr>
              <w:t>(mmol/L)</w:t>
            </w:r>
          </w:p>
        </w:tc>
        <w:tc>
          <w:tcPr>
            <w:tcW w:w="1682" w:type="pct"/>
            <w:vAlign w:val="center"/>
          </w:tcPr>
          <w:p w:rsidR="001412C0" w:rsidRPr="00D20A82" w:rsidRDefault="001412C0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0.07</w:t>
            </w:r>
          </w:p>
        </w:tc>
        <w:tc>
          <w:tcPr>
            <w:tcW w:w="1177" w:type="pct"/>
            <w:vAlign w:val="center"/>
          </w:tcPr>
          <w:p w:rsidR="001412C0" w:rsidRPr="00D20A82" w:rsidRDefault="001412C0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iPTH</w:t>
            </w:r>
            <w:proofErr w:type="spellEnd"/>
            <w:r w:rsidRPr="00D20A82">
              <w:rPr>
                <w:rFonts w:ascii="Times New Roman" w:hAnsi="Times New Roman"/>
                <w:b/>
                <w:sz w:val="18"/>
                <w:szCs w:val="18"/>
              </w:rPr>
              <w:t xml:space="preserve"> (pg/ml)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.41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BNP (pg/ml)</w:t>
            </w:r>
            <w:r w:rsidRPr="00D20A8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682" w:type="pct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.3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LVMI (g/m</w:t>
            </w:r>
            <w:r w:rsidRPr="00D20A8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.59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LVEF (%)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.2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E/E'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.6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&lt;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LAD (mm)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0.0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.9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164DA" w:rsidRPr="00D20A82" w:rsidTr="001412C0">
        <w:trPr>
          <w:trHeight w:val="300"/>
          <w:jc w:val="center"/>
        </w:trPr>
        <w:tc>
          <w:tcPr>
            <w:tcW w:w="2142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0A82">
              <w:rPr>
                <w:rFonts w:ascii="Times New Roman" w:hAnsi="Times New Roman"/>
                <w:b/>
                <w:sz w:val="18"/>
                <w:szCs w:val="18"/>
              </w:rPr>
              <w:t>E/A</w:t>
            </w:r>
          </w:p>
        </w:tc>
        <w:tc>
          <w:tcPr>
            <w:tcW w:w="1682" w:type="pct"/>
            <w:vAlign w:val="center"/>
          </w:tcPr>
          <w:p w:rsidR="003164DA" w:rsidRPr="00D20A82" w:rsidRDefault="003164DA" w:rsidP="002663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/>
                <w:sz w:val="18"/>
                <w:szCs w:val="18"/>
              </w:rPr>
              <w:t>0.</w:t>
            </w:r>
            <w:r w:rsidRPr="00D20A8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7" w:type="pct"/>
            <w:vAlign w:val="center"/>
          </w:tcPr>
          <w:p w:rsidR="003164DA" w:rsidRPr="00D20A82" w:rsidRDefault="003164DA" w:rsidP="002663EF">
            <w:pPr>
              <w:rPr>
                <w:rFonts w:ascii="Times New Roman" w:hAnsi="Times New Roman"/>
                <w:sz w:val="18"/>
                <w:szCs w:val="18"/>
              </w:rPr>
            </w:pPr>
            <w:r w:rsidRPr="00D20A8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0A82">
              <w:rPr>
                <w:rFonts w:ascii="Times New Roman" w:hAnsi="Times New Roman"/>
                <w:sz w:val="18"/>
                <w:szCs w:val="18"/>
              </w:rPr>
              <w:t>.0</w:t>
            </w:r>
            <w:r w:rsidR="00FD1F55" w:rsidRPr="00D20A8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3164DA" w:rsidRPr="00D20A82" w:rsidRDefault="003164DA" w:rsidP="003164DA">
      <w:pPr>
        <w:autoSpaceDE w:val="0"/>
        <w:autoSpaceDN w:val="0"/>
        <w:adjustRightInd w:val="0"/>
        <w:ind w:leftChars="67" w:left="141"/>
        <w:jc w:val="left"/>
        <w:rPr>
          <w:rFonts w:ascii="Times New Roman" w:hAnsi="Times New Roman"/>
          <w:sz w:val="16"/>
          <w:szCs w:val="16"/>
        </w:rPr>
      </w:pPr>
      <w:r w:rsidRPr="00D20A82">
        <w:rPr>
          <w:rFonts w:ascii="Times New Roman" w:hAnsi="Times New Roman"/>
          <w:sz w:val="16"/>
          <w:szCs w:val="16"/>
        </w:rPr>
        <w:t>Notes:</w:t>
      </w:r>
    </w:p>
    <w:p w:rsidR="003164DA" w:rsidRDefault="003164DA" w:rsidP="003164DA">
      <w:pPr>
        <w:ind w:leftChars="67" w:left="141"/>
        <w:rPr>
          <w:rFonts w:ascii="Times New Roman" w:hAnsi="Times New Roman"/>
          <w:sz w:val="16"/>
          <w:szCs w:val="16"/>
        </w:rPr>
      </w:pPr>
      <w:r w:rsidRPr="00D20A82">
        <w:rPr>
          <w:rFonts w:ascii="Times New Roman" w:hAnsi="Times New Roman"/>
          <w:sz w:val="16"/>
          <w:szCs w:val="16"/>
        </w:rPr>
        <w:t xml:space="preserve">BMI=Body mass index; LVH=left ventricular hypertrophy; IHD=ischemic heart disease; </w:t>
      </w:r>
      <w:r w:rsidRPr="00D20A82">
        <w:rPr>
          <w:rFonts w:ascii="Times New Roman" w:hAnsi="Times New Roman" w:hint="eastAsia"/>
          <w:sz w:val="16"/>
          <w:szCs w:val="16"/>
        </w:rPr>
        <w:t>SBP=s</w:t>
      </w:r>
      <w:r w:rsidRPr="00D20A82">
        <w:rPr>
          <w:rFonts w:ascii="Times New Roman" w:hAnsi="Times New Roman"/>
          <w:sz w:val="16"/>
          <w:szCs w:val="16"/>
        </w:rPr>
        <w:t>ystolic blood pressure</w:t>
      </w:r>
      <w:r w:rsidRPr="00D20A82">
        <w:rPr>
          <w:rFonts w:ascii="Times New Roman" w:hAnsi="Times New Roman" w:hint="eastAsia"/>
          <w:sz w:val="16"/>
          <w:szCs w:val="16"/>
        </w:rPr>
        <w:t>; DBP=d</w:t>
      </w:r>
      <w:r w:rsidRPr="00D20A82">
        <w:rPr>
          <w:rFonts w:ascii="Times New Roman" w:hAnsi="Times New Roman"/>
          <w:sz w:val="16"/>
          <w:szCs w:val="16"/>
        </w:rPr>
        <w:t>iastolic blood pressure</w:t>
      </w:r>
      <w:r w:rsidRPr="00D20A82">
        <w:rPr>
          <w:rFonts w:ascii="Times New Roman" w:hAnsi="Times New Roman" w:hint="eastAsia"/>
          <w:sz w:val="16"/>
          <w:szCs w:val="16"/>
        </w:rPr>
        <w:t>;</w:t>
      </w:r>
      <w:r w:rsidRPr="00D20A8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20A82">
        <w:rPr>
          <w:rFonts w:ascii="Times New Roman" w:hAnsi="Times New Roman"/>
          <w:sz w:val="16"/>
          <w:szCs w:val="16"/>
        </w:rPr>
        <w:t>hs-cTnT</w:t>
      </w:r>
      <w:proofErr w:type="spellEnd"/>
      <w:r w:rsidRPr="00D20A82">
        <w:rPr>
          <w:rFonts w:ascii="Times New Roman" w:hAnsi="Times New Roman"/>
          <w:sz w:val="16"/>
          <w:szCs w:val="16"/>
        </w:rPr>
        <w:t xml:space="preserve">=high sensitive cardiac </w:t>
      </w:r>
      <w:proofErr w:type="spellStart"/>
      <w:r w:rsidRPr="00D20A82">
        <w:rPr>
          <w:rFonts w:ascii="Times New Roman" w:hAnsi="Times New Roman"/>
          <w:sz w:val="16"/>
          <w:szCs w:val="16"/>
        </w:rPr>
        <w:t>tropnin</w:t>
      </w:r>
      <w:proofErr w:type="spellEnd"/>
      <w:r w:rsidRPr="00D20A82">
        <w:rPr>
          <w:rFonts w:ascii="Times New Roman" w:hAnsi="Times New Roman"/>
          <w:sz w:val="16"/>
          <w:szCs w:val="16"/>
        </w:rPr>
        <w:t xml:space="preserve"> T; BNP=B-type </w:t>
      </w:r>
      <w:proofErr w:type="spellStart"/>
      <w:r w:rsidRPr="00D20A82">
        <w:rPr>
          <w:rFonts w:ascii="Times New Roman" w:hAnsi="Times New Roman"/>
          <w:sz w:val="16"/>
          <w:szCs w:val="16"/>
        </w:rPr>
        <w:t>natriuretic</w:t>
      </w:r>
      <w:proofErr w:type="spellEnd"/>
      <w:r w:rsidRPr="00D20A82">
        <w:rPr>
          <w:rFonts w:ascii="Times New Roman" w:hAnsi="Times New Roman"/>
          <w:sz w:val="16"/>
          <w:szCs w:val="16"/>
        </w:rPr>
        <w:t xml:space="preserve"> peptide; </w:t>
      </w:r>
      <w:proofErr w:type="spellStart"/>
      <w:r w:rsidRPr="00D20A82">
        <w:rPr>
          <w:rFonts w:ascii="Times New Roman" w:hAnsi="Times New Roman"/>
          <w:sz w:val="16"/>
          <w:szCs w:val="16"/>
        </w:rPr>
        <w:t>Scr</w:t>
      </w:r>
      <w:proofErr w:type="spellEnd"/>
      <w:r w:rsidRPr="00D20A82">
        <w:rPr>
          <w:rFonts w:ascii="Times New Roman" w:hAnsi="Times New Roman"/>
          <w:sz w:val="16"/>
          <w:szCs w:val="16"/>
        </w:rPr>
        <w:t xml:space="preserve">=serum </w:t>
      </w:r>
      <w:proofErr w:type="spellStart"/>
      <w:r w:rsidRPr="00D20A82">
        <w:rPr>
          <w:rFonts w:ascii="Times New Roman" w:hAnsi="Times New Roman"/>
          <w:sz w:val="16"/>
          <w:szCs w:val="16"/>
        </w:rPr>
        <w:t>creatinine</w:t>
      </w:r>
      <w:proofErr w:type="spellEnd"/>
      <w:r w:rsidRPr="00D20A82">
        <w:rPr>
          <w:rFonts w:ascii="Times New Roman" w:hAnsi="Times New Roman"/>
          <w:sz w:val="16"/>
          <w:szCs w:val="16"/>
        </w:rPr>
        <w:t xml:space="preserve">; </w:t>
      </w:r>
      <w:proofErr w:type="spellStart"/>
      <w:r w:rsidRPr="00D20A82">
        <w:rPr>
          <w:rFonts w:ascii="Times New Roman" w:hAnsi="Times New Roman"/>
          <w:sz w:val="16"/>
          <w:szCs w:val="16"/>
        </w:rPr>
        <w:t>iPTH</w:t>
      </w:r>
      <w:proofErr w:type="spellEnd"/>
      <w:r w:rsidRPr="00D20A82">
        <w:rPr>
          <w:rFonts w:ascii="Times New Roman" w:hAnsi="Times New Roman"/>
          <w:sz w:val="16"/>
          <w:szCs w:val="16"/>
        </w:rPr>
        <w:t>=intact parathyroid hormone; LVMI=left ventricular mass index; LVEF=left ventricular ejection fraction; E/E’=diastolic left ventricular function; LAD=left atrial diameter.</w:t>
      </w:r>
    </w:p>
    <w:p w:rsidR="003164DA" w:rsidRPr="005839A1" w:rsidRDefault="003164DA" w:rsidP="003164DA">
      <w:pPr>
        <w:ind w:leftChars="67" w:left="141"/>
        <w:rPr>
          <w:rFonts w:ascii="Times New Roman" w:hAnsi="Times New Roman"/>
          <w:sz w:val="16"/>
          <w:szCs w:val="16"/>
        </w:rPr>
      </w:pPr>
    </w:p>
    <w:p w:rsidR="0021229F" w:rsidRPr="003164DA" w:rsidRDefault="0021229F"/>
    <w:sectPr w:rsidR="0021229F" w:rsidRPr="003164DA" w:rsidSect="00212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E5" w:rsidRDefault="00FA72E5" w:rsidP="001412C0">
      <w:r>
        <w:separator/>
      </w:r>
    </w:p>
  </w:endnote>
  <w:endnote w:type="continuationSeparator" w:id="0">
    <w:p w:rsidR="00FA72E5" w:rsidRDefault="00FA72E5" w:rsidP="0014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E5" w:rsidRDefault="00FA72E5" w:rsidP="001412C0">
      <w:r>
        <w:separator/>
      </w:r>
    </w:p>
  </w:footnote>
  <w:footnote w:type="continuationSeparator" w:id="0">
    <w:p w:rsidR="00FA72E5" w:rsidRDefault="00FA72E5" w:rsidP="00141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4DA"/>
    <w:rsid w:val="00053113"/>
    <w:rsid w:val="001412C0"/>
    <w:rsid w:val="0021229F"/>
    <w:rsid w:val="003164DA"/>
    <w:rsid w:val="003E256F"/>
    <w:rsid w:val="005740E5"/>
    <w:rsid w:val="00701C7D"/>
    <w:rsid w:val="00710149"/>
    <w:rsid w:val="00833724"/>
    <w:rsid w:val="00954F3C"/>
    <w:rsid w:val="00A63D0F"/>
    <w:rsid w:val="00B374C5"/>
    <w:rsid w:val="00C37958"/>
    <w:rsid w:val="00D20A82"/>
    <w:rsid w:val="00F150D5"/>
    <w:rsid w:val="00F76767"/>
    <w:rsid w:val="00FA72E5"/>
    <w:rsid w:val="00FD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4D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1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12C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1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12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2021-03-31T04:11:00Z</dcterms:created>
  <dcterms:modified xsi:type="dcterms:W3CDTF">2021-03-31T04:11:00Z</dcterms:modified>
</cp:coreProperties>
</file>