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F98A" w14:textId="77777777" w:rsidR="00EB5EC6" w:rsidRDefault="00EB5EC6" w:rsidP="00EB5EC6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bookmarkStart w:id="0" w:name="_Ref34819077"/>
      <w:bookmarkStart w:id="1" w:name="_Toc54989003"/>
      <w:bookmarkStart w:id="2" w:name="_Toc54989004"/>
      <w:r w:rsidRPr="00EB5EC6"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 xml:space="preserve">Supplementary data </w:t>
      </w:r>
    </w:p>
    <w:p w14:paraId="10C6FB40" w14:textId="77777777" w:rsidR="00EB5EC6" w:rsidRDefault="00EB5EC6" w:rsidP="00EB5EC6">
      <w:pPr>
        <w:keepNext/>
        <w:spacing w:after="120" w:line="24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</w:pPr>
      <w:r w:rsidRPr="00141D29">
        <w:rPr>
          <w:rFonts w:ascii="Cambria" w:eastAsia="Times New Roman" w:hAnsi="Cambria"/>
          <w:b/>
          <w:bCs/>
          <w:i/>
          <w:iCs/>
          <w:sz w:val="28"/>
          <w:szCs w:val="28"/>
          <w:lang w:val="en-US" w:eastAsia="de-CH"/>
        </w:rPr>
        <w:t>Unravelling the mystery of Polyvalent Immunoglobulins in Belgium: do we have an indication?</w:t>
      </w:r>
    </w:p>
    <w:p w14:paraId="3CA1911B" w14:textId="77777777" w:rsidR="00EB5EC6" w:rsidRPr="00EB5EC6" w:rsidRDefault="00EB5EC6" w:rsidP="00C635F4">
      <w:pPr>
        <w:pStyle w:val="Caption"/>
        <w:rPr>
          <w:lang w:val="en-US"/>
        </w:rPr>
      </w:pPr>
    </w:p>
    <w:p w14:paraId="1D487DE5" w14:textId="77777777" w:rsidR="00EB5EC6" w:rsidRDefault="00EB5EC6" w:rsidP="00EB5EC6">
      <w:pPr>
        <w:keepNext/>
        <w:spacing w:after="120" w:line="360" w:lineRule="auto"/>
        <w:ind w:left="720" w:hanging="720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en-US" w:eastAsia="de-CH"/>
        </w:rPr>
      </w:pPr>
      <w:r w:rsidRPr="00EB5EC6">
        <w:rPr>
          <w:rFonts w:ascii="Cambria" w:eastAsia="Times New Roman" w:hAnsi="Cambria" w:cs="Times New Roman"/>
          <w:b/>
          <w:bCs/>
          <w:sz w:val="26"/>
          <w:szCs w:val="26"/>
          <w:lang w:val="en-US" w:eastAsia="de-CH"/>
        </w:rPr>
        <w:t>Databases</w:t>
      </w:r>
    </w:p>
    <w:p w14:paraId="01127FCE" w14:textId="77777777" w:rsidR="00EB5EC6" w:rsidRDefault="006B452F" w:rsidP="00EB5EC6">
      <w:pPr>
        <w:keepNext/>
        <w:spacing w:after="120" w:line="360" w:lineRule="auto"/>
        <w:outlineLvl w:val="2"/>
        <w:rPr>
          <w:rFonts w:cs="Arial"/>
          <w:color w:val="000000"/>
        </w:rPr>
      </w:pPr>
      <w:r w:rsidRPr="006B452F">
        <w:rPr>
          <w:u w:val="single"/>
        </w:rPr>
        <w:t>Healthcare reimbursement data</w:t>
      </w:r>
      <w:r w:rsidR="00EB5EC6">
        <w:t xml:space="preserve">: </w:t>
      </w:r>
      <w:r w:rsidR="00EB5EC6" w:rsidRPr="003E46F1">
        <w:t>In Belgium, residents, must in principle, have a compulsory health in</w:t>
      </w:r>
      <w:r w:rsidR="00EB5EC6">
        <w:t xml:space="preserve">surance provided through one of </w:t>
      </w:r>
      <w:r w:rsidR="00EB5EC6" w:rsidRPr="003E46F1">
        <w:t>the seven national sickness funds and funded by social security contributions</w:t>
      </w:r>
      <w:r w:rsidR="00EB5EC6">
        <w:t xml:space="preserve"> and general taxation</w:t>
      </w:r>
      <w:r w:rsidR="00EB5EC6" w:rsidRPr="003E46F1">
        <w:t xml:space="preserve">. Healthcare reimbursement data </w:t>
      </w:r>
      <w:r w:rsidR="00EB5EC6">
        <w:t xml:space="preserve">from claims </w:t>
      </w:r>
      <w:r w:rsidR="00EB5EC6" w:rsidRPr="003E46F1">
        <w:t>are available at IMA – AIM (</w:t>
      </w:r>
      <w:proofErr w:type="spellStart"/>
      <w:r w:rsidR="00EB5EC6" w:rsidRPr="003E46F1">
        <w:t>Intermutualistisch</w:t>
      </w:r>
      <w:proofErr w:type="spellEnd"/>
      <w:r w:rsidR="00EB5EC6" w:rsidRPr="003E46F1">
        <w:t xml:space="preserve"> </w:t>
      </w:r>
      <w:proofErr w:type="spellStart"/>
      <w:r w:rsidR="00EB5EC6" w:rsidRPr="003E46F1">
        <w:t>Agents</w:t>
      </w:r>
      <w:r w:rsidR="00EB5EC6">
        <w:t>chap</w:t>
      </w:r>
      <w:proofErr w:type="spellEnd"/>
      <w:r w:rsidR="00EB5EC6">
        <w:t xml:space="preserve"> – </w:t>
      </w:r>
      <w:proofErr w:type="spellStart"/>
      <w:r w:rsidR="00EB5EC6">
        <w:t>Agence</w:t>
      </w:r>
      <w:proofErr w:type="spellEnd"/>
      <w:r w:rsidR="00EB5EC6">
        <w:t xml:space="preserve"> </w:t>
      </w:r>
      <w:proofErr w:type="spellStart"/>
      <w:r w:rsidR="00EB5EC6">
        <w:t>Intermutualiste</w:t>
      </w:r>
      <w:proofErr w:type="spellEnd"/>
      <w:r w:rsidR="00EB5EC6">
        <w:t xml:space="preserve">), which </w:t>
      </w:r>
      <w:r w:rsidR="00EB5EC6" w:rsidRPr="003E46F1">
        <w:t xml:space="preserve">is a non-profit organisation that manages and analyses </w:t>
      </w:r>
      <w:r w:rsidR="00EB5EC6" w:rsidRPr="003E46F1">
        <w:rPr>
          <w:rFonts w:cs="Arial"/>
          <w:color w:val="000000"/>
        </w:rPr>
        <w:t xml:space="preserve">information on all reimbursements related to the compulsory health insurance, collected by the Belgian sickness funds. These data cover all ambulatory and in hospital </w:t>
      </w:r>
      <w:r w:rsidR="00EB5EC6">
        <w:rPr>
          <w:rFonts w:cs="Arial"/>
          <w:color w:val="000000"/>
        </w:rPr>
        <w:t xml:space="preserve">services </w:t>
      </w:r>
      <w:r w:rsidR="00EB5EC6" w:rsidRPr="003E46F1">
        <w:rPr>
          <w:rFonts w:cs="Arial"/>
          <w:color w:val="000000"/>
        </w:rPr>
        <w:t>(consultations, pharmaceuticals, diagnostic and therapeutic procedures), and some patient socio-demographic and socio-economic characteristics.</w:t>
      </w:r>
    </w:p>
    <w:p w14:paraId="3DBDAB7F" w14:textId="77777777" w:rsidR="00967C9E" w:rsidRDefault="00967C9E" w:rsidP="00EB5EC6">
      <w:pPr>
        <w:keepNext/>
        <w:spacing w:after="120" w:line="360" w:lineRule="auto"/>
        <w:outlineLvl w:val="2"/>
        <w:rPr>
          <w:lang w:val="en-US"/>
        </w:rPr>
      </w:pPr>
      <w:r w:rsidRPr="00967C9E">
        <w:rPr>
          <w:u w:val="single"/>
        </w:rPr>
        <w:t>TCT database</w:t>
      </w:r>
      <w:r>
        <w:t xml:space="preserve">: </w:t>
      </w:r>
      <w:r w:rsidRPr="00085F77">
        <w:t>In Belgium, all general hospitals are required to submit twice a year a large set of data on all inpatient and day-care hospital stays and emergency room contacts, including diagnostic information to the Federal Public Service (FPS) for Health</w:t>
      </w:r>
      <w:r w:rsidRPr="00085F77">
        <w:rPr>
          <w:rFonts w:eastAsia="Times New Roman" w:cs="Arial"/>
          <w:color w:val="000000"/>
        </w:rPr>
        <w:t>, Food Chain Safety and Environment</w:t>
      </w:r>
      <w:r w:rsidRPr="00085F77">
        <w:t xml:space="preserve">: the Minimal Hospital Data. These are linked by a separate cell to claims data from the </w:t>
      </w:r>
      <w:r w:rsidRPr="00BD0652">
        <w:rPr>
          <w:lang w:val="en-US"/>
        </w:rPr>
        <w:t>Sickness Funds</w:t>
      </w:r>
      <w:r>
        <w:rPr>
          <w:lang w:val="en-US"/>
        </w:rPr>
        <w:t xml:space="preserve"> to become the TCT data set</w:t>
      </w:r>
    </w:p>
    <w:p w14:paraId="306900AE" w14:textId="77777777" w:rsidR="005B53E7" w:rsidRDefault="005B53E7" w:rsidP="00EB5EC6">
      <w:pPr>
        <w:keepNext/>
        <w:spacing w:after="120" w:line="360" w:lineRule="auto"/>
        <w:outlineLvl w:val="2"/>
        <w:rPr>
          <w:lang w:val="en-US"/>
        </w:rPr>
      </w:pPr>
    </w:p>
    <w:p w14:paraId="432307D0" w14:textId="5CA8A6BE" w:rsidR="005B53E7" w:rsidRDefault="005B53E7" w:rsidP="00EB5EC6">
      <w:pPr>
        <w:keepNext/>
        <w:spacing w:after="120" w:line="360" w:lineRule="auto"/>
        <w:outlineLvl w:val="2"/>
        <w:rPr>
          <w:lang w:val="en-US"/>
        </w:rPr>
      </w:pPr>
      <w:r>
        <w:rPr>
          <w:lang w:val="en-US"/>
        </w:rPr>
        <w:t>More detail</w:t>
      </w:r>
      <w:r w:rsidR="00196630">
        <w:rPr>
          <w:lang w:val="en-US"/>
        </w:rPr>
        <w:t>s on databases and on methodology</w:t>
      </w:r>
      <w:r>
        <w:rPr>
          <w:lang w:val="en-US"/>
        </w:rPr>
        <w:t xml:space="preserve"> are available</w:t>
      </w:r>
      <w:r w:rsidR="00196630">
        <w:rPr>
          <w:lang w:val="en-US"/>
        </w:rPr>
        <w:t xml:space="preserve"> at </w:t>
      </w:r>
      <w:hyperlink r:id="rId6" w:history="1">
        <w:r w:rsidR="007A271A" w:rsidRPr="00E27E77">
          <w:rPr>
            <w:rStyle w:val="Hyperlink"/>
            <w:lang w:val="en-US"/>
          </w:rPr>
          <w:t>https://kce.fgov.be/sites/default/files/atoms/files/KCE_336_Immunoglobulins_Part%202_use_in_Belgium_Report_0.pdf</w:t>
        </w:r>
      </w:hyperlink>
    </w:p>
    <w:p w14:paraId="4D11A715" w14:textId="77777777" w:rsidR="007A271A" w:rsidRPr="00967C9E" w:rsidRDefault="007A271A" w:rsidP="00EB5EC6">
      <w:pPr>
        <w:keepNext/>
        <w:spacing w:after="120" w:line="360" w:lineRule="auto"/>
        <w:outlineLvl w:val="2"/>
        <w:rPr>
          <w:lang w:val="en-US"/>
        </w:rPr>
      </w:pPr>
    </w:p>
    <w:bookmarkEnd w:id="0"/>
    <w:bookmarkEnd w:id="1"/>
    <w:p w14:paraId="31EF98F2" w14:textId="2DD50E8D" w:rsidR="00300A9A" w:rsidRPr="007507EF" w:rsidRDefault="00E3525C" w:rsidP="007507EF">
      <w:pPr>
        <w:keepNext/>
        <w:spacing w:line="240" w:lineRule="auto"/>
        <w:outlineLvl w:val="2"/>
        <w:rPr>
          <w:lang w:val="en-US"/>
        </w:rPr>
      </w:pPr>
      <w:r w:rsidRPr="007507EF">
        <w:rPr>
          <w:lang w:val="en-US"/>
        </w:rPr>
        <w:t xml:space="preserve">Table </w:t>
      </w:r>
      <w:r w:rsidR="006F6707" w:rsidRPr="007507EF">
        <w:rPr>
          <w:lang w:val="en-US"/>
        </w:rPr>
        <w:t>S</w:t>
      </w:r>
      <w:r w:rsidR="00290599" w:rsidRPr="007507EF">
        <w:rPr>
          <w:lang w:val="en-US"/>
        </w:rPr>
        <w:fldChar w:fldCharType="begin"/>
      </w:r>
      <w:r w:rsidR="00290599" w:rsidRPr="007507EF">
        <w:rPr>
          <w:lang w:val="en-US"/>
        </w:rPr>
        <w:instrText xml:space="preserve"> SEQ Table \* ARABIC </w:instrText>
      </w:r>
      <w:r w:rsidR="00290599" w:rsidRPr="007507EF">
        <w:rPr>
          <w:lang w:val="en-US"/>
        </w:rPr>
        <w:fldChar w:fldCharType="separate"/>
      </w:r>
      <w:r w:rsidRPr="007507EF">
        <w:rPr>
          <w:lang w:val="en-US"/>
        </w:rPr>
        <w:t>1</w:t>
      </w:r>
      <w:r w:rsidR="00290599" w:rsidRPr="007507EF">
        <w:rPr>
          <w:lang w:val="en-US"/>
        </w:rPr>
        <w:fldChar w:fldCharType="end"/>
      </w:r>
      <w:r w:rsidRPr="007507EF">
        <w:rPr>
          <w:lang w:val="en-US"/>
        </w:rPr>
        <w:t xml:space="preserve">: </w:t>
      </w:r>
      <w:r w:rsidR="00300A9A" w:rsidRPr="007507EF">
        <w:rPr>
          <w:lang w:val="en-US"/>
        </w:rPr>
        <w:t xml:space="preserve">ICD-10-BE procedure and diagnostic codes used to identify </w:t>
      </w:r>
      <w:r w:rsidRPr="007507EF">
        <w:rPr>
          <w:lang w:val="en-US"/>
        </w:rPr>
        <w:t xml:space="preserve">the </w:t>
      </w:r>
      <w:r>
        <w:rPr>
          <w:lang w:val="en-US"/>
        </w:rPr>
        <w:t xml:space="preserve">relevant selected Ig indications </w:t>
      </w:r>
      <w:bookmarkEnd w:id="2"/>
      <w:r w:rsidR="00300A9A" w:rsidRPr="007507EF">
        <w:rPr>
          <w:lang w:val="en-US"/>
        </w:rPr>
        <w:t>in Belgium</w:t>
      </w:r>
    </w:p>
    <w:tbl>
      <w:tblPr>
        <w:tblStyle w:val="KCETableStyle13"/>
        <w:tblW w:w="10206" w:type="dxa"/>
        <w:tblLook w:val="04A0" w:firstRow="1" w:lastRow="0" w:firstColumn="1" w:lastColumn="0" w:noHBand="0" w:noVBand="1"/>
      </w:tblPr>
      <w:tblGrid>
        <w:gridCol w:w="3828"/>
        <w:gridCol w:w="1275"/>
        <w:gridCol w:w="5103"/>
      </w:tblGrid>
      <w:tr w:rsidR="007507EF" w:rsidRPr="007507EF" w14:paraId="24028BDB" w14:textId="77777777" w:rsidTr="0075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E7E6E6" w:themeFill="background2"/>
            <w:noWrap/>
            <w:vAlign w:val="center"/>
            <w:hideMark/>
          </w:tcPr>
          <w:p w14:paraId="4FCB4259" w14:textId="77777777" w:rsidR="00F9431A" w:rsidRPr="007507EF" w:rsidRDefault="00F9431A" w:rsidP="007507EF">
            <w:pPr>
              <w:spacing w:before="0" w:after="144"/>
              <w:rPr>
                <w:rFonts w:ascii="Calibri" w:hAnsi="Calibri" w:cs="Calibri"/>
                <w:color w:val="auto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color w:val="auto"/>
                <w:szCs w:val="18"/>
              </w:rPr>
              <w:t>Indication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3BD2048" w14:textId="77777777" w:rsidR="00F9431A" w:rsidRPr="007507EF" w:rsidRDefault="00F9431A" w:rsidP="007507EF">
            <w:pPr>
              <w:spacing w:before="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18"/>
              </w:rPr>
            </w:pPr>
            <w:r w:rsidRPr="007507EF">
              <w:rPr>
                <w:rFonts w:ascii="Calibri" w:hAnsi="Calibri" w:cs="Calibri"/>
                <w:color w:val="auto"/>
                <w:szCs w:val="18"/>
              </w:rPr>
              <w:t>ICD-10-BE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498C3CBA" w14:textId="3C1277D6" w:rsidR="00F9431A" w:rsidRPr="007507EF" w:rsidRDefault="007507EF" w:rsidP="007507EF">
            <w:pPr>
              <w:spacing w:before="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Cs w:val="18"/>
              </w:rPr>
            </w:pPr>
            <w:r w:rsidRPr="007507EF">
              <w:rPr>
                <w:rFonts w:ascii="Calibri" w:hAnsi="Calibri" w:cs="Calibri"/>
                <w:color w:val="auto"/>
                <w:szCs w:val="18"/>
              </w:rPr>
              <w:t>Details</w:t>
            </w:r>
          </w:p>
        </w:tc>
      </w:tr>
      <w:tr w:rsidR="002B0911" w:rsidRPr="0034309F" w14:paraId="1A4C63EA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</w:tcPr>
          <w:p w14:paraId="10BC13B3" w14:textId="660FEA63" w:rsidR="002B0911" w:rsidRPr="007507EF" w:rsidRDefault="007507EF" w:rsidP="00746B2D">
            <w:pPr>
              <w:spacing w:before="0" w:after="0"/>
              <w:ind w:left="57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val="en-GB"/>
              </w:rPr>
            </w:pPr>
            <w:r w:rsidRPr="007507EF">
              <w:rPr>
                <w:rFonts w:eastAsia="Times New Roman" w:cstheme="minorHAnsi"/>
                <w:bCs/>
                <w:color w:val="000000"/>
                <w:szCs w:val="20"/>
                <w:lang w:val="en-GB" w:eastAsia="en-GB"/>
              </w:rPr>
              <w:t>Official reimbursed indications in Belgium</w:t>
            </w:r>
          </w:p>
        </w:tc>
      </w:tr>
      <w:tr w:rsidR="002B0911" w:rsidRPr="0034309F" w14:paraId="10FFCCBB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7FA1D01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Primary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Immunodeficiency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 xml:space="preserve"> (PID)</w:t>
            </w:r>
          </w:p>
        </w:tc>
        <w:tc>
          <w:tcPr>
            <w:tcW w:w="1275" w:type="dxa"/>
          </w:tcPr>
          <w:p w14:paraId="7DB8D227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D80</w:t>
            </w:r>
          </w:p>
        </w:tc>
        <w:tc>
          <w:tcPr>
            <w:tcW w:w="5103" w:type="dxa"/>
          </w:tcPr>
          <w:p w14:paraId="36630D3E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Immunodeficiency with predominantly antibody defects</w:t>
            </w:r>
          </w:p>
        </w:tc>
      </w:tr>
      <w:tr w:rsidR="002B0911" w:rsidRPr="0034309F" w14:paraId="45EDAEDB" w14:textId="77777777" w:rsidTr="00E3525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405DE72B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D7A302A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D81</w:t>
            </w:r>
          </w:p>
        </w:tc>
        <w:tc>
          <w:tcPr>
            <w:tcW w:w="5103" w:type="dxa"/>
          </w:tcPr>
          <w:p w14:paraId="0396A968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Combined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immunodeficiencies</w:t>
            </w:r>
            <w:proofErr w:type="spellEnd"/>
          </w:p>
        </w:tc>
      </w:tr>
      <w:tr w:rsidR="002B0911" w:rsidRPr="0034309F" w14:paraId="26C2DB89" w14:textId="77777777" w:rsidTr="00E3525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4A59EA9D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8A67D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D82</w:t>
            </w:r>
          </w:p>
        </w:tc>
        <w:tc>
          <w:tcPr>
            <w:tcW w:w="5103" w:type="dxa"/>
          </w:tcPr>
          <w:p w14:paraId="36BDB483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Immunodeficiency associated with other major defects</w:t>
            </w:r>
          </w:p>
        </w:tc>
      </w:tr>
      <w:tr w:rsidR="002B0911" w:rsidRPr="0034309F" w14:paraId="49663A51" w14:textId="77777777" w:rsidTr="00E3525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1C6CD75C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68EADE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D83</w:t>
            </w:r>
          </w:p>
        </w:tc>
        <w:tc>
          <w:tcPr>
            <w:tcW w:w="5103" w:type="dxa"/>
          </w:tcPr>
          <w:p w14:paraId="7AB33E34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Common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variable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immunodeficiency</w:t>
            </w:r>
            <w:proofErr w:type="spellEnd"/>
          </w:p>
        </w:tc>
      </w:tr>
      <w:tr w:rsidR="002B0911" w:rsidRPr="0034309F" w14:paraId="4ACF7B10" w14:textId="77777777" w:rsidTr="00E3525C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1D7FEC7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5611D5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D84</w:t>
            </w:r>
          </w:p>
        </w:tc>
        <w:tc>
          <w:tcPr>
            <w:tcW w:w="5103" w:type="dxa"/>
          </w:tcPr>
          <w:p w14:paraId="2EF6BD78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immunodeficiencies</w:t>
            </w:r>
            <w:proofErr w:type="spellEnd"/>
          </w:p>
        </w:tc>
      </w:tr>
      <w:tr w:rsidR="002B0911" w:rsidRPr="0034309F" w14:paraId="64C5C2F9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14B0DFD2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Secondary Immunodeficiency (SID):</w:t>
            </w: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br/>
              <w:t>-Multiple Myeloma (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Kahler's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disease)</w:t>
            </w: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br/>
              <w:t>-Chronic Lymphatic leukaemia</w:t>
            </w:r>
          </w:p>
          <w:p w14:paraId="608727F2" w14:textId="77777777" w:rsidR="002B0911" w:rsidRPr="007507EF" w:rsidRDefault="002B0911" w:rsidP="00746B2D">
            <w:pPr>
              <w:pStyle w:val="ListParagraph"/>
              <w:spacing w:before="0" w:after="0"/>
              <w:ind w:left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- B cell malignancies with 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Bcell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depletion due to chemo or monoclonal antibodies</w:t>
            </w: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br/>
            </w: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lastRenderedPageBreak/>
              <w:t>-(Allogenic) stem cell transplantation/ hematopoietic stem cell transplantation</w:t>
            </w:r>
          </w:p>
        </w:tc>
        <w:tc>
          <w:tcPr>
            <w:tcW w:w="1275" w:type="dxa"/>
          </w:tcPr>
          <w:p w14:paraId="3C1452A5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C900</w:t>
            </w:r>
          </w:p>
        </w:tc>
        <w:tc>
          <w:tcPr>
            <w:tcW w:w="5103" w:type="dxa"/>
          </w:tcPr>
          <w:p w14:paraId="72B354B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Multiple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myeloma</w:t>
            </w:r>
            <w:proofErr w:type="spellEnd"/>
          </w:p>
        </w:tc>
      </w:tr>
      <w:tr w:rsidR="002B0911" w:rsidRPr="0034309F" w14:paraId="172F57B0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11D5CA37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BB47D7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C911</w:t>
            </w:r>
          </w:p>
        </w:tc>
        <w:tc>
          <w:tcPr>
            <w:tcW w:w="5103" w:type="dxa"/>
          </w:tcPr>
          <w:p w14:paraId="18BFF539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Chronic lymphocytic leukaemia of B-cell type</w:t>
            </w:r>
          </w:p>
        </w:tc>
      </w:tr>
      <w:tr w:rsidR="002B0911" w:rsidRPr="0034309F" w14:paraId="6D25E6BA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0E43B57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6951E06" w14:textId="77777777" w:rsidR="002B0911" w:rsidRPr="00CF6653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53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T860</w:t>
            </w:r>
          </w:p>
        </w:tc>
        <w:tc>
          <w:tcPr>
            <w:tcW w:w="5103" w:type="dxa"/>
          </w:tcPr>
          <w:p w14:paraId="31ADA1D3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Complications of bone marrow transplant </w:t>
            </w:r>
          </w:p>
        </w:tc>
      </w:tr>
      <w:tr w:rsidR="002B0911" w:rsidRPr="0034309F" w14:paraId="15581AC4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62116DEC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1B2D66B" w14:textId="77777777" w:rsidR="002B0911" w:rsidRPr="00CF6653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53">
              <w:rPr>
                <w:rFonts w:ascii="Calibri" w:hAnsi="Calibri" w:cs="Calibri"/>
                <w:color w:val="000000"/>
                <w:sz w:val="18"/>
                <w:szCs w:val="18"/>
              </w:rPr>
              <w:t>T865</w:t>
            </w:r>
          </w:p>
        </w:tc>
        <w:tc>
          <w:tcPr>
            <w:tcW w:w="5103" w:type="dxa"/>
          </w:tcPr>
          <w:p w14:paraId="54D89EFC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Complications of stem cell transplant</w:t>
            </w:r>
          </w:p>
        </w:tc>
      </w:tr>
      <w:tr w:rsidR="002B0911" w:rsidRPr="0034309F" w14:paraId="70754297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0079649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E1D5A7D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Z9484</w:t>
            </w:r>
          </w:p>
        </w:tc>
        <w:tc>
          <w:tcPr>
            <w:tcW w:w="5103" w:type="dxa"/>
          </w:tcPr>
          <w:p w14:paraId="772563D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Stem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cells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transplant status</w:t>
            </w:r>
          </w:p>
        </w:tc>
      </w:tr>
      <w:tr w:rsidR="002B0911" w:rsidRPr="0034309F" w14:paraId="397D52FA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5D88A04D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7A9724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Z9481</w:t>
            </w:r>
          </w:p>
        </w:tc>
        <w:tc>
          <w:tcPr>
            <w:tcW w:w="5103" w:type="dxa"/>
          </w:tcPr>
          <w:p w14:paraId="430532D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Bone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marrow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transplant status</w:t>
            </w:r>
          </w:p>
        </w:tc>
      </w:tr>
      <w:tr w:rsidR="002B0911" w:rsidRPr="0034309F" w14:paraId="1DDC8F69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17E522FB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7BA8B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T8603</w:t>
            </w:r>
          </w:p>
        </w:tc>
        <w:tc>
          <w:tcPr>
            <w:tcW w:w="5103" w:type="dxa"/>
          </w:tcPr>
          <w:p w14:paraId="3F042A6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Bone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marrow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transplant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infection</w:t>
            </w:r>
            <w:proofErr w:type="spellEnd"/>
          </w:p>
        </w:tc>
      </w:tr>
      <w:tr w:rsidR="002B0911" w:rsidRPr="0034309F" w14:paraId="74417EBB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317673A1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3EC214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C81</w:t>
            </w:r>
          </w:p>
        </w:tc>
        <w:tc>
          <w:tcPr>
            <w:tcW w:w="5103" w:type="dxa"/>
            <w:vAlign w:val="center"/>
          </w:tcPr>
          <w:p w14:paraId="0AA843E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Hodgkin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lymphoma</w:t>
            </w:r>
            <w:proofErr w:type="spellEnd"/>
          </w:p>
        </w:tc>
      </w:tr>
      <w:tr w:rsidR="002B0911" w:rsidRPr="0034309F" w14:paraId="23087EC7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0FA7C44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215A1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C82</w:t>
            </w:r>
          </w:p>
        </w:tc>
        <w:tc>
          <w:tcPr>
            <w:tcW w:w="5103" w:type="dxa"/>
            <w:vAlign w:val="center"/>
          </w:tcPr>
          <w:p w14:paraId="448AFC93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follicular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lymphoma</w:t>
            </w:r>
            <w:proofErr w:type="spellEnd"/>
          </w:p>
        </w:tc>
      </w:tr>
      <w:tr w:rsidR="002B0911" w:rsidRPr="0034309F" w14:paraId="43EE4CA9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17F456F0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B7E2F9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C83</w:t>
            </w:r>
          </w:p>
        </w:tc>
        <w:tc>
          <w:tcPr>
            <w:tcW w:w="5103" w:type="dxa"/>
            <w:vAlign w:val="center"/>
          </w:tcPr>
          <w:p w14:paraId="108B1D43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Non-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follicular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lymphoma</w:t>
            </w:r>
            <w:proofErr w:type="spellEnd"/>
          </w:p>
        </w:tc>
      </w:tr>
      <w:tr w:rsidR="002B0911" w:rsidRPr="0034309F" w14:paraId="53FBD51C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7FFC783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95B772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C85</w:t>
            </w:r>
          </w:p>
        </w:tc>
        <w:tc>
          <w:tcPr>
            <w:tcW w:w="5103" w:type="dxa"/>
            <w:vAlign w:val="center"/>
          </w:tcPr>
          <w:p w14:paraId="7CAB557F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Other specified and unspecified types of non-Hodgkin lymphoma</w:t>
            </w:r>
          </w:p>
        </w:tc>
      </w:tr>
      <w:tr w:rsidR="002B0911" w:rsidRPr="0034309F" w14:paraId="0FE8FA4D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F2B6344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E8C2E93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C88</w:t>
            </w:r>
          </w:p>
        </w:tc>
        <w:tc>
          <w:tcPr>
            <w:tcW w:w="5103" w:type="dxa"/>
            <w:vAlign w:val="center"/>
          </w:tcPr>
          <w:p w14:paraId="22E39572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Malignant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immunoproliferative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diseases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certain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lymphomas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0911" w:rsidRPr="0034309F" w14:paraId="0DAE3BA7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7D7252D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BA1AF3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C901</w:t>
            </w:r>
          </w:p>
        </w:tc>
        <w:tc>
          <w:tcPr>
            <w:tcW w:w="5103" w:type="dxa"/>
            <w:vAlign w:val="center"/>
          </w:tcPr>
          <w:p w14:paraId="65A88975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malignant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plasma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neoplasms</w:t>
            </w:r>
            <w:proofErr w:type="spellEnd"/>
          </w:p>
        </w:tc>
      </w:tr>
      <w:tr w:rsidR="002B0911" w:rsidRPr="0034309F" w14:paraId="389AD29D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0332997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CF815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C902</w:t>
            </w:r>
          </w:p>
        </w:tc>
        <w:tc>
          <w:tcPr>
            <w:tcW w:w="5103" w:type="dxa"/>
            <w:vAlign w:val="center"/>
          </w:tcPr>
          <w:p w14:paraId="34A1A745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Extramedullary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plasmacytoma</w:t>
            </w:r>
            <w:proofErr w:type="spellEnd"/>
          </w:p>
        </w:tc>
      </w:tr>
      <w:tr w:rsidR="002B0911" w:rsidRPr="0034309F" w14:paraId="2053DD5A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68EB4FE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C2339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C903</w:t>
            </w:r>
          </w:p>
        </w:tc>
        <w:tc>
          <w:tcPr>
            <w:tcW w:w="5103" w:type="dxa"/>
            <w:vAlign w:val="center"/>
          </w:tcPr>
          <w:p w14:paraId="7441EDFC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Solitary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plasmacytoma</w:t>
            </w:r>
            <w:proofErr w:type="spellEnd"/>
          </w:p>
        </w:tc>
      </w:tr>
      <w:tr w:rsidR="002B0911" w:rsidRPr="0034309F" w14:paraId="72EFD29A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4C5F827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1CCEA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C910</w:t>
            </w:r>
          </w:p>
        </w:tc>
        <w:tc>
          <w:tcPr>
            <w:tcW w:w="5103" w:type="dxa"/>
            <w:vAlign w:val="center"/>
          </w:tcPr>
          <w:p w14:paraId="772F76DC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Acute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lymphoblastic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leukaemia</w:t>
            </w:r>
            <w:proofErr w:type="spellEnd"/>
          </w:p>
        </w:tc>
      </w:tr>
      <w:tr w:rsidR="002B0911" w:rsidRPr="0034309F" w14:paraId="000ABE3F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56F415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2BDB3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C913</w:t>
            </w:r>
          </w:p>
        </w:tc>
        <w:tc>
          <w:tcPr>
            <w:tcW w:w="5103" w:type="dxa"/>
            <w:vAlign w:val="center"/>
          </w:tcPr>
          <w:p w14:paraId="558590A4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Prolymphocytic leukaemia of B-cell type</w:t>
            </w:r>
          </w:p>
        </w:tc>
      </w:tr>
      <w:tr w:rsidR="002B0911" w:rsidRPr="0034309F" w14:paraId="312369A7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3731221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2F6D1A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C914</w:t>
            </w:r>
          </w:p>
        </w:tc>
        <w:tc>
          <w:tcPr>
            <w:tcW w:w="5103" w:type="dxa"/>
            <w:vAlign w:val="center"/>
          </w:tcPr>
          <w:p w14:paraId="01D7069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Hairy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leukaemia</w:t>
            </w:r>
            <w:proofErr w:type="spellEnd"/>
          </w:p>
        </w:tc>
      </w:tr>
      <w:tr w:rsidR="002B0911" w:rsidRPr="0034309F" w14:paraId="1D947145" w14:textId="77777777" w:rsidTr="00E3525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3698ED02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C93F3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C919</w:t>
            </w:r>
          </w:p>
        </w:tc>
        <w:tc>
          <w:tcPr>
            <w:tcW w:w="5103" w:type="dxa"/>
            <w:vAlign w:val="center"/>
          </w:tcPr>
          <w:p w14:paraId="7A8A0FF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Lymphoid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leukaemia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unspecified</w:t>
            </w:r>
            <w:proofErr w:type="spellEnd"/>
          </w:p>
        </w:tc>
      </w:tr>
      <w:tr w:rsidR="002B0911" w:rsidRPr="0034309F" w14:paraId="590D4CA2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2CA306B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Primary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immune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thrombocytopenia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(PIT)</w:t>
            </w:r>
          </w:p>
        </w:tc>
        <w:tc>
          <w:tcPr>
            <w:tcW w:w="1275" w:type="dxa"/>
          </w:tcPr>
          <w:p w14:paraId="01B0563C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D693</w:t>
            </w:r>
          </w:p>
        </w:tc>
        <w:tc>
          <w:tcPr>
            <w:tcW w:w="5103" w:type="dxa"/>
          </w:tcPr>
          <w:p w14:paraId="64E8FBB5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Immune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thrombocytopenic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purpura</w:t>
            </w:r>
          </w:p>
        </w:tc>
      </w:tr>
      <w:tr w:rsidR="002B0911" w:rsidRPr="0034309F" w14:paraId="2723517A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6E41D9A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>Chronic inflammatory demyelinating polyneuritis (CIDP)</w:t>
            </w:r>
          </w:p>
        </w:tc>
        <w:tc>
          <w:tcPr>
            <w:tcW w:w="1275" w:type="dxa"/>
          </w:tcPr>
          <w:p w14:paraId="6F4911EC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G6181</w:t>
            </w:r>
          </w:p>
        </w:tc>
        <w:tc>
          <w:tcPr>
            <w:tcW w:w="5103" w:type="dxa"/>
          </w:tcPr>
          <w:p w14:paraId="6141749B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Chronic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inflammatory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demyelinating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polyneuritis</w:t>
            </w:r>
          </w:p>
        </w:tc>
      </w:tr>
      <w:tr w:rsidR="002B0911" w:rsidRPr="0034309F" w14:paraId="27C8CA72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10F96FC5" w14:textId="0A12EAE3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Guillain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-Barré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Syndrome</w:t>
            </w:r>
            <w:proofErr w:type="spellEnd"/>
            <w:r w:rsid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(GBS)</w:t>
            </w:r>
          </w:p>
        </w:tc>
        <w:tc>
          <w:tcPr>
            <w:tcW w:w="1275" w:type="dxa"/>
          </w:tcPr>
          <w:p w14:paraId="4C417FC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G610</w:t>
            </w:r>
          </w:p>
        </w:tc>
        <w:tc>
          <w:tcPr>
            <w:tcW w:w="5103" w:type="dxa"/>
          </w:tcPr>
          <w:p w14:paraId="07CEE8E2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Guillain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-Barre </w:t>
            </w:r>
            <w:proofErr w:type="spellStart"/>
            <w:proofErr w:type="gram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syndrome</w:t>
            </w:r>
            <w:proofErr w:type="spellEnd"/>
            <w:proofErr w:type="gramEnd"/>
          </w:p>
        </w:tc>
      </w:tr>
      <w:tr w:rsidR="002B0911" w:rsidRPr="0034309F" w14:paraId="0C6E8BFE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5D0B2E8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Kawasaki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275" w:type="dxa"/>
          </w:tcPr>
          <w:p w14:paraId="1106182B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M303</w:t>
            </w:r>
          </w:p>
        </w:tc>
        <w:tc>
          <w:tcPr>
            <w:tcW w:w="5103" w:type="dxa"/>
          </w:tcPr>
          <w:p w14:paraId="31D9D288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Mucocutaneous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lymph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node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syndrome [Kawasaki]</w:t>
            </w:r>
          </w:p>
        </w:tc>
      </w:tr>
      <w:tr w:rsidR="002B0911" w:rsidRPr="0034309F" w14:paraId="42172757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7FD47EC" w14:textId="0B9FBC99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Multifocal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Motor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Neuropathy</w:t>
            </w:r>
            <w:proofErr w:type="spellEnd"/>
            <w:r w:rsid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(MMN)</w:t>
            </w:r>
          </w:p>
        </w:tc>
        <w:tc>
          <w:tcPr>
            <w:tcW w:w="1275" w:type="dxa"/>
          </w:tcPr>
          <w:p w14:paraId="1ABCE88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G6182</w:t>
            </w:r>
          </w:p>
        </w:tc>
        <w:tc>
          <w:tcPr>
            <w:tcW w:w="5103" w:type="dxa"/>
          </w:tcPr>
          <w:p w14:paraId="5C304014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Multifocal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motor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neuropathy</w:t>
            </w:r>
            <w:proofErr w:type="spellEnd"/>
          </w:p>
        </w:tc>
      </w:tr>
      <w:tr w:rsidR="002B0911" w:rsidRPr="0034309F" w14:paraId="048982DB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0D4D19E9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Streptococcus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toxic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shock </w:t>
            </w:r>
            <w:proofErr w:type="spellStart"/>
            <w:proofErr w:type="gram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syndrome</w:t>
            </w:r>
            <w:proofErr w:type="spellEnd"/>
            <w:proofErr w:type="gramEnd"/>
          </w:p>
        </w:tc>
        <w:tc>
          <w:tcPr>
            <w:tcW w:w="1275" w:type="dxa"/>
          </w:tcPr>
          <w:p w14:paraId="61E7C94C" w14:textId="77777777" w:rsidR="002B0911" w:rsidRPr="00145522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A483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(+B950, +B951, +B952, +B953, +B954, +B955)</w:t>
            </w:r>
          </w:p>
        </w:tc>
        <w:tc>
          <w:tcPr>
            <w:tcW w:w="5103" w:type="dxa"/>
          </w:tcPr>
          <w:p w14:paraId="142257A8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Toxic shock syndrome (+Streptococcus, and Enterococcus as the cause of diseases classified elsewhere)</w:t>
            </w:r>
          </w:p>
        </w:tc>
      </w:tr>
      <w:tr w:rsidR="002B0911" w:rsidRPr="0034309F" w14:paraId="1015E3FF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A6DAF3A" w14:textId="77777777" w:rsidR="002B0911" w:rsidRPr="00300A9A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4CE8093B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A40</w:t>
            </w:r>
          </w:p>
        </w:tc>
        <w:tc>
          <w:tcPr>
            <w:tcW w:w="5103" w:type="dxa"/>
          </w:tcPr>
          <w:p w14:paraId="7CB6E902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Streptococcal</w:t>
            </w:r>
            <w:proofErr w:type="spellEnd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sepsis</w:t>
            </w:r>
          </w:p>
        </w:tc>
      </w:tr>
      <w:tr w:rsidR="002B0911" w:rsidRPr="0034309F" w14:paraId="4DC56992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32D86143" w14:textId="77777777" w:rsidR="002B0911" w:rsidRPr="0034309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1826F3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A41</w:t>
            </w:r>
          </w:p>
        </w:tc>
        <w:tc>
          <w:tcPr>
            <w:tcW w:w="5103" w:type="dxa"/>
          </w:tcPr>
          <w:p w14:paraId="639B096C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  <w:proofErr w:type="spellEnd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sepsis</w:t>
            </w:r>
          </w:p>
        </w:tc>
      </w:tr>
      <w:tr w:rsidR="002B0911" w:rsidRPr="0034309F" w14:paraId="154771A2" w14:textId="77777777" w:rsidTr="00E3525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96FF11D" w14:textId="77777777" w:rsidR="002B0911" w:rsidRPr="0034309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81AEAA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P36 </w:t>
            </w:r>
          </w:p>
        </w:tc>
        <w:tc>
          <w:tcPr>
            <w:tcW w:w="5103" w:type="dxa"/>
          </w:tcPr>
          <w:p w14:paraId="78169462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Bacterial</w:t>
            </w:r>
            <w:proofErr w:type="spellEnd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sepsis of </w:t>
            </w:r>
            <w:proofErr w:type="spellStart"/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newborn</w:t>
            </w:r>
            <w:proofErr w:type="spellEnd"/>
          </w:p>
        </w:tc>
      </w:tr>
      <w:tr w:rsidR="002B0911" w:rsidRPr="0034309F" w14:paraId="3A2B5087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noWrap/>
          </w:tcPr>
          <w:p w14:paraId="70DF1B68" w14:textId="7E886D8C" w:rsidR="002B0911" w:rsidRPr="007507EF" w:rsidRDefault="007507EF" w:rsidP="00746B2D">
            <w:pPr>
              <w:spacing w:before="0" w:after="0"/>
              <w:ind w:left="57"/>
              <w:rPr>
                <w:highlight w:val="yellow"/>
                <w:lang w:val="en-GB"/>
              </w:rPr>
            </w:pPr>
            <w:r w:rsidRPr="007507EF">
              <w:rPr>
                <w:rFonts w:eastAsia="Times New Roman" w:cstheme="minorHAnsi"/>
                <w:bCs/>
                <w:color w:val="000000"/>
                <w:szCs w:val="20"/>
                <w:lang w:val="en-GB" w:eastAsia="en-GB"/>
              </w:rPr>
              <w:t>Off-label Indications commonly reimbursed in other countries</w:t>
            </w:r>
            <w:r>
              <w:rPr>
                <w:rFonts w:eastAsia="Times New Roman" w:cstheme="minorHAnsi"/>
                <w:bCs/>
                <w:color w:val="000000"/>
                <w:szCs w:val="20"/>
                <w:lang w:val="en-GB" w:eastAsia="en-GB"/>
              </w:rPr>
              <w:t>*</w:t>
            </w:r>
          </w:p>
        </w:tc>
      </w:tr>
      <w:tr w:rsidR="002B0911" w:rsidRPr="0034309F" w14:paraId="45F6191A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2ABD2CAD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Solid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Organ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transplant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complications</w:t>
            </w:r>
            <w:proofErr w:type="spellEnd"/>
          </w:p>
        </w:tc>
        <w:tc>
          <w:tcPr>
            <w:tcW w:w="1275" w:type="dxa"/>
          </w:tcPr>
          <w:p w14:paraId="3667B653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>T86</w:t>
            </w:r>
          </w:p>
        </w:tc>
        <w:tc>
          <w:tcPr>
            <w:tcW w:w="5103" w:type="dxa"/>
          </w:tcPr>
          <w:p w14:paraId="43CA60F3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lang w:val="en-GB"/>
              </w:rPr>
              <w:t xml:space="preserve"> </w:t>
            </w: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Complications of transplanted organs and tissue</w:t>
            </w:r>
          </w:p>
        </w:tc>
      </w:tr>
      <w:tr w:rsidR="002B0911" w:rsidRPr="0034309F" w14:paraId="5B3431F2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0D2DD79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2B44081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D89</w:t>
            </w:r>
            <w:r w:rsidRPr="00DC0307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 xml:space="preserve">81  </w:t>
            </w:r>
          </w:p>
        </w:tc>
        <w:tc>
          <w:tcPr>
            <w:tcW w:w="5103" w:type="dxa"/>
          </w:tcPr>
          <w:p w14:paraId="481B5261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 xml:space="preserve">graft-versus-host </w:t>
            </w:r>
            <w:proofErr w:type="spellStart"/>
            <w:r w:rsidRPr="00DC0307">
              <w:rPr>
                <w:rFonts w:ascii="Calibri" w:hAnsi="Calibri" w:cs="Calibri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</w:p>
        </w:tc>
      </w:tr>
      <w:tr w:rsidR="002B0911" w:rsidRPr="0034309F" w14:paraId="4F6C96D4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C6D0187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Haemolytic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disease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newborns</w:t>
            </w:r>
            <w:proofErr w:type="spellEnd"/>
          </w:p>
        </w:tc>
        <w:tc>
          <w:tcPr>
            <w:tcW w:w="1275" w:type="dxa"/>
          </w:tcPr>
          <w:p w14:paraId="7CE09877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P55</w:t>
            </w:r>
          </w:p>
        </w:tc>
        <w:tc>
          <w:tcPr>
            <w:tcW w:w="5103" w:type="dxa"/>
          </w:tcPr>
          <w:p w14:paraId="4F461A52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Haemolytic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disease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newborn</w:t>
            </w:r>
            <w:proofErr w:type="spellEnd"/>
          </w:p>
        </w:tc>
      </w:tr>
      <w:tr w:rsidR="002B0911" w:rsidRPr="0034309F" w14:paraId="2EDBB40B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13E31118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Myasthenia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gravis</w:t>
            </w:r>
          </w:p>
        </w:tc>
        <w:tc>
          <w:tcPr>
            <w:tcW w:w="1275" w:type="dxa"/>
          </w:tcPr>
          <w:p w14:paraId="0913838A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G700</w:t>
            </w:r>
          </w:p>
        </w:tc>
        <w:tc>
          <w:tcPr>
            <w:tcW w:w="5103" w:type="dxa"/>
          </w:tcPr>
          <w:p w14:paraId="4CA9F2FD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Myasthenia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gravis</w:t>
            </w:r>
          </w:p>
        </w:tc>
      </w:tr>
      <w:tr w:rsidR="002B0911" w:rsidRPr="0034309F" w14:paraId="095C1372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3D96E58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F1777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G708</w:t>
            </w:r>
          </w:p>
        </w:tc>
        <w:tc>
          <w:tcPr>
            <w:tcW w:w="5103" w:type="dxa"/>
          </w:tcPr>
          <w:p w14:paraId="2A7FF162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Other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specified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myoneural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disorders</w:t>
            </w:r>
            <w:proofErr w:type="spellEnd"/>
          </w:p>
        </w:tc>
      </w:tr>
      <w:tr w:rsidR="002B0911" w:rsidRPr="0034309F" w14:paraId="67087131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C62C3E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020CF8" w14:textId="77777777" w:rsidR="002B0911" w:rsidRPr="00DC0307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03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G731 </w:t>
            </w:r>
          </w:p>
        </w:tc>
        <w:tc>
          <w:tcPr>
            <w:tcW w:w="5103" w:type="dxa"/>
          </w:tcPr>
          <w:p w14:paraId="3DB86BB2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Lambert-Eaton syndrome in neoplastic disease</w:t>
            </w:r>
          </w:p>
        </w:tc>
      </w:tr>
      <w:tr w:rsidR="002B0911" w:rsidRPr="0034309F" w14:paraId="31A95194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49EB435C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184031A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P940</w:t>
            </w:r>
          </w:p>
        </w:tc>
        <w:tc>
          <w:tcPr>
            <w:tcW w:w="5103" w:type="dxa"/>
          </w:tcPr>
          <w:p w14:paraId="2077DEC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Transient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neonatal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myasthenia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gravis</w:t>
            </w:r>
          </w:p>
        </w:tc>
      </w:tr>
      <w:tr w:rsidR="002B0911" w:rsidRPr="0034309F" w14:paraId="116C7B05" w14:textId="77777777" w:rsidTr="00E3525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47AB6ED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 xml:space="preserve">FNAIT: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>Fetal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 xml:space="preserve"> and Neonatal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>alloimmune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 xml:space="preserve"> thrombocytopenia</w:t>
            </w:r>
          </w:p>
        </w:tc>
        <w:tc>
          <w:tcPr>
            <w:tcW w:w="1275" w:type="dxa"/>
          </w:tcPr>
          <w:p w14:paraId="16C7D9F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O3682</w:t>
            </w:r>
          </w:p>
        </w:tc>
        <w:tc>
          <w:tcPr>
            <w:tcW w:w="5103" w:type="dxa"/>
          </w:tcPr>
          <w:p w14:paraId="0C00AFFF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Fetal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anemia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and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thrombocytopenia</w:t>
            </w:r>
            <w:proofErr w:type="spellEnd"/>
          </w:p>
        </w:tc>
      </w:tr>
      <w:tr w:rsidR="002B0911" w:rsidRPr="0034309F" w14:paraId="30C5900B" w14:textId="77777777" w:rsidTr="00E3525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09B816D5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509CB4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P610</w:t>
            </w:r>
          </w:p>
        </w:tc>
        <w:tc>
          <w:tcPr>
            <w:tcW w:w="5103" w:type="dxa"/>
          </w:tcPr>
          <w:p w14:paraId="0D988F7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Transient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neonatal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thrombocytopenia</w:t>
            </w:r>
            <w:proofErr w:type="spellEnd"/>
          </w:p>
        </w:tc>
      </w:tr>
      <w:tr w:rsidR="002B0911" w:rsidRPr="0034309F" w14:paraId="44C1C953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633C379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Willebrand's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275" w:type="dxa"/>
          </w:tcPr>
          <w:p w14:paraId="2ADECBC1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D680</w:t>
            </w:r>
          </w:p>
        </w:tc>
        <w:tc>
          <w:tcPr>
            <w:tcW w:w="5103" w:type="dxa"/>
          </w:tcPr>
          <w:p w14:paraId="403B79F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Von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Willebrand's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disease</w:t>
            </w:r>
            <w:proofErr w:type="spellEnd"/>
          </w:p>
        </w:tc>
      </w:tr>
      <w:tr w:rsidR="002B0911" w:rsidRPr="0034309F" w14:paraId="4938CFA6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</w:tcPr>
          <w:p w14:paraId="59554686" w14:textId="77777777" w:rsidR="002B0911" w:rsidRPr="007507EF" w:rsidRDefault="002B0911" w:rsidP="00F9431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  <w:t>Inflammatory myopathies (dermatomyositis ,polymyositis inclusion body myositis, immune-mediated necrotizing myopathy)</w:t>
            </w:r>
          </w:p>
        </w:tc>
        <w:tc>
          <w:tcPr>
            <w:tcW w:w="1275" w:type="dxa"/>
          </w:tcPr>
          <w:p w14:paraId="377F668F" w14:textId="77777777" w:rsidR="002B0911" w:rsidRPr="003369B8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69B8">
              <w:rPr>
                <w:rFonts w:ascii="Calibri" w:hAnsi="Calibri" w:cs="Calibri"/>
                <w:color w:val="000000"/>
                <w:sz w:val="18"/>
                <w:szCs w:val="18"/>
              </w:rPr>
              <w:t>M33</w:t>
            </w:r>
          </w:p>
        </w:tc>
        <w:tc>
          <w:tcPr>
            <w:tcW w:w="5103" w:type="dxa"/>
          </w:tcPr>
          <w:p w14:paraId="2D8E5AA9" w14:textId="77777777" w:rsidR="002B0911" w:rsidRPr="003369B8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369B8">
              <w:rPr>
                <w:rFonts w:ascii="Calibri" w:hAnsi="Calibri" w:cs="Calibri"/>
                <w:color w:val="000000"/>
                <w:sz w:val="18"/>
                <w:szCs w:val="18"/>
              </w:rPr>
              <w:t>Dermatopolymyositis</w:t>
            </w:r>
            <w:proofErr w:type="spellEnd"/>
          </w:p>
        </w:tc>
      </w:tr>
      <w:tr w:rsidR="002B0911" w:rsidRPr="0034309F" w14:paraId="0C64B5EF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2382ED5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D915B9" w14:textId="77777777" w:rsidR="002B0911" w:rsidRPr="003369B8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M360</w:t>
            </w:r>
          </w:p>
        </w:tc>
        <w:tc>
          <w:tcPr>
            <w:tcW w:w="5103" w:type="dxa"/>
          </w:tcPr>
          <w:p w14:paraId="53234D99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Dermato</w:t>
            </w:r>
            <w:proofErr w:type="spellEnd"/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(poly)myositis in neoplastic disease</w:t>
            </w:r>
          </w:p>
        </w:tc>
      </w:tr>
      <w:tr w:rsidR="002B0911" w:rsidRPr="0034309F" w14:paraId="0B8B1337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0EA45304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11174FA" w14:textId="77777777" w:rsidR="002B0911" w:rsidRPr="006B65CC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G7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25C18153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Inflammatory and immune myopathies, (inclusion body myositis and other inflammatory and immune myopathies)</w:t>
            </w:r>
          </w:p>
        </w:tc>
      </w:tr>
      <w:tr w:rsidR="002B0911" w:rsidRPr="0034309F" w14:paraId="62841C98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716CD216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Stiff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-person </w:t>
            </w:r>
            <w:proofErr w:type="spellStart"/>
            <w:proofErr w:type="gram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syndrome</w:t>
            </w:r>
            <w:proofErr w:type="spellEnd"/>
            <w:proofErr w:type="gramEnd"/>
          </w:p>
        </w:tc>
        <w:tc>
          <w:tcPr>
            <w:tcW w:w="1275" w:type="dxa"/>
          </w:tcPr>
          <w:p w14:paraId="76C47D2A" w14:textId="77777777" w:rsidR="002B0911" w:rsidRPr="00500D43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G2582</w:t>
            </w:r>
          </w:p>
        </w:tc>
        <w:tc>
          <w:tcPr>
            <w:tcW w:w="5103" w:type="dxa"/>
          </w:tcPr>
          <w:p w14:paraId="6B02B91A" w14:textId="77777777" w:rsidR="002B0911" w:rsidRPr="00500D43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00D43">
              <w:rPr>
                <w:rFonts w:ascii="Calibri" w:hAnsi="Calibri" w:cs="Calibri"/>
                <w:color w:val="000000"/>
                <w:sz w:val="18"/>
                <w:szCs w:val="18"/>
              </w:rPr>
              <w:t>Stiff</w:t>
            </w:r>
            <w:proofErr w:type="spellEnd"/>
            <w:r w:rsidRPr="00500D4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person</w:t>
            </w:r>
            <w:r w:rsidRPr="00500D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0D43">
              <w:rPr>
                <w:rFonts w:ascii="Calibri" w:hAnsi="Calibri" w:cs="Calibri"/>
                <w:color w:val="000000"/>
                <w:sz w:val="18"/>
                <w:szCs w:val="18"/>
              </w:rPr>
              <w:t>syndrome</w:t>
            </w:r>
            <w:proofErr w:type="spellEnd"/>
            <w:proofErr w:type="gramEnd"/>
          </w:p>
        </w:tc>
      </w:tr>
      <w:tr w:rsidR="002B0911" w:rsidRPr="0034309F" w14:paraId="1C491586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0149E0B1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Red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cell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aplasia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Erythroblastopenia</w:t>
            </w:r>
            <w:proofErr w:type="spellEnd"/>
            <w:r w:rsidRPr="007507E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A3DA83E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</w:rPr>
              <w:t>D60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(+</w:t>
            </w: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B976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)</w:t>
            </w:r>
          </w:p>
        </w:tc>
        <w:tc>
          <w:tcPr>
            <w:tcW w:w="5103" w:type="dxa"/>
          </w:tcPr>
          <w:p w14:paraId="7A6C0001" w14:textId="77777777" w:rsidR="002B0911" w:rsidRPr="00300A9A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Acquired pure red cell aplasia [</w:t>
            </w:r>
            <w:proofErr w:type="spellStart"/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erythroblastopenia</w:t>
            </w:r>
            <w:proofErr w:type="spellEnd"/>
            <w:r w:rsidRPr="00300A9A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] (+Parvovirus as the cause of diseases classified elsewhere)</w:t>
            </w:r>
          </w:p>
        </w:tc>
      </w:tr>
      <w:tr w:rsidR="002B0911" w:rsidRPr="0034309F" w14:paraId="36E7E5BC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</w:tcPr>
          <w:p w14:paraId="3ACB67CF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Pemphigus (vulgaris-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foliculae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)-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immunobullous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275" w:type="dxa"/>
          </w:tcPr>
          <w:p w14:paraId="285A3788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L100</w:t>
            </w:r>
          </w:p>
        </w:tc>
        <w:tc>
          <w:tcPr>
            <w:tcW w:w="5103" w:type="dxa"/>
          </w:tcPr>
          <w:p w14:paraId="2811334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Pemphigus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vulgaris</w:t>
            </w:r>
            <w:proofErr w:type="spellEnd"/>
          </w:p>
        </w:tc>
      </w:tr>
      <w:tr w:rsidR="002B0911" w:rsidRPr="0034309F" w14:paraId="26F8FD13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noWrap/>
          </w:tcPr>
          <w:p w14:paraId="79651BB5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E4FAB9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L102</w:t>
            </w:r>
          </w:p>
        </w:tc>
        <w:tc>
          <w:tcPr>
            <w:tcW w:w="5103" w:type="dxa"/>
          </w:tcPr>
          <w:p w14:paraId="09734A60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Pemphigus </w:t>
            </w:r>
            <w:proofErr w:type="spellStart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foliaceous</w:t>
            </w:r>
            <w:proofErr w:type="spellEnd"/>
          </w:p>
        </w:tc>
      </w:tr>
      <w:tr w:rsidR="002B0911" w:rsidRPr="0034309F" w14:paraId="6758467E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39117E38" w14:textId="77777777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>Posttransfusion</w:t>
            </w:r>
            <w:proofErr w:type="spellEnd"/>
            <w:r w:rsidRPr="007507EF">
              <w:rPr>
                <w:rFonts w:ascii="Calibri" w:hAnsi="Calibri" w:cs="Calibri"/>
                <w:b w:val="0"/>
                <w:sz w:val="18"/>
                <w:szCs w:val="18"/>
              </w:rPr>
              <w:t xml:space="preserve"> purpura</w:t>
            </w:r>
          </w:p>
        </w:tc>
        <w:tc>
          <w:tcPr>
            <w:tcW w:w="1275" w:type="dxa"/>
          </w:tcPr>
          <w:p w14:paraId="6F240CA6" w14:textId="77777777" w:rsidR="002B0911" w:rsidRPr="0034309F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D6951</w:t>
            </w:r>
          </w:p>
        </w:tc>
        <w:tc>
          <w:tcPr>
            <w:tcW w:w="5103" w:type="dxa"/>
          </w:tcPr>
          <w:p w14:paraId="55062222" w14:textId="77777777" w:rsidR="002B0911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P</w:t>
            </w:r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osttransfusion</w:t>
            </w:r>
            <w:proofErr w:type="spellEnd"/>
            <w:r w:rsidRPr="0034309F"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 xml:space="preserve"> purpur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fr-BE"/>
              </w:rPr>
              <w:t>a</w:t>
            </w:r>
          </w:p>
        </w:tc>
      </w:tr>
      <w:tr w:rsidR="002B0911" w:rsidRPr="0034309F" w14:paraId="44F249A8" w14:textId="77777777" w:rsidTr="00E3525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40954F4D" w14:textId="181BD35E" w:rsidR="002B0911" w:rsidRPr="007507EF" w:rsidRDefault="002B0911" w:rsidP="00300A9A">
            <w:pPr>
              <w:pStyle w:val="ListParagraph"/>
              <w:numPr>
                <w:ilvl w:val="0"/>
                <w:numId w:val="1"/>
              </w:numPr>
              <w:spacing w:before="0" w:after="0"/>
              <w:ind w:left="357" w:hanging="357"/>
              <w:jc w:val="left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Antibody</w:t>
            </w:r>
            <w:r w:rsidR="007507EF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-mediated types of encephalitis</w:t>
            </w:r>
          </w:p>
        </w:tc>
        <w:tc>
          <w:tcPr>
            <w:tcW w:w="1275" w:type="dxa"/>
          </w:tcPr>
          <w:p w14:paraId="3B101CA8" w14:textId="77777777" w:rsidR="002B0911" w:rsidRPr="006B65CC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G0481</w:t>
            </w:r>
          </w:p>
        </w:tc>
        <w:tc>
          <w:tcPr>
            <w:tcW w:w="5103" w:type="dxa"/>
          </w:tcPr>
          <w:p w14:paraId="74283125" w14:textId="77777777" w:rsidR="002B0911" w:rsidRPr="006B65CC" w:rsidRDefault="002B0911" w:rsidP="00746B2D">
            <w:pPr>
              <w:spacing w:before="0" w:after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  <w:proofErr w:type="spellEnd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encephalitis</w:t>
            </w:r>
            <w:proofErr w:type="spellEnd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65CC">
              <w:rPr>
                <w:rFonts w:ascii="Calibri" w:hAnsi="Calibri" w:cs="Calibri"/>
                <w:color w:val="000000"/>
                <w:sz w:val="18"/>
                <w:szCs w:val="18"/>
              </w:rPr>
              <w:t>encephalomyelitis</w:t>
            </w:r>
            <w:proofErr w:type="spellEnd"/>
          </w:p>
        </w:tc>
      </w:tr>
    </w:tbl>
    <w:p w14:paraId="725EA9DD" w14:textId="77777777" w:rsidR="007507EF" w:rsidRDefault="007507EF" w:rsidP="007507E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4C2E86">
        <w:t xml:space="preserve"> </w:t>
      </w:r>
      <w:r w:rsidRPr="00AC555D">
        <w:rPr>
          <w:rFonts w:cstheme="minorHAnsi"/>
          <w:sz w:val="18"/>
          <w:szCs w:val="18"/>
        </w:rPr>
        <w:t xml:space="preserve">Countries considered included </w:t>
      </w:r>
      <w:r>
        <w:rPr>
          <w:rFonts w:cstheme="minorHAnsi"/>
          <w:sz w:val="18"/>
          <w:szCs w:val="18"/>
        </w:rPr>
        <w:t>“</w:t>
      </w:r>
      <w:r w:rsidRPr="00AC555D">
        <w:rPr>
          <w:rFonts w:cstheme="minorHAnsi"/>
          <w:sz w:val="18"/>
          <w:szCs w:val="18"/>
        </w:rPr>
        <w:t>Australia, Canada, England and France”</w:t>
      </w:r>
      <w:r>
        <w:rPr>
          <w:rFonts w:cstheme="minorHAnsi"/>
          <w:sz w:val="18"/>
          <w:szCs w:val="18"/>
        </w:rPr>
        <w:t>.</w:t>
      </w:r>
      <w:r w:rsidRPr="00AC555D">
        <w:rPr>
          <w:rFonts w:cstheme="minorHAnsi"/>
          <w:sz w:val="18"/>
          <w:szCs w:val="18"/>
        </w:rPr>
        <w:t xml:space="preserve"> These were selected given their recent activities in reviewing this field</w:t>
      </w:r>
      <w:r>
        <w:rPr>
          <w:rFonts w:cstheme="minorHAnsi"/>
          <w:sz w:val="18"/>
          <w:szCs w:val="18"/>
        </w:rPr>
        <w:t>.</w:t>
      </w:r>
    </w:p>
    <w:p w14:paraId="1E009D8E" w14:textId="77777777" w:rsidR="00300A9A" w:rsidRDefault="00300A9A">
      <w:bookmarkStart w:id="3" w:name="_GoBack"/>
      <w:bookmarkEnd w:id="3"/>
    </w:p>
    <w:sectPr w:rsidR="00300A9A" w:rsidSect="00E3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E15"/>
    <w:multiLevelType w:val="hybridMultilevel"/>
    <w:tmpl w:val="98F2E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A"/>
    <w:rsid w:val="00196630"/>
    <w:rsid w:val="001C35ED"/>
    <w:rsid w:val="00227F6E"/>
    <w:rsid w:val="00290599"/>
    <w:rsid w:val="002B0911"/>
    <w:rsid w:val="00300A9A"/>
    <w:rsid w:val="005B53E7"/>
    <w:rsid w:val="00635CEA"/>
    <w:rsid w:val="0068205B"/>
    <w:rsid w:val="006B452F"/>
    <w:rsid w:val="006F6707"/>
    <w:rsid w:val="00726CAB"/>
    <w:rsid w:val="007507EF"/>
    <w:rsid w:val="007A271A"/>
    <w:rsid w:val="00965E2A"/>
    <w:rsid w:val="00967C9E"/>
    <w:rsid w:val="00B744AB"/>
    <w:rsid w:val="00B84008"/>
    <w:rsid w:val="00C635F4"/>
    <w:rsid w:val="00D81E2E"/>
    <w:rsid w:val="00E3525C"/>
    <w:rsid w:val="00EB5EC6"/>
    <w:rsid w:val="00F9431A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6C2"/>
  <w15:chartTrackingRefBased/>
  <w15:docId w15:val="{A7843B69-7B32-4727-A7F7-B3A6FB9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0A9A"/>
    <w:pPr>
      <w:spacing w:before="120" w:after="120" w:line="240" w:lineRule="auto"/>
      <w:ind w:left="720"/>
      <w:contextualSpacing/>
      <w:jc w:val="both"/>
    </w:pPr>
    <w:rPr>
      <w:rFonts w:ascii="Arial" w:hAnsi="Arial" w:cs="Tahom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0A9A"/>
    <w:rPr>
      <w:rFonts w:ascii="Arial" w:hAnsi="Arial" w:cs="Tahoma"/>
      <w:sz w:val="20"/>
      <w:szCs w:val="20"/>
    </w:rPr>
  </w:style>
  <w:style w:type="table" w:customStyle="1" w:styleId="KCETableStyle13">
    <w:name w:val="KCE Table Style 13"/>
    <w:basedOn w:val="TableNormal"/>
    <w:uiPriority w:val="99"/>
    <w:rsid w:val="00300A9A"/>
    <w:pPr>
      <w:spacing w:before="60" w:after="60" w:line="240" w:lineRule="auto"/>
    </w:pPr>
    <w:rPr>
      <w:sz w:val="20"/>
      <w:lang w:val="nl-BE"/>
    </w:rPr>
    <w:tblPr>
      <w:tblBorders>
        <w:top w:val="single" w:sz="8" w:space="0" w:color="5B9BD5" w:themeColor="accent1"/>
        <w:bottom w:val="single" w:sz="8" w:space="0" w:color="5B9BD5" w:themeColor="accent1"/>
        <w:insideH w:val="single" w:sz="8" w:space="0" w:color="5B9BD5" w:themeColor="accent1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link w:val="CaptionChar"/>
    <w:uiPriority w:val="35"/>
    <w:qFormat/>
    <w:rsid w:val="00300A9A"/>
    <w:pPr>
      <w:keepNext/>
      <w:spacing w:before="240" w:line="240" w:lineRule="auto"/>
      <w:jc w:val="both"/>
    </w:pPr>
    <w:rPr>
      <w:rFonts w:ascii="Arial" w:hAnsi="Arial" w:cs="Tahoma"/>
      <w:b/>
      <w:bCs/>
      <w:color w:val="5B9BD5" w:themeColor="accent1"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300A9A"/>
    <w:rPr>
      <w:rFonts w:ascii="Arial" w:hAnsi="Arial" w:cs="Tahoma"/>
      <w:b/>
      <w:bCs/>
      <w:color w:val="5B9BD5" w:themeColor="accent1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11"/>
    <w:rPr>
      <w:rFonts w:ascii="Segoe UI" w:hAnsi="Segoe UI" w:cs="Segoe UI"/>
      <w:sz w:val="18"/>
      <w:szCs w:val="18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965E2A"/>
    <w:pPr>
      <w:spacing w:after="360" w:line="240" w:lineRule="auto"/>
    </w:pPr>
    <w:rPr>
      <w:rFonts w:ascii="Arial" w:hAnsi="Arial" w:cs="Tahoma"/>
      <w:i/>
      <w:sz w:val="18"/>
      <w:szCs w:val="20"/>
    </w:rPr>
  </w:style>
  <w:style w:type="character" w:customStyle="1" w:styleId="KCELegendTableorFigureChar">
    <w:name w:val="KCE Legend Table or Figure Char"/>
    <w:basedOn w:val="DefaultParagraphFont"/>
    <w:link w:val="KCELegendTableorFigure"/>
    <w:rsid w:val="00965E2A"/>
    <w:rPr>
      <w:rFonts w:ascii="Arial" w:hAnsi="Arial" w:cs="Tahoma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65E2A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B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EC6"/>
    <w:pPr>
      <w:spacing w:after="200" w:line="276" w:lineRule="auto"/>
    </w:pPr>
    <w:rPr>
      <w:rFonts w:ascii="Calibri" w:eastAsia="Calibri" w:hAnsi="Calibri" w:cs="Times New Roman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EC6"/>
    <w:rPr>
      <w:rFonts w:ascii="Calibri" w:eastAsia="Calibri" w:hAnsi="Calibri" w:cs="Times New Roman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E7"/>
    <w:pPr>
      <w:spacing w:after="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E7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e.fgov.be/sites/default/files/atoms/files/KCE_336_Immunoglobulins_Part%202_use_in_Belgium_Report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BBF7-7316-48EA-BABA-DE954FB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 Christophe</dc:creator>
  <cp:keywords/>
  <dc:description/>
  <cp:lastModifiedBy>De Meester Christophe</cp:lastModifiedBy>
  <cp:revision>7</cp:revision>
  <dcterms:created xsi:type="dcterms:W3CDTF">2021-02-26T12:12:00Z</dcterms:created>
  <dcterms:modified xsi:type="dcterms:W3CDTF">2021-03-05T09:49:00Z</dcterms:modified>
</cp:coreProperties>
</file>