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1E8D" w14:textId="53AC0A2D" w:rsidR="005C680A" w:rsidRDefault="005C680A" w:rsidP="005C680A">
      <w:pPr>
        <w:pStyle w:val="NormalWeb"/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79805" wp14:editId="2AC584B4">
            <wp:simplePos x="0" y="0"/>
            <wp:positionH relativeFrom="column">
              <wp:posOffset>-92265</wp:posOffset>
            </wp:positionH>
            <wp:positionV relativeFrom="paragraph">
              <wp:posOffset>640080</wp:posOffset>
            </wp:positionV>
            <wp:extent cx="8846820" cy="2660015"/>
            <wp:effectExtent l="0" t="0" r="5080" b="0"/>
            <wp:wrapSquare wrapText="bothSides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82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" w:hAnsi="TimesNewRomanPS"/>
          <w:b/>
          <w:bCs/>
        </w:rPr>
        <w:t>Supplementary</w:t>
      </w:r>
      <w:r>
        <w:rPr>
          <w:rFonts w:ascii="TimesNewRomanPS" w:hAnsi="TimesNewRomanPS"/>
          <w:b/>
          <w:bCs/>
        </w:rPr>
        <w:t xml:space="preserve"> Figure 6. </w:t>
      </w:r>
      <w:r>
        <w:rPr>
          <w:rFonts w:ascii="TimesNewRomanPSMT" w:hAnsi="TimesNewRomanPSMT"/>
        </w:rPr>
        <w:t xml:space="preserve">Meta-analysis of the association between sarcopenia and mortality in outpatients presented by hazard ratios, stratified by long- and short-term follow-up </w:t>
      </w:r>
    </w:p>
    <w:p w14:paraId="5FA9FB0D" w14:textId="77777777" w:rsidR="005C680A" w:rsidRDefault="005C680A" w:rsidP="005C680A">
      <w:pPr>
        <w:pStyle w:val="NormalWeb"/>
      </w:pPr>
      <w:r>
        <w:rPr>
          <w:rFonts w:ascii="TimesNewRomanPSMT" w:hAnsi="TimesNewRomanPSMT"/>
          <w:sz w:val="22"/>
          <w:szCs w:val="22"/>
        </w:rPr>
        <w:t>Heterogeneity (I</w:t>
      </w:r>
      <w:r>
        <w:rPr>
          <w:rFonts w:ascii="TimesNewRomanPSMT" w:hAnsi="TimesNewRomanPSMT"/>
          <w:position w:val="10"/>
          <w:sz w:val="14"/>
          <w:szCs w:val="14"/>
        </w:rPr>
        <w:t>2</w:t>
      </w:r>
      <w:r>
        <w:rPr>
          <w:rFonts w:ascii="TimesNewRomanPSMT" w:hAnsi="TimesNewRomanPSMT"/>
          <w:sz w:val="22"/>
          <w:szCs w:val="22"/>
        </w:rPr>
        <w:t xml:space="preserve">): long-term follow-up (0.0%), short-term follow-up (73.03%). </w:t>
      </w:r>
    </w:p>
    <w:p w14:paraId="3352495B" w14:textId="77777777" w:rsidR="002935A0" w:rsidRDefault="002935A0"/>
    <w:sectPr w:rsidR="002935A0" w:rsidSect="005C680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A"/>
    <w:rsid w:val="0013234D"/>
    <w:rsid w:val="002007F8"/>
    <w:rsid w:val="00200B86"/>
    <w:rsid w:val="002935A0"/>
    <w:rsid w:val="002E0361"/>
    <w:rsid w:val="003C0DD6"/>
    <w:rsid w:val="00477EDF"/>
    <w:rsid w:val="005030DB"/>
    <w:rsid w:val="00535FF3"/>
    <w:rsid w:val="00566426"/>
    <w:rsid w:val="005C627E"/>
    <w:rsid w:val="005C680A"/>
    <w:rsid w:val="005D3FA0"/>
    <w:rsid w:val="0060281B"/>
    <w:rsid w:val="0061586B"/>
    <w:rsid w:val="00634850"/>
    <w:rsid w:val="006B17F8"/>
    <w:rsid w:val="008564AF"/>
    <w:rsid w:val="00881CD6"/>
    <w:rsid w:val="00895E27"/>
    <w:rsid w:val="008A04B7"/>
    <w:rsid w:val="009D1718"/>
    <w:rsid w:val="00A07F9E"/>
    <w:rsid w:val="00A25E13"/>
    <w:rsid w:val="00A2743D"/>
    <w:rsid w:val="00A8498A"/>
    <w:rsid w:val="00B111C1"/>
    <w:rsid w:val="00B44291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C017"/>
  <w15:chartTrackingRefBased/>
  <w15:docId w15:val="{43D0814E-3650-5B4B-9E52-78F3B6ED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8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1</cp:revision>
  <dcterms:created xsi:type="dcterms:W3CDTF">2021-01-28T04:09:00Z</dcterms:created>
  <dcterms:modified xsi:type="dcterms:W3CDTF">2021-01-28T04:10:00Z</dcterms:modified>
</cp:coreProperties>
</file>