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2278" w14:textId="517DD7DF" w:rsidR="00B52377" w:rsidRDefault="00B52377" w:rsidP="00B52377">
      <w:pPr>
        <w:pStyle w:val="NormalWeb"/>
        <w:spacing w:line="600" w:lineRule="auto"/>
      </w:pPr>
      <w:r w:rsidRPr="00B5237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DAD0BC5" wp14:editId="0AC7A1C2">
            <wp:simplePos x="0" y="0"/>
            <wp:positionH relativeFrom="column">
              <wp:posOffset>-116205</wp:posOffset>
            </wp:positionH>
            <wp:positionV relativeFrom="paragraph">
              <wp:posOffset>658685</wp:posOffset>
            </wp:positionV>
            <wp:extent cx="9119870" cy="3671570"/>
            <wp:effectExtent l="0" t="0" r="0" b="0"/>
            <wp:wrapSquare wrapText="bothSides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87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77">
        <w:rPr>
          <w:b/>
          <w:bCs/>
          <w:noProof/>
        </w:rPr>
        <w:t>Supplementary</w:t>
      </w:r>
      <w:r w:rsidRPr="00B52377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 xml:space="preserve">Figure 7. </w:t>
      </w:r>
      <w:r>
        <w:rPr>
          <w:rFonts w:ascii="TimesNewRomanPSMT" w:hAnsi="TimesNewRomanPSMT"/>
        </w:rPr>
        <w:t xml:space="preserve">Meta-analysis of the association between sarcopenia and mortality in inpatients presented by hazard ratios, stratified by long- and short-term follow-up </w:t>
      </w:r>
    </w:p>
    <w:p w14:paraId="323AF7A5" w14:textId="2795425B" w:rsidR="00B52377" w:rsidRDefault="00B52377" w:rsidP="00B52377">
      <w:pPr>
        <w:pStyle w:val="NormalWeb"/>
        <w:spacing w:line="480" w:lineRule="auto"/>
      </w:pPr>
      <w:r>
        <w:rPr>
          <w:rFonts w:ascii="TimesNewRomanPSMT" w:hAnsi="TimesNewRomanPSMT"/>
        </w:rPr>
        <w:t>Heterogeneity (I</w:t>
      </w:r>
      <w:r>
        <w:rPr>
          <w:rFonts w:ascii="TimesNewRomanPSMT" w:hAnsi="TimesNewRomanPSMT"/>
          <w:position w:val="8"/>
          <w:sz w:val="16"/>
          <w:szCs w:val="16"/>
        </w:rPr>
        <w:t>2</w:t>
      </w:r>
      <w:r>
        <w:rPr>
          <w:rFonts w:ascii="TimesNewRomanPSMT" w:hAnsi="TimesNewRomanPSMT"/>
        </w:rPr>
        <w:t>): long-term follow-up (58.2%), short-term follow-up (32.5%).</w:t>
      </w:r>
      <w:r>
        <w:rPr>
          <w:rFonts w:ascii="TimesNewRomanPSMT" w:hAnsi="TimesNewRomanPSMT"/>
        </w:rPr>
        <w:br/>
        <w:t xml:space="preserve">MN: sarcopenia with a risk of malnutrition, NN: sarcopenia with normal nutrition, MSS: malnutrition-sarcopenia syndrome </w:t>
      </w:r>
    </w:p>
    <w:p w14:paraId="3F181C43" w14:textId="77777777" w:rsidR="00B52377" w:rsidRDefault="00B52377"/>
    <w:sectPr w:rsidR="00B52377" w:rsidSect="00B5237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77"/>
    <w:rsid w:val="0013234D"/>
    <w:rsid w:val="002007F8"/>
    <w:rsid w:val="00200B86"/>
    <w:rsid w:val="002935A0"/>
    <w:rsid w:val="002E0361"/>
    <w:rsid w:val="003C0DD6"/>
    <w:rsid w:val="00477EDF"/>
    <w:rsid w:val="005030DB"/>
    <w:rsid w:val="00535FF3"/>
    <w:rsid w:val="00566426"/>
    <w:rsid w:val="005C627E"/>
    <w:rsid w:val="005D3FA0"/>
    <w:rsid w:val="0060281B"/>
    <w:rsid w:val="0061586B"/>
    <w:rsid w:val="00634850"/>
    <w:rsid w:val="006B17F8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B52377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4A3D"/>
  <w15:chartTrackingRefBased/>
  <w15:docId w15:val="{35540687-C910-EB45-8DB0-9DAFBCA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</cp:revision>
  <dcterms:created xsi:type="dcterms:W3CDTF">2021-01-28T04:11:00Z</dcterms:created>
  <dcterms:modified xsi:type="dcterms:W3CDTF">2021-01-28T04:12:00Z</dcterms:modified>
</cp:coreProperties>
</file>