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4DFA" w14:textId="5A6DCD02" w:rsidR="002D7629" w:rsidRDefault="00F94885" w:rsidP="002D7629">
      <w:pPr>
        <w:pStyle w:val="NormalWeb"/>
        <w:spacing w:line="480" w:lineRule="auto"/>
        <w:rPr>
          <w:rFonts w:ascii="TimesNewRomanPSMT" w:hAnsi="TimesNewRomanPS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D4416" wp14:editId="058CD9B3">
            <wp:simplePos x="0" y="0"/>
            <wp:positionH relativeFrom="column">
              <wp:posOffset>-70611</wp:posOffset>
            </wp:positionH>
            <wp:positionV relativeFrom="paragraph">
              <wp:posOffset>702931</wp:posOffset>
            </wp:positionV>
            <wp:extent cx="8760460" cy="3620770"/>
            <wp:effectExtent l="0" t="0" r="2540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46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2B" w:rsidRPr="00BE492B">
        <w:rPr>
          <w:b/>
          <w:bCs/>
          <w:noProof/>
        </w:rPr>
        <w:t>Supplementary</w:t>
      </w:r>
      <w:r w:rsidR="002D7629" w:rsidRPr="00BE492B">
        <w:rPr>
          <w:rFonts w:ascii="TimesNewRomanPS" w:hAnsi="TimesNewRomanPS"/>
          <w:b/>
          <w:bCs/>
        </w:rPr>
        <w:t xml:space="preserve"> </w:t>
      </w:r>
      <w:r w:rsidR="002D7629">
        <w:rPr>
          <w:rFonts w:ascii="TimesNewRomanPS" w:hAnsi="TimesNewRomanPS"/>
          <w:b/>
          <w:bCs/>
        </w:rPr>
        <w:t xml:space="preserve">Figure 9. </w:t>
      </w:r>
      <w:r w:rsidR="002D7629">
        <w:rPr>
          <w:rFonts w:ascii="TimesNewRomanPSMT" w:hAnsi="TimesNewRomanPSMT"/>
        </w:rPr>
        <w:t xml:space="preserve">Meta-analysis of the association between sarcopenia and mortality presented in odds ratios, stratified by high and low risk of bias. </w:t>
      </w:r>
    </w:p>
    <w:p w14:paraId="49AEF96C" w14:textId="48615E5C" w:rsidR="00E4207B" w:rsidRPr="00E4207B" w:rsidRDefault="00E4207B" w:rsidP="00E4207B">
      <w:pPr>
        <w:pStyle w:val="NoSpacing"/>
      </w:pPr>
    </w:p>
    <w:p w14:paraId="6A715B3A" w14:textId="77777777" w:rsidR="002D7629" w:rsidRDefault="002D7629" w:rsidP="002D7629">
      <w:pPr>
        <w:pStyle w:val="NormalWeb"/>
        <w:spacing w:line="480" w:lineRule="auto"/>
      </w:pPr>
      <w:r>
        <w:rPr>
          <w:rFonts w:ascii="TimesNewRomanPSMT" w:hAnsi="TimesNewRomanPSMT"/>
        </w:rPr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 xml:space="preserve">): high risk of bias (20.1%), low risk of bias (32.2%). M: males, F: females </w:t>
      </w:r>
    </w:p>
    <w:p w14:paraId="3A58712D" w14:textId="77777777" w:rsidR="002D7629" w:rsidRDefault="002D7629"/>
    <w:sectPr w:rsidR="002D7629" w:rsidSect="002D762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29"/>
    <w:rsid w:val="0013234D"/>
    <w:rsid w:val="002007F8"/>
    <w:rsid w:val="00200B86"/>
    <w:rsid w:val="002935A0"/>
    <w:rsid w:val="002D7629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BE492B"/>
    <w:rsid w:val="00DE11C1"/>
    <w:rsid w:val="00E0405A"/>
    <w:rsid w:val="00E35B1E"/>
    <w:rsid w:val="00E4207B"/>
    <w:rsid w:val="00F07243"/>
    <w:rsid w:val="00F94885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D39C"/>
  <w15:chartTrackingRefBased/>
  <w15:docId w15:val="{D9FA956A-38F8-DF44-BB4D-37F02B92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4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4</cp:revision>
  <dcterms:created xsi:type="dcterms:W3CDTF">2021-01-28T04:14:00Z</dcterms:created>
  <dcterms:modified xsi:type="dcterms:W3CDTF">2021-03-30T04:51:00Z</dcterms:modified>
</cp:coreProperties>
</file>