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EE7A" w14:textId="7110712F" w:rsidR="00CA0394" w:rsidRPr="00CA0394" w:rsidRDefault="00CA0394" w:rsidP="00CA0394">
      <w:pPr>
        <w:keepNext/>
        <w:spacing w:after="120"/>
        <w:jc w:val="center"/>
        <w:outlineLvl w:val="1"/>
        <w:rPr>
          <w:rFonts w:ascii="Cambria" w:eastAsia="Times New Roman" w:hAnsi="Cambria" w:cs="Times New Roman"/>
          <w:b/>
          <w:bCs/>
          <w:i/>
          <w:iCs/>
          <w:sz w:val="28"/>
          <w:szCs w:val="28"/>
          <w:lang w:eastAsia="de-CH"/>
        </w:rPr>
      </w:pPr>
      <w:r>
        <w:rPr>
          <w:rFonts w:ascii="Cambria" w:eastAsia="Times New Roman" w:hAnsi="Cambria" w:cs="Times New Roman"/>
          <w:b/>
          <w:bCs/>
          <w:i/>
          <w:iCs/>
          <w:sz w:val="28"/>
          <w:szCs w:val="28"/>
          <w:lang w:eastAsia="de-CH"/>
        </w:rPr>
        <w:t>Supplementary Material</w:t>
      </w:r>
    </w:p>
    <w:p w14:paraId="2C7B7877" w14:textId="77777777" w:rsidR="00CA0394" w:rsidRPr="00CA0394" w:rsidRDefault="00CA0394" w:rsidP="00CA0394">
      <w:pPr>
        <w:keepNext/>
        <w:spacing w:after="120"/>
        <w:ind w:left="576" w:hanging="576"/>
        <w:jc w:val="center"/>
        <w:outlineLvl w:val="1"/>
        <w:rPr>
          <w:rFonts w:ascii="Cambria" w:eastAsia="Times New Roman" w:hAnsi="Cambria" w:cs="Times New Roman"/>
          <w:b/>
          <w:bCs/>
          <w:i/>
          <w:iCs/>
          <w:sz w:val="28"/>
          <w:szCs w:val="28"/>
          <w:lang w:eastAsia="de-CH"/>
        </w:rPr>
      </w:pPr>
      <w:r w:rsidRPr="00CA0394">
        <w:rPr>
          <w:rFonts w:ascii="Cambria" w:eastAsia="Times New Roman" w:hAnsi="Cambria" w:cs="Times New Roman"/>
          <w:b/>
          <w:bCs/>
          <w:i/>
          <w:iCs/>
          <w:sz w:val="28"/>
          <w:szCs w:val="28"/>
          <w:lang w:eastAsia="de-CH"/>
        </w:rPr>
        <w:t>Advanced machine learning tools to monitor biomarkers of dysphagia: A wearable sensor proof-of-concept study</w:t>
      </w:r>
    </w:p>
    <w:p w14:paraId="17C94546" w14:textId="77777777" w:rsidR="00CA0394" w:rsidRPr="00CA0394" w:rsidRDefault="00CA0394" w:rsidP="00CA0394">
      <w:pPr>
        <w:spacing w:after="120" w:line="360" w:lineRule="auto"/>
        <w:jc w:val="center"/>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Megan K. O’Brien</w:t>
      </w:r>
      <w:r w:rsidRPr="00CA0394">
        <w:rPr>
          <w:rFonts w:ascii="Calibri" w:eastAsia="Calibri" w:hAnsi="Calibri" w:cs="Times New Roman"/>
          <w:sz w:val="22"/>
          <w:szCs w:val="22"/>
          <w:vertAlign w:val="superscript"/>
          <w:lang w:eastAsia="de-CH"/>
        </w:rPr>
        <w:t xml:space="preserve">a,b </w:t>
      </w:r>
      <w:r w:rsidRPr="00CA0394">
        <w:rPr>
          <w:rFonts w:ascii="Calibri" w:eastAsia="Calibri" w:hAnsi="Calibri" w:cs="Times New Roman"/>
          <w:sz w:val="22"/>
          <w:szCs w:val="22"/>
          <w:lang w:eastAsia="de-CH"/>
        </w:rPr>
        <w:t>*, Olivia K. Botonis</w:t>
      </w:r>
      <w:r w:rsidRPr="00CA0394">
        <w:rPr>
          <w:rFonts w:ascii="Calibri" w:eastAsia="Calibri" w:hAnsi="Calibri" w:cs="Times New Roman"/>
          <w:sz w:val="22"/>
          <w:szCs w:val="22"/>
          <w:vertAlign w:val="superscript"/>
          <w:lang w:eastAsia="de-CH"/>
        </w:rPr>
        <w:t xml:space="preserve">a </w:t>
      </w:r>
      <w:r w:rsidRPr="00CA0394">
        <w:rPr>
          <w:rFonts w:ascii="Calibri" w:eastAsia="Calibri" w:hAnsi="Calibri" w:cs="Times New Roman"/>
          <w:sz w:val="22"/>
          <w:szCs w:val="22"/>
          <w:lang w:eastAsia="de-CH"/>
        </w:rPr>
        <w:t>*, Elissa Larkin</w:t>
      </w:r>
      <w:r w:rsidRPr="00CA0394">
        <w:rPr>
          <w:rFonts w:ascii="Calibri" w:eastAsia="Calibri" w:hAnsi="Calibri" w:cs="Times New Roman"/>
          <w:sz w:val="22"/>
          <w:szCs w:val="22"/>
          <w:vertAlign w:val="superscript"/>
          <w:lang w:eastAsia="de-CH"/>
        </w:rPr>
        <w:t>c</w:t>
      </w:r>
      <w:r w:rsidRPr="00CA0394">
        <w:rPr>
          <w:rFonts w:ascii="Calibri" w:eastAsia="Calibri" w:hAnsi="Calibri" w:cs="Times New Roman"/>
          <w:sz w:val="22"/>
          <w:szCs w:val="22"/>
          <w:lang w:eastAsia="de-CH"/>
        </w:rPr>
        <w:t>, Julia Carpenter</w:t>
      </w:r>
      <w:r w:rsidRPr="00CA0394">
        <w:rPr>
          <w:rFonts w:ascii="Calibri" w:eastAsia="Calibri" w:hAnsi="Calibri" w:cs="Times New Roman"/>
          <w:sz w:val="22"/>
          <w:szCs w:val="22"/>
          <w:vertAlign w:val="superscript"/>
          <w:lang w:eastAsia="de-CH"/>
        </w:rPr>
        <w:t>c</w:t>
      </w:r>
      <w:r w:rsidRPr="00CA0394">
        <w:rPr>
          <w:rFonts w:ascii="Calibri" w:eastAsia="Calibri" w:hAnsi="Calibri" w:cs="Times New Roman"/>
          <w:sz w:val="22"/>
          <w:szCs w:val="22"/>
          <w:lang w:eastAsia="de-CH"/>
        </w:rPr>
        <w:t>, Bonnie Martin-Harris</w:t>
      </w:r>
      <w:r w:rsidRPr="00CA0394">
        <w:rPr>
          <w:rFonts w:ascii="Calibri" w:eastAsia="Calibri" w:hAnsi="Calibri" w:cs="Times New Roman"/>
          <w:sz w:val="22"/>
          <w:szCs w:val="22"/>
          <w:vertAlign w:val="superscript"/>
          <w:lang w:eastAsia="de-CH"/>
        </w:rPr>
        <w:t>d</w:t>
      </w:r>
      <w:r w:rsidRPr="00CA0394">
        <w:rPr>
          <w:rFonts w:ascii="Calibri" w:eastAsia="Calibri" w:hAnsi="Calibri" w:cs="Times New Roman"/>
          <w:sz w:val="22"/>
          <w:szCs w:val="22"/>
          <w:lang w:eastAsia="de-CH"/>
        </w:rPr>
        <w:t>, Rachel Maronati</w:t>
      </w:r>
      <w:r w:rsidRPr="00CA0394">
        <w:rPr>
          <w:rFonts w:ascii="Calibri" w:eastAsia="Calibri" w:hAnsi="Calibri" w:cs="Times New Roman"/>
          <w:sz w:val="22"/>
          <w:szCs w:val="22"/>
          <w:vertAlign w:val="superscript"/>
          <w:lang w:eastAsia="de-CH"/>
        </w:rPr>
        <w:t>a</w:t>
      </w:r>
      <w:r w:rsidRPr="00CA0394">
        <w:rPr>
          <w:rFonts w:ascii="Calibri" w:eastAsia="Calibri" w:hAnsi="Calibri" w:cs="Times New Roman"/>
          <w:sz w:val="22"/>
          <w:szCs w:val="22"/>
          <w:lang w:eastAsia="de-CH"/>
        </w:rPr>
        <w:t>, KunHyuck Lee</w:t>
      </w:r>
      <w:r w:rsidRPr="00CA0394">
        <w:rPr>
          <w:rFonts w:ascii="Calibri" w:eastAsia="Calibri" w:hAnsi="Calibri" w:cs="Times New Roman"/>
          <w:sz w:val="22"/>
          <w:szCs w:val="22"/>
          <w:vertAlign w:val="superscript"/>
          <w:lang w:eastAsia="de-CH"/>
        </w:rPr>
        <w:t>e</w:t>
      </w:r>
      <w:r w:rsidRPr="00CA0394">
        <w:rPr>
          <w:rFonts w:ascii="Calibri" w:eastAsia="Calibri" w:hAnsi="Calibri" w:cs="Times New Roman"/>
          <w:sz w:val="22"/>
          <w:szCs w:val="22"/>
          <w:lang w:eastAsia="de-CH"/>
        </w:rPr>
        <w:t>, Leora R. Cherney</w:t>
      </w:r>
      <w:r w:rsidRPr="00CA0394">
        <w:rPr>
          <w:rFonts w:ascii="Calibri" w:eastAsia="Calibri" w:hAnsi="Calibri" w:cs="Times New Roman"/>
          <w:sz w:val="22"/>
          <w:szCs w:val="22"/>
          <w:vertAlign w:val="superscript"/>
          <w:lang w:eastAsia="de-CH"/>
        </w:rPr>
        <w:t>b,c,d</w:t>
      </w:r>
      <w:r w:rsidRPr="00CA0394">
        <w:rPr>
          <w:rFonts w:ascii="Calibri" w:eastAsia="Calibri" w:hAnsi="Calibri" w:cs="Times New Roman"/>
          <w:sz w:val="22"/>
          <w:szCs w:val="22"/>
          <w:lang w:eastAsia="de-CH"/>
        </w:rPr>
        <w:t>, Brianna Hutchison</w:t>
      </w:r>
      <w:r w:rsidRPr="00CA0394">
        <w:rPr>
          <w:rFonts w:ascii="Calibri" w:eastAsia="Calibri" w:hAnsi="Calibri" w:cs="Times New Roman"/>
          <w:sz w:val="22"/>
          <w:szCs w:val="22"/>
          <w:vertAlign w:val="superscript"/>
          <w:lang w:eastAsia="de-CH"/>
        </w:rPr>
        <w:t>f</w:t>
      </w:r>
      <w:r w:rsidRPr="00CA0394">
        <w:rPr>
          <w:rFonts w:ascii="Calibri" w:eastAsia="Calibri" w:hAnsi="Calibri" w:cs="Times New Roman"/>
          <w:sz w:val="22"/>
          <w:szCs w:val="22"/>
          <w:lang w:eastAsia="de-CH"/>
        </w:rPr>
        <w:t>, Shuai Xu</w:t>
      </w:r>
      <w:r w:rsidRPr="00CA0394">
        <w:rPr>
          <w:rFonts w:ascii="Calibri" w:eastAsia="Calibri" w:hAnsi="Calibri" w:cs="Times New Roman"/>
          <w:sz w:val="22"/>
          <w:szCs w:val="22"/>
          <w:vertAlign w:val="superscript"/>
          <w:lang w:eastAsia="de-CH"/>
        </w:rPr>
        <w:t>g</w:t>
      </w:r>
      <w:r w:rsidRPr="00CA0394">
        <w:rPr>
          <w:rFonts w:ascii="Calibri" w:eastAsia="Calibri" w:hAnsi="Calibri" w:cs="Times New Roman"/>
          <w:sz w:val="22"/>
          <w:szCs w:val="22"/>
          <w:lang w:eastAsia="de-CH"/>
        </w:rPr>
        <w:t>, John A. Rogers</w:t>
      </w:r>
      <w:r w:rsidRPr="00CA0394">
        <w:rPr>
          <w:rFonts w:ascii="Calibri" w:eastAsia="Calibri" w:hAnsi="Calibri" w:cs="Times New Roman"/>
          <w:sz w:val="22"/>
          <w:szCs w:val="22"/>
          <w:vertAlign w:val="superscript"/>
          <w:lang w:eastAsia="de-CH"/>
        </w:rPr>
        <w:t>g</w:t>
      </w:r>
      <w:r w:rsidRPr="00CA0394">
        <w:rPr>
          <w:rFonts w:ascii="Calibri" w:eastAsia="Calibri" w:hAnsi="Calibri" w:cs="Times New Roman"/>
          <w:sz w:val="22"/>
          <w:szCs w:val="22"/>
          <w:lang w:eastAsia="de-CH"/>
        </w:rPr>
        <w:t>, Arun Jayaraman</w:t>
      </w:r>
      <w:r w:rsidRPr="00CA0394">
        <w:rPr>
          <w:rFonts w:ascii="Calibri" w:eastAsia="Calibri" w:hAnsi="Calibri" w:cs="Times New Roman"/>
          <w:sz w:val="22"/>
          <w:szCs w:val="22"/>
          <w:vertAlign w:val="superscript"/>
          <w:lang w:eastAsia="de-CH"/>
        </w:rPr>
        <w:t>a,b</w:t>
      </w:r>
    </w:p>
    <w:p w14:paraId="1F735251" w14:textId="77777777" w:rsidR="00CA0394" w:rsidRPr="00CA0394" w:rsidRDefault="00CA0394" w:rsidP="00CA0394">
      <w:pPr>
        <w:spacing w:after="120" w:line="360" w:lineRule="auto"/>
        <w:rPr>
          <w:rFonts w:ascii="Calibri" w:eastAsia="Calibri" w:hAnsi="Calibri" w:cs="Times New Roman"/>
          <w:sz w:val="22"/>
          <w:szCs w:val="22"/>
          <w:lang w:eastAsia="de-CH"/>
        </w:rPr>
      </w:pPr>
    </w:p>
    <w:p w14:paraId="2629B6A2"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a</w:t>
      </w:r>
      <w:r w:rsidRPr="00CA0394">
        <w:rPr>
          <w:rFonts w:ascii="Calibri" w:eastAsia="Calibri" w:hAnsi="Calibri" w:cs="Times New Roman"/>
          <w:sz w:val="22"/>
          <w:szCs w:val="22"/>
          <w:lang w:eastAsia="de-CH"/>
        </w:rPr>
        <w:t xml:space="preserve"> Max Nader Lab for Rehabilitation Technologies and Outcomes Researc</w:t>
      </w:r>
      <w:bookmarkStart w:id="0" w:name="_GoBack"/>
      <w:bookmarkEnd w:id="0"/>
      <w:r w:rsidRPr="00CA0394">
        <w:rPr>
          <w:rFonts w:ascii="Calibri" w:eastAsia="Calibri" w:hAnsi="Calibri" w:cs="Times New Roman"/>
          <w:sz w:val="22"/>
          <w:szCs w:val="22"/>
          <w:lang w:eastAsia="de-CH"/>
        </w:rPr>
        <w:t>h, Shirley Ryan AbilityLab, Chicago, (IL,) USA</w:t>
      </w:r>
    </w:p>
    <w:p w14:paraId="29502A16"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b</w:t>
      </w:r>
      <w:r w:rsidRPr="00CA0394">
        <w:rPr>
          <w:rFonts w:ascii="Calibri" w:eastAsia="Calibri" w:hAnsi="Calibri" w:cs="Times New Roman"/>
          <w:sz w:val="22"/>
          <w:szCs w:val="22"/>
          <w:lang w:eastAsia="de-CH"/>
        </w:rPr>
        <w:t xml:space="preserve"> Department of Physical Medicine and Rehabilitation, Northwestern University, Chicago, (IL,) USA</w:t>
      </w:r>
    </w:p>
    <w:p w14:paraId="036B618B"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 xml:space="preserve">c </w:t>
      </w:r>
      <w:r w:rsidRPr="00CA0394">
        <w:rPr>
          <w:rFonts w:ascii="Calibri" w:eastAsia="Calibri" w:hAnsi="Calibri" w:cs="Times New Roman"/>
          <w:sz w:val="22"/>
          <w:szCs w:val="22"/>
          <w:lang w:eastAsia="de-CH"/>
        </w:rPr>
        <w:t>Think and Speak Lab, Shirley Ryan AbilityLab, Chicago, (IL,) USA</w:t>
      </w:r>
    </w:p>
    <w:p w14:paraId="4989B2EA"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 xml:space="preserve">d </w:t>
      </w:r>
      <w:r w:rsidRPr="00CA0394">
        <w:rPr>
          <w:rFonts w:ascii="Calibri" w:eastAsia="Calibri" w:hAnsi="Calibri" w:cs="Times New Roman"/>
          <w:sz w:val="22"/>
          <w:szCs w:val="22"/>
          <w:lang w:eastAsia="de-CH"/>
        </w:rPr>
        <w:t>Department of Communication Sciences and Disorders, Northwestern University, Evanston, (IL,) USA</w:t>
      </w:r>
    </w:p>
    <w:p w14:paraId="42A1954C"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 xml:space="preserve">e </w:t>
      </w:r>
      <w:r w:rsidRPr="00CA0394">
        <w:rPr>
          <w:rFonts w:ascii="Calibri" w:eastAsia="Calibri" w:hAnsi="Calibri" w:cs="Times New Roman"/>
          <w:sz w:val="22"/>
          <w:szCs w:val="22"/>
          <w:lang w:eastAsia="de-CH"/>
        </w:rPr>
        <w:t>ImpriMed, Palo Alto, (CA,) USA</w:t>
      </w:r>
    </w:p>
    <w:p w14:paraId="4BE959BA"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 xml:space="preserve">f </w:t>
      </w:r>
      <w:r w:rsidRPr="00CA0394">
        <w:rPr>
          <w:rFonts w:ascii="Calibri" w:eastAsia="Calibri" w:hAnsi="Calibri" w:cs="Times New Roman"/>
          <w:sz w:val="22"/>
          <w:szCs w:val="22"/>
          <w:lang w:eastAsia="de-CH"/>
        </w:rPr>
        <w:t>Department of Biomedical Engineering, Case Western Reserve University, Cleveland, (OH,) USA</w:t>
      </w:r>
    </w:p>
    <w:p w14:paraId="52241B99"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vertAlign w:val="superscript"/>
          <w:lang w:eastAsia="de-CH"/>
        </w:rPr>
        <w:t xml:space="preserve">g </w:t>
      </w:r>
      <w:r w:rsidRPr="00CA0394">
        <w:rPr>
          <w:rFonts w:ascii="Calibri" w:eastAsia="Calibri" w:hAnsi="Calibri" w:cs="Times New Roman"/>
          <w:sz w:val="22"/>
          <w:szCs w:val="22"/>
          <w:lang w:eastAsia="de-CH"/>
        </w:rPr>
        <w:t>Center for Bio-Integrated Electronics, Departments of Materials Science and Engineering, Biomedical Engineering, Electrical Engineering and Computer Science, Northwestern University, Evanston, (IL,) USA</w:t>
      </w:r>
    </w:p>
    <w:p w14:paraId="4E438D0E"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 These authors should be considered co-first authors</w:t>
      </w:r>
    </w:p>
    <w:p w14:paraId="2ECF2490" w14:textId="312FECD1" w:rsidR="002D64A4" w:rsidRPr="0047125C" w:rsidRDefault="002D64A4" w:rsidP="002D64A4">
      <w:pPr>
        <w:spacing w:line="259" w:lineRule="auto"/>
        <w:rPr>
          <w:rFonts w:ascii="Times New Roman" w:eastAsia="ヒラギノ角ゴ Pro W3" w:hAnsi="Times New Roman" w:cs="Times New Roman"/>
          <w:bCs/>
          <w:color w:val="000000"/>
          <w:sz w:val="20"/>
          <w:szCs w:val="20"/>
        </w:rPr>
      </w:pPr>
    </w:p>
    <w:p w14:paraId="169CD0EA" w14:textId="77777777" w:rsidR="002D64A4" w:rsidRPr="0047125C" w:rsidRDefault="002D64A4" w:rsidP="002D64A4">
      <w:pPr>
        <w:spacing w:line="259" w:lineRule="auto"/>
        <w:rPr>
          <w:rFonts w:ascii="Times New Roman" w:eastAsia="ヒラギノ角ゴ Pro W3" w:hAnsi="Times New Roman" w:cs="Times New Roman"/>
          <w:bCs/>
          <w:color w:val="000000"/>
          <w:sz w:val="20"/>
          <w:szCs w:val="20"/>
        </w:rPr>
      </w:pPr>
    </w:p>
    <w:p w14:paraId="44089D60"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Corresponding Author:</w:t>
      </w:r>
    </w:p>
    <w:p w14:paraId="198A48F0"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Arun Jayaraman</w:t>
      </w:r>
    </w:p>
    <w:p w14:paraId="691CE997"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 xml:space="preserve">Max Nader Lab for Rehabilitation Technologies and Outcomes Research </w:t>
      </w:r>
    </w:p>
    <w:p w14:paraId="153A2DDC"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Shirley Ryan AbilityLab</w:t>
      </w:r>
    </w:p>
    <w:p w14:paraId="73FE08E4"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355 E. Erie St.</w:t>
      </w:r>
    </w:p>
    <w:p w14:paraId="73A806F7"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Chicago, IL, 60611, USA</w:t>
      </w:r>
    </w:p>
    <w:p w14:paraId="1020208D" w14:textId="77777777" w:rsidR="00CA0394"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Tel: 312-238-6875</w:t>
      </w:r>
    </w:p>
    <w:p w14:paraId="68A1AF09" w14:textId="22C4D6B7" w:rsidR="00CC553D" w:rsidRPr="00CA0394" w:rsidRDefault="00CA0394" w:rsidP="00CA0394">
      <w:pPr>
        <w:spacing w:after="120" w:line="360" w:lineRule="auto"/>
        <w:rPr>
          <w:rFonts w:ascii="Calibri" w:eastAsia="Calibri" w:hAnsi="Calibri" w:cs="Times New Roman"/>
          <w:sz w:val="22"/>
          <w:szCs w:val="22"/>
          <w:lang w:eastAsia="de-CH"/>
        </w:rPr>
      </w:pPr>
      <w:r w:rsidRPr="00CA0394">
        <w:rPr>
          <w:rFonts w:ascii="Calibri" w:eastAsia="Calibri" w:hAnsi="Calibri" w:cs="Times New Roman"/>
          <w:sz w:val="22"/>
          <w:szCs w:val="22"/>
          <w:lang w:eastAsia="de-CH"/>
        </w:rPr>
        <w:t>E-mail: ajayaraman@sralab.org</w:t>
      </w:r>
      <w:r w:rsidR="00CC553D" w:rsidRPr="00E13230">
        <w:br w:type="page"/>
      </w:r>
    </w:p>
    <w:p w14:paraId="755E6983" w14:textId="77777777" w:rsidR="007405C3" w:rsidRDefault="007405C3" w:rsidP="00674DE5">
      <w:pPr>
        <w:spacing w:after="160" w:line="259" w:lineRule="auto"/>
        <w:outlineLvl w:val="0"/>
        <w:rPr>
          <w:rFonts w:ascii="Cambria" w:eastAsia="ヒラギノ角ゴ Pro W3" w:hAnsi="Cambria" w:cstheme="minorHAnsi"/>
          <w:b/>
        </w:rPr>
        <w:sectPr w:rsidR="007405C3" w:rsidSect="00394941">
          <w:pgSz w:w="12240" w:h="15840"/>
          <w:pgMar w:top="1440" w:right="1440" w:bottom="1440" w:left="1440" w:header="720" w:footer="720" w:gutter="0"/>
          <w:cols w:space="720"/>
          <w:docGrid w:linePitch="360"/>
        </w:sectPr>
      </w:pPr>
    </w:p>
    <w:p w14:paraId="5169220B" w14:textId="1F17F6A9" w:rsidR="00394941" w:rsidRPr="001A119E" w:rsidRDefault="00394941" w:rsidP="00674DE5">
      <w:pPr>
        <w:spacing w:after="160" w:line="259" w:lineRule="auto"/>
        <w:outlineLvl w:val="0"/>
        <w:rPr>
          <w:rFonts w:ascii="Cambria" w:eastAsia="ヒラギノ角ゴ Pro W3" w:hAnsi="Cambria" w:cstheme="minorHAnsi"/>
          <w:b/>
        </w:rPr>
      </w:pPr>
      <w:r w:rsidRPr="001A119E">
        <w:rPr>
          <w:rFonts w:ascii="Cambria" w:eastAsia="ヒラギノ角ゴ Pro W3" w:hAnsi="Cambria" w:cstheme="minorHAnsi"/>
          <w:b/>
        </w:rPr>
        <w:lastRenderedPageBreak/>
        <w:t>Supplementary Methods</w:t>
      </w:r>
    </w:p>
    <w:p w14:paraId="6D71D20D" w14:textId="4AD617CD" w:rsidR="00376CA5" w:rsidRPr="00376CA5" w:rsidRDefault="00376CA5" w:rsidP="00394941">
      <w:pPr>
        <w:spacing w:line="480" w:lineRule="auto"/>
        <w:rPr>
          <w:rFonts w:eastAsia="MS Mincho" w:cstheme="minorHAnsi"/>
          <w:b/>
          <w:i/>
          <w:sz w:val="22"/>
          <w:szCs w:val="22"/>
        </w:rPr>
      </w:pPr>
      <w:r w:rsidRPr="00376CA5">
        <w:rPr>
          <w:rFonts w:eastAsia="MS Mincho" w:cstheme="minorHAnsi"/>
          <w:b/>
          <w:i/>
          <w:sz w:val="22"/>
          <w:szCs w:val="22"/>
        </w:rPr>
        <w:t>Devices</w:t>
      </w:r>
    </w:p>
    <w:p w14:paraId="1D2770BE" w14:textId="206E3A00" w:rsidR="005C6D46" w:rsidRPr="005C6D46" w:rsidRDefault="00376CA5" w:rsidP="005C6D46">
      <w:pPr>
        <w:spacing w:line="480" w:lineRule="auto"/>
        <w:rPr>
          <w:rFonts w:eastAsia="MS Mincho" w:cstheme="minorHAnsi"/>
          <w:b/>
          <w:sz w:val="22"/>
          <w:szCs w:val="22"/>
        </w:rPr>
      </w:pPr>
      <w:r w:rsidRPr="007470C4">
        <w:rPr>
          <w:rFonts w:eastAsia="MS Mincho" w:cstheme="minorHAnsi"/>
          <w:b/>
          <w:sz w:val="22"/>
          <w:szCs w:val="22"/>
        </w:rPr>
        <w:tab/>
      </w:r>
      <w:r w:rsidR="005C6D46" w:rsidRPr="00E070CA">
        <w:rPr>
          <w:rFonts w:cstheme="minorHAnsi"/>
          <w:sz w:val="22"/>
          <w:szCs w:val="22"/>
          <w:shd w:val="clear" w:color="auto" w:fill="FFFFFF"/>
        </w:rPr>
        <w:t xml:space="preserve">The axis-specific sampling rates of the devices (1600 Hz in z-axis, 200 Hz in x- and y-axes) were tuned specifically to capture the frequency ranges of interest during swallowing for efficient memory and battery use. The anteroposterior plane (aligned with the device z-axis) consistently demonstrates higher spectral content during swallowing compared to other planes, which </w:t>
      </w:r>
      <w:r w:rsidR="00781A6F" w:rsidRPr="00E070CA">
        <w:rPr>
          <w:rFonts w:cstheme="minorHAnsi"/>
          <w:sz w:val="22"/>
          <w:szCs w:val="22"/>
          <w:shd w:val="clear" w:color="auto" w:fill="FFFFFF"/>
        </w:rPr>
        <w:t>hold</w:t>
      </w:r>
      <w:r w:rsidR="005C6D46" w:rsidRPr="00E070CA">
        <w:rPr>
          <w:rFonts w:cstheme="minorHAnsi"/>
          <w:sz w:val="22"/>
          <w:szCs w:val="22"/>
          <w:shd w:val="clear" w:color="auto" w:fill="FFFFFF"/>
        </w:rPr>
        <w:t xml:space="preserve"> content below 100 Hz </w:t>
      </w:r>
      <w:r w:rsidR="005C6D46" w:rsidRPr="00E070CA">
        <w:rPr>
          <w:rFonts w:cstheme="minorHAnsi"/>
          <w:sz w:val="22"/>
          <w:szCs w:val="22"/>
          <w:shd w:val="clear" w:color="auto" w:fill="FFFFFF"/>
        </w:rPr>
        <w:fldChar w:fldCharType="begin" w:fldLock="1"/>
      </w:r>
      <w:r w:rsidR="00781A6F" w:rsidRPr="00E90A7D">
        <w:rPr>
          <w:rFonts w:cstheme="minorHAnsi"/>
          <w:sz w:val="22"/>
          <w:szCs w:val="22"/>
          <w:shd w:val="clear" w:color="auto" w:fill="FFFFFF"/>
        </w:rPr>
        <w:instrText>ADDIN CSL_CITATION {"citationItems":[{"id":"ITEM-1","itemData":{"DOI":"10.1088/0967-3334/29/9/008","ISSN":"09673334","abstract":"Single-axis swallowing accelerometry has shown potential as a non-invasive clinical swallowing assessment tool. Previous swallowing accelerometry research has focused exclusively on the anterior-posterior vibration detected on the surface of the neck. However, hyolaryngeal motion during pharyngeal swallowing occurs in both the anterior-posterior and superior-inferior directions, suggesting that dual-axis accelerometry may be worthy of investigation. With this motivation, the present paper provides a characterization of dual-axis swallowing accelerometry signals from healthy adults in the time and time-frequency domains. Time-domain analysis revealed that signals in the two axes exhibited different probability density functions, and minimal cross-correlation and mutual information. Time-frequency analysis highlighted inter-axis dissimilarities in the scalograms, pseudo-spectra and temporal evolution of low- and high-frequency content. Therefore, it was concluded that the two axes contain different information about swallowing and that the superior-inferior axis should be further investigated in future swallowing accelerometry studies. © 2008 Institute of Physics and Engineering in Medicine.","author":[{"dropping-particle":"","family":"Lee","given":"J.","non-dropping-particle":"","parse-names":false,"suffix":""},{"dropping-particle":"","family":"Steele","given":"C. M.","non-dropping-particle":"","parse-names":false,"suffix":""},{"dropping-particle":"","family":"Chau","given":"T.","non-dropping-particle":"","parse-names":false,"suffix":""}],"container-title":"Physiological Measurement","id":"ITEM-1","issue":"9","issued":{"date-parts":[["2008","9"]]},"page":"1105-1120","title":"Time and time-frequency characterization of dual-axis swallowing accelerometry signals","type":"article-journal","volume":"29"},"uris":["http://www.mendeley.com/documents/?uuid=6d8934e9-a1e3-34ed-8e18-4928294571d8","http://www.mendeley.com/documents/?uuid=c09190a0-5143-4968-9722-5fd446f08303"]},{"id":"ITEM-2","itemData":{"DOI":"10.1038/s41551-019-0480-6","ISSN":"2157846X","PMID":"31768002","abstract":"Skin-mounted soft electronics that incorporate high-bandwidth triaxial accelerometers can capture broad classes of physiologically relevant information, including mechano-acoustic signatures of underlying body processes (such as those measured by a stethoscope) and precision kinematics of core-body motions. Here, we describe a wireless device designed to be conformally placed on the suprasternal notch for the continuous measurement of mechano-acoustic signals, from subtle vibrations of the skin at accelerations of around 10−3 m s−2 to large motions of the entire body at about 10 m s−2, and at frequencies up to around 800 Hz. Because the measurements are a complex superposition of signals that arise from locomotion, body orientation, swallowing, respiration, cardiac activity, vocal-fold vibrations and other sources, we exploited frequency-domain analysis and machine learning to obtain—from human subjects during natural daily activities and exercise—real-time recordings of heart rate, respiration rate, energy intensity and other essential vital signs, as well as talking time and cadence, swallow counts and patterns, and other unconventional biomarkers. We also used the device in sleep laboratories and validated the measurements using polysomnography.","author":[{"dropping-particle":"","family":"Lee","given":"Kun Hyuck","non-dropping-particle":"","parse-names":false,"suffix":""},{"dropping-particle":"","family":"Ni","given":"Xiaoyue","non-dropping-particle":"","parse-names":false,"suffix":""},{"dropping-particle":"","family":"Lee","given":"Jong Yoon","non-dropping-particle":"","parse-names":false,"suffix":""},{"dropping-particle":"","family":"Arafa","given":"Hany","non-dropping-particle":"","parse-names":false,"suffix":""},{"dropping-particle":"","family":"Pe","given":"David J.","non-dropping-particle":"","parse-names":false,"suffix":""},{"dropping-particle":"","family":"Xu","given":"Shuai","non-dropping-particle":"","parse-names":false,"suffix":""},{"dropping-particle":"","family":"Avila","given":"Raudel","non-dropping-particle":"","parse-names":false,"suffix":""},{"dropping-particle":"","family":"Irie","given":"Masahiro","non-dropping-particle":"","parse-names":false,"suffix":""},{"dropping-particle":"","family":"Lee","given":"Joo Hee","non-dropping-particle":"","parse-names":false,"suffix":""},{"dropping-particle":"","family":"Easterlin","given":"Ryder L.","non-dropping-particle":"","parse-names":false,"suffix":""},{"dropping-particle":"","family":"Kim","given":"Dong Hyun","non-dropping-particle":"","parse-names":false,"suffix":""},{"dropping-particle":"","family":"Chung","given":"Ha Uk","non-dropping-particle":"","parse-names":false,"suffix":""},{"dropping-particle":"","family":"Olabisi","given":"Omolara O.","non-dropping-particle":"","parse-names":false,"suffix":""},{"dropping-particle":"","family":"Getaneh","given":"Selam","non-dropping-particle":"","parse-names":false,"suffix":""},{"dropping-particle":"","family":"Chung","given":"Esther","non-dropping-particle":"","parse-names":false,"suffix":""},{"dropping-particle":"","family":"Hill","given":"Marc","non-dropping-particle":"","parse-names":false,"suffix":""},{"dropping-particle":"","family":"Bell","given":"Jeremy","non-dropping-particle":"","parse-names":false,"suffix":""},{"dropping-particle":"","family":"Jang","given":"Hokyung","non-dropping-particle":"","parse-names":false,"suffix":""},{"dropping-particle":"","family":"Liu","given":"Claire","non-dropping-particle":"","parse-names":false,"suffix":""},{"dropping-particle":"Bin","family":"Park","given":"Jun","non-dropping-particle":"","parse-names":false,"suffix":""},{"dropping-particle":"","family":"Kim","given":"Jungwoo","non-dropping-particle":"","parse-names":false,"suffix":""},{"dropping-particle":"","family":"Kim","given":"Sung Bong","non-dropping-particle":"","parse-names":false,"suffix":""},{"dropping-particle":"","family":"Mehta","given":"Sunita","non-dropping-particle":"","parse-names":false,"suffix":""},{"dropping-particle":"","family":"Pharr","given":"Matt","non-dropping-particle":"","parse-names":false,"suffix":""},{"dropping-particle":"","family":"Tzavelis","given":"Andreas","non-dropping-particle":"","parse-names":false,"suffix":""},{"dropping-particle":"","family":"Reeder","given":"Jonathan T.","non-dropping-particle":"","parse-names":false,"suffix":""},{"dropping-particle":"","family":"Huang","given":"Ivy","non-dropping-particle":"","parse-names":false,"suffix":""},{"dropping-particle":"","family":"Deng","given":"Yujun","non-dropping-particle":"","parse-names":false,"suffix":""},{"dropping-particle":"","family":"Xie","given":"Zhaoqian","non-dropping-particle":"","parse-names":false,"suffix":""},{"dropping-particle":"","family":"Davies","given":"Charles R.","non-dropping-particle":"","parse-names":false,"suffix":""},{"dropping-particle":"","family":"Huang","given":"Yonggang","non-dropping-particle":"","parse-names":false,"suffix":""},{"dropping-particle":"","family":"Rogers","given":"John A.","non-dropping-particle":"","parse-names":false,"suffix":""}],"container-title":"Nature Biomedical Engineering","id":"ITEM-2","issue":"2","issued":{"date-parts":[["2020","2"]]},"page":"148-158","publisher":"Nature Research","title":"Mechano-acoustic sensing of physiological processes and body motions via a soft wireless device placed at the suprasternal notch","type":"article-journal","volume":"4"},"uris":["http://www.mendeley.com/documents/?uuid=96451b79-4247-4a04-bd9b-e9d98b6de7d8"]}],"mendeley":{"formattedCitation":"[1,2]","plainTextFormattedCitation":"[1,2]","previouslyFormattedCitation":"[1,2]"},"properties":{"noteIndex":0},"schema":"https://github.com/citation-style-language/schema/raw/master/csl-citation.json"}</w:instrText>
      </w:r>
      <w:r w:rsidR="005C6D46" w:rsidRPr="00E070CA">
        <w:rPr>
          <w:rFonts w:cstheme="minorHAnsi"/>
          <w:sz w:val="22"/>
          <w:szCs w:val="22"/>
          <w:shd w:val="clear" w:color="auto" w:fill="FFFFFF"/>
        </w:rPr>
        <w:fldChar w:fldCharType="separate"/>
      </w:r>
      <w:r w:rsidR="005C6D46" w:rsidRPr="00E070CA">
        <w:rPr>
          <w:rFonts w:cstheme="minorHAnsi"/>
          <w:noProof/>
          <w:sz w:val="22"/>
          <w:szCs w:val="22"/>
          <w:shd w:val="clear" w:color="auto" w:fill="FFFFFF"/>
        </w:rPr>
        <w:t>[1,2]</w:t>
      </w:r>
      <w:r w:rsidR="005C6D46" w:rsidRPr="00E070CA">
        <w:rPr>
          <w:rFonts w:cstheme="minorHAnsi"/>
          <w:sz w:val="22"/>
          <w:szCs w:val="22"/>
          <w:shd w:val="clear" w:color="auto" w:fill="FFFFFF"/>
        </w:rPr>
        <w:fldChar w:fldCharType="end"/>
      </w:r>
      <w:r w:rsidR="005C6D46" w:rsidRPr="00E070CA">
        <w:rPr>
          <w:rFonts w:cstheme="minorHAnsi"/>
          <w:sz w:val="22"/>
          <w:szCs w:val="22"/>
          <w:shd w:val="clear" w:color="auto" w:fill="FFFFFF"/>
        </w:rPr>
        <w:t>.</w:t>
      </w:r>
    </w:p>
    <w:p w14:paraId="480CAEA5" w14:textId="46DDB079" w:rsidR="00376CA5" w:rsidRDefault="00376CA5" w:rsidP="00E070CA">
      <w:pPr>
        <w:spacing w:line="480" w:lineRule="auto"/>
        <w:ind w:firstLine="720"/>
        <w:rPr>
          <w:rFonts w:eastAsia="MS Mincho" w:cstheme="minorHAnsi"/>
          <w:sz w:val="22"/>
          <w:szCs w:val="22"/>
        </w:rPr>
      </w:pPr>
      <w:r w:rsidRPr="00AE37A4">
        <w:rPr>
          <w:rFonts w:eastAsia="MS Mincho" w:cstheme="minorHAnsi"/>
          <w:sz w:val="22"/>
          <w:szCs w:val="22"/>
        </w:rPr>
        <w:t>Sensor data were manually time-stamped by a researcher using the custom smartphone app. Timestamps were recorded to demarcate (1) the beginning of a task, designated by presentation of the bolus into the participant’s mouth, (2) the approximate timing of any swallows, identified by the SLP while palpating for laryngeal movement, and (3) the end of a task, determined as the completion of swallowing activity and clearance of the bolus from the oral ca</w:t>
      </w:r>
      <w:r w:rsidRPr="00376CA5">
        <w:rPr>
          <w:rFonts w:eastAsia="MS Mincho" w:cstheme="minorHAnsi"/>
          <w:sz w:val="22"/>
          <w:szCs w:val="22"/>
        </w:rPr>
        <w:t>vity. These timestamps provided the</w:t>
      </w:r>
      <w:r w:rsidRPr="007470C4">
        <w:rPr>
          <w:rFonts w:eastAsia="MS Mincho" w:cstheme="minorHAnsi"/>
          <w:sz w:val="22"/>
          <w:szCs w:val="22"/>
        </w:rPr>
        <w:t xml:space="preserve"> sensor</w:t>
      </w:r>
      <w:r w:rsidRPr="000C29F4">
        <w:rPr>
          <w:rFonts w:eastAsia="MS Mincho" w:cstheme="minorHAnsi"/>
          <w:sz w:val="22"/>
          <w:szCs w:val="22"/>
        </w:rPr>
        <w:t xml:space="preserve"> data window to identify the contained individual swallow event and confirm that the </w:t>
      </w:r>
      <w:r w:rsidRPr="00CA5781">
        <w:rPr>
          <w:rFonts w:eastAsia="MS Mincho" w:cstheme="minorHAnsi"/>
          <w:sz w:val="22"/>
          <w:szCs w:val="22"/>
        </w:rPr>
        <w:t>signal input</w:t>
      </w:r>
      <w:r w:rsidRPr="00AE37A4">
        <w:rPr>
          <w:rFonts w:eastAsia="MS Mincho" w:cstheme="minorHAnsi"/>
          <w:sz w:val="22"/>
          <w:szCs w:val="22"/>
        </w:rPr>
        <w:t xml:space="preserve"> for the supervised learning models lined up with known swallow events.</w:t>
      </w:r>
    </w:p>
    <w:p w14:paraId="41C7E9C6" w14:textId="77777777" w:rsidR="00781A6F" w:rsidRPr="00AE37A4" w:rsidRDefault="00781A6F" w:rsidP="00E070CA">
      <w:pPr>
        <w:spacing w:line="480" w:lineRule="auto"/>
        <w:ind w:firstLine="720"/>
        <w:rPr>
          <w:rFonts w:eastAsia="MS Mincho" w:cstheme="minorHAnsi"/>
          <w:sz w:val="22"/>
          <w:szCs w:val="22"/>
        </w:rPr>
      </w:pPr>
    </w:p>
    <w:p w14:paraId="18C25E01" w14:textId="429422ED" w:rsidR="00394941" w:rsidRPr="00376CA5" w:rsidRDefault="00FF5661" w:rsidP="00394941">
      <w:pPr>
        <w:spacing w:line="480" w:lineRule="auto"/>
        <w:rPr>
          <w:rFonts w:eastAsia="MS Mincho" w:cstheme="minorHAnsi"/>
          <w:b/>
          <w:i/>
          <w:sz w:val="22"/>
          <w:szCs w:val="22"/>
        </w:rPr>
      </w:pPr>
      <w:r w:rsidRPr="00376CA5">
        <w:rPr>
          <w:rFonts w:eastAsia="MS Mincho" w:cstheme="minorHAnsi"/>
          <w:b/>
          <w:i/>
          <w:sz w:val="22"/>
          <w:szCs w:val="22"/>
        </w:rPr>
        <w:t>Protocol</w:t>
      </w:r>
    </w:p>
    <w:p w14:paraId="6560D9E6" w14:textId="3A6F5B3B" w:rsidR="00A15E86" w:rsidRDefault="00A15E86" w:rsidP="00AE37A4">
      <w:pPr>
        <w:pStyle w:val="NormalWeb"/>
        <w:spacing w:before="0" w:beforeAutospacing="0" w:after="0" w:afterAutospacing="0" w:line="480" w:lineRule="auto"/>
        <w:rPr>
          <w:rFonts w:asciiTheme="minorHAnsi" w:hAnsiTheme="minorHAnsi" w:cstheme="minorHAnsi"/>
          <w:color w:val="000000"/>
          <w:sz w:val="22"/>
          <w:szCs w:val="22"/>
        </w:rPr>
      </w:pPr>
      <w:r w:rsidRPr="00376CA5">
        <w:rPr>
          <w:rFonts w:asciiTheme="minorHAnsi" w:eastAsia="MS Mincho" w:hAnsiTheme="minorHAnsi" w:cstheme="minorHAnsi"/>
          <w:sz w:val="22"/>
          <w:szCs w:val="22"/>
        </w:rPr>
        <w:tab/>
        <w:t xml:space="preserve">Inpatients were assessed for dysphagia severity during each session in accordance with the Mann Assessment of Swallowing Ability (MASA) </w:t>
      </w:r>
      <w:r w:rsidR="00AE37A4">
        <w:rPr>
          <w:rFonts w:asciiTheme="minorHAnsi" w:eastAsia="MS Mincho" w:hAnsiTheme="minorHAnsi" w:cstheme="minorHAnsi"/>
          <w:sz w:val="22"/>
          <w:szCs w:val="22"/>
        </w:rPr>
        <w:fldChar w:fldCharType="begin" w:fldLock="1"/>
      </w:r>
      <w:r w:rsidR="00781A6F">
        <w:rPr>
          <w:rFonts w:asciiTheme="minorHAnsi" w:eastAsia="MS Mincho" w:hAnsiTheme="minorHAnsi" w:cstheme="minorHAnsi"/>
          <w:sz w:val="22"/>
          <w:szCs w:val="22"/>
        </w:rPr>
        <w:instrText>ADDIN CSL_CITATION {"citationItems":[{"id":"ITEM-1","itemData":{"ISBN":"9780769302690","author":[{"dropping-particle":"","family":"Mann","given":"Giselle","non-dropping-particle":"","parse-names":false,"suffix":""}],"id":"ITEM-1","issued":{"date-parts":[["2002"]]},"publisher":"Thomson Learning","publisher-place":"Clifton Park, NY","title":"MASA : the Mann assessment of swallowing ability","type":"book"},"uris":["http://www.mendeley.com/documents/?uuid=fe70683c-3ccf-3f66-8738-0820c27193cf"]}],"mendeley":{"formattedCitation":"[3]","plainTextFormattedCitation":"[3]","previouslyFormattedCitation":"[3]"},"properties":{"noteIndex":0},"schema":"https://github.com/citation-style-language/schema/raw/master/csl-citation.json"}</w:instrText>
      </w:r>
      <w:r w:rsidR="00AE37A4">
        <w:rPr>
          <w:rFonts w:asciiTheme="minorHAnsi" w:eastAsia="MS Mincho" w:hAnsiTheme="minorHAnsi" w:cstheme="minorHAnsi"/>
          <w:sz w:val="22"/>
          <w:szCs w:val="22"/>
        </w:rPr>
        <w:fldChar w:fldCharType="separate"/>
      </w:r>
      <w:r w:rsidR="005C6D46" w:rsidRPr="005C6D46">
        <w:rPr>
          <w:rFonts w:asciiTheme="minorHAnsi" w:eastAsia="MS Mincho" w:hAnsiTheme="minorHAnsi" w:cstheme="minorHAnsi"/>
          <w:noProof/>
          <w:sz w:val="22"/>
          <w:szCs w:val="22"/>
        </w:rPr>
        <w:t>[3]</w:t>
      </w:r>
      <w:r w:rsidR="00AE37A4">
        <w:rPr>
          <w:rFonts w:asciiTheme="minorHAnsi" w:eastAsia="MS Mincho" w:hAnsiTheme="minorHAnsi" w:cstheme="minorHAnsi"/>
          <w:sz w:val="22"/>
          <w:szCs w:val="22"/>
        </w:rPr>
        <w:fldChar w:fldCharType="end"/>
      </w:r>
      <w:r w:rsidR="00AE37A4">
        <w:rPr>
          <w:rFonts w:asciiTheme="minorHAnsi" w:eastAsia="MS Mincho" w:hAnsiTheme="minorHAnsi" w:cstheme="minorHAnsi"/>
          <w:sz w:val="22"/>
          <w:szCs w:val="22"/>
        </w:rPr>
        <w:t>,</w:t>
      </w:r>
      <w:r w:rsidRPr="00376CA5">
        <w:rPr>
          <w:rFonts w:asciiTheme="minorHAnsi" w:eastAsia="MS Mincho" w:hAnsiTheme="minorHAnsi" w:cstheme="minorHAnsi"/>
          <w:sz w:val="22"/>
          <w:szCs w:val="22"/>
        </w:rPr>
        <w:t xml:space="preserve"> a </w:t>
      </w:r>
      <w:r w:rsidR="00AE37A4">
        <w:rPr>
          <w:rFonts w:asciiTheme="minorHAnsi" w:eastAsia="MS Mincho" w:hAnsiTheme="minorHAnsi" w:cstheme="minorHAnsi"/>
          <w:sz w:val="22"/>
          <w:szCs w:val="22"/>
        </w:rPr>
        <w:t xml:space="preserve">widely acknowledged and </w:t>
      </w:r>
      <w:r w:rsidRPr="00376CA5">
        <w:rPr>
          <w:rFonts w:asciiTheme="minorHAnsi" w:eastAsia="MS Mincho" w:hAnsiTheme="minorHAnsi" w:cstheme="minorHAnsi"/>
          <w:sz w:val="22"/>
          <w:szCs w:val="22"/>
        </w:rPr>
        <w:t>validated bedside tool to evaluate swallowing impairment</w:t>
      </w:r>
      <w:r w:rsidR="00AE37A4">
        <w:rPr>
          <w:rFonts w:asciiTheme="minorHAnsi" w:eastAsia="MS Mincho" w:hAnsiTheme="minorHAnsi" w:cstheme="minorHAnsi"/>
          <w:sz w:val="22"/>
          <w:szCs w:val="22"/>
        </w:rPr>
        <w:t xml:space="preserve"> in stroke </w:t>
      </w:r>
      <w:r w:rsidR="00AE37A4">
        <w:rPr>
          <w:rFonts w:asciiTheme="minorHAnsi" w:eastAsia="MS Mincho" w:hAnsiTheme="minorHAnsi" w:cstheme="minorHAnsi"/>
          <w:sz w:val="22"/>
          <w:szCs w:val="22"/>
        </w:rPr>
        <w:fldChar w:fldCharType="begin" w:fldLock="1"/>
      </w:r>
      <w:r w:rsidR="00781A6F">
        <w:rPr>
          <w:rFonts w:asciiTheme="minorHAnsi" w:eastAsia="MS Mincho" w:hAnsiTheme="minorHAnsi" w:cstheme="minorHAnsi"/>
          <w:sz w:val="22"/>
          <w:szCs w:val="22"/>
        </w:rPr>
        <w:instrText>ADDIN CSL_CITATION {"citationItems":[{"id":"ITEM-1","itemData":{"DOI":"10.1044/2020_AJSLP-19-00063","ISSN":"15589110","PMID":"32650662","abstract":"Purpose: This clinical focus article considers the roles of the clinical swallow examination (CSE) as a clinically meaningful assessment method used in both adult and pediatric populations. Method: This clinical focus article explores the utility of the CSE across the life span. Specifically, components, reliability, standardized assessments, and limitations of the CSE within the adult and pediatric populations are highlighted. Conclusions: The CSE remains a crucial assessment tool for the speech-language pathologist. The experienced clinician can make important judgments regarding patient safety and function. If the CSE is conducted mindfully and methodically, findings can help chart the course of care for individuals needing additional assessment and possibly intervention.","author":[{"dropping-particle":"","family":"Garand","given":"Kendrea L.","non-dropping-particle":"","parse-names":false,"suffix":""},{"dropping-particle":"","family":"McCullough","given":"Gary","non-dropping-particle":"","parse-names":false,"suffix":""},{"dropping-particle":"","family":"Crary","given":"Michael","non-dropping-particle":"","parse-names":false,"suffix":""},{"dropping-particle":"","family":"Arvedson","given":"Joan C.","non-dropping-particle":"","parse-names":false,"suffix":""},{"dropping-particle":"","family":"Dodrill","given":"Pamela","non-dropping-particle":"","parse-names":false,"suffix":""}],"container-title":"American Journal of Speech-Language Pathology","id":"ITEM-1","issue":"2S","issued":{"date-parts":[["2020"]]},"page":"919-933","title":"Assessment across the life span: The clinical swallow evaluation","type":"article-journal","volume":"29"},"uris":["http://www.mendeley.com/documents/?uuid=34e3c76d-833c-4725-9f5c-19f2490b2d5d","http://www.mendeley.com/documents/?uuid=6193690c-2157-45d8-9802-4f50c29f1f50"]}],"mendeley":{"formattedCitation":"[4]","plainTextFormattedCitation":"[4]","previouslyFormattedCitation":"[4]"},"properties":{"noteIndex":0},"schema":"https://github.com/citation-style-language/schema/raw/master/csl-citation.json"}</w:instrText>
      </w:r>
      <w:r w:rsidR="00AE37A4">
        <w:rPr>
          <w:rFonts w:asciiTheme="minorHAnsi" w:eastAsia="MS Mincho" w:hAnsiTheme="minorHAnsi" w:cstheme="minorHAnsi"/>
          <w:sz w:val="22"/>
          <w:szCs w:val="22"/>
        </w:rPr>
        <w:fldChar w:fldCharType="separate"/>
      </w:r>
      <w:r w:rsidR="005C6D46" w:rsidRPr="005C6D46">
        <w:rPr>
          <w:rFonts w:asciiTheme="minorHAnsi" w:eastAsia="MS Mincho" w:hAnsiTheme="minorHAnsi" w:cstheme="minorHAnsi"/>
          <w:noProof/>
          <w:sz w:val="22"/>
          <w:szCs w:val="22"/>
        </w:rPr>
        <w:t>[4]</w:t>
      </w:r>
      <w:r w:rsidR="00AE37A4">
        <w:rPr>
          <w:rFonts w:asciiTheme="minorHAnsi" w:eastAsia="MS Mincho" w:hAnsiTheme="minorHAnsi" w:cstheme="minorHAnsi"/>
          <w:sz w:val="22"/>
          <w:szCs w:val="22"/>
        </w:rPr>
        <w:fldChar w:fldCharType="end"/>
      </w:r>
      <w:r w:rsidRPr="00376CA5">
        <w:rPr>
          <w:rFonts w:asciiTheme="minorHAnsi" w:eastAsia="MS Mincho" w:hAnsiTheme="minorHAnsi" w:cstheme="minorHAnsi"/>
          <w:sz w:val="22"/>
          <w:szCs w:val="22"/>
        </w:rPr>
        <w:t xml:space="preserve">. </w:t>
      </w:r>
      <w:r w:rsidRPr="00AE37A4">
        <w:rPr>
          <w:rFonts w:asciiTheme="minorHAnsi" w:hAnsiTheme="minorHAnsi" w:cstheme="minorHAnsi"/>
          <w:color w:val="000000"/>
          <w:sz w:val="22"/>
          <w:szCs w:val="22"/>
        </w:rPr>
        <w:t xml:space="preserve">The MASA is comprised of 24 clinical tasks designed to assess the four main areas of general patient status (e.g. alertness, cooperation, language, and speech); oral preparatory phase (e.g. saliva management, lip seal, lingual movement, strength, and coordination, oral bolus preparation, respiration and respiratory rate for swallowing); oral phase (e.g. gag reflex, palatal motility, bolus clearance and oral transit time); and pharyngeal phase of the swallow (e.g. reflexive and voluntary cough, vocal quality, presence or absence of a tracheostomy, and pharyngeal </w:t>
      </w:r>
      <w:r w:rsidRPr="00AE37A4">
        <w:rPr>
          <w:rFonts w:asciiTheme="minorHAnsi" w:hAnsiTheme="minorHAnsi" w:cstheme="minorHAnsi"/>
          <w:color w:val="000000"/>
          <w:sz w:val="22"/>
          <w:szCs w:val="22"/>
        </w:rPr>
        <w:lastRenderedPageBreak/>
        <w:t xml:space="preserve">timing and response). </w:t>
      </w:r>
      <w:r w:rsidR="00977DA4" w:rsidRPr="00977DA4">
        <w:rPr>
          <w:rFonts w:asciiTheme="minorHAnsi" w:hAnsiTheme="minorHAnsi" w:cstheme="minorHAnsi"/>
          <w:color w:val="000000"/>
          <w:sz w:val="22"/>
          <w:szCs w:val="22"/>
        </w:rPr>
        <w:t xml:space="preserve">The MASA is scored on a scale of 200 points, with cutoff scores to classify dysphagia severity: </w:t>
      </w:r>
      <w:r w:rsidR="003A2249">
        <w:rPr>
          <w:rFonts w:asciiTheme="minorHAnsi" w:hAnsiTheme="minorHAnsi" w:cstheme="minorHAnsi"/>
          <w:i/>
          <w:color w:val="000000"/>
          <w:sz w:val="22"/>
          <w:szCs w:val="22"/>
        </w:rPr>
        <w:t>n</w:t>
      </w:r>
      <w:r w:rsidR="00977DA4" w:rsidRPr="00E070CA">
        <w:rPr>
          <w:rFonts w:asciiTheme="minorHAnsi" w:hAnsiTheme="minorHAnsi" w:cstheme="minorHAnsi"/>
          <w:i/>
          <w:color w:val="000000"/>
          <w:sz w:val="22"/>
          <w:szCs w:val="22"/>
        </w:rPr>
        <w:t>one</w:t>
      </w:r>
      <w:r w:rsidR="00977DA4" w:rsidRPr="00977DA4">
        <w:rPr>
          <w:rFonts w:asciiTheme="minorHAnsi" w:hAnsiTheme="minorHAnsi" w:cstheme="minorHAnsi"/>
          <w:color w:val="000000"/>
          <w:sz w:val="22"/>
          <w:szCs w:val="22"/>
        </w:rPr>
        <w:t xml:space="preserve"> (≥178), </w:t>
      </w:r>
      <w:r w:rsidR="003A2249" w:rsidRPr="00636F2F">
        <w:rPr>
          <w:rFonts w:asciiTheme="minorHAnsi" w:hAnsiTheme="minorHAnsi" w:cstheme="minorHAnsi"/>
          <w:i/>
          <w:color w:val="000000"/>
          <w:sz w:val="22"/>
          <w:szCs w:val="22"/>
        </w:rPr>
        <w:t>m</w:t>
      </w:r>
      <w:r w:rsidR="00977DA4" w:rsidRPr="00E070CA">
        <w:rPr>
          <w:rFonts w:asciiTheme="minorHAnsi" w:hAnsiTheme="minorHAnsi" w:cstheme="minorHAnsi"/>
          <w:i/>
          <w:color w:val="000000"/>
          <w:sz w:val="22"/>
          <w:szCs w:val="22"/>
        </w:rPr>
        <w:t>ild</w:t>
      </w:r>
      <w:r w:rsidR="00977DA4" w:rsidRPr="00977DA4">
        <w:rPr>
          <w:rFonts w:asciiTheme="minorHAnsi" w:hAnsiTheme="minorHAnsi" w:cstheme="minorHAnsi"/>
          <w:color w:val="000000"/>
          <w:sz w:val="22"/>
          <w:szCs w:val="22"/>
        </w:rPr>
        <w:t xml:space="preserve"> (168–177), </w:t>
      </w:r>
      <w:r w:rsidR="003A2249" w:rsidRPr="00636F2F">
        <w:rPr>
          <w:rFonts w:asciiTheme="minorHAnsi" w:hAnsiTheme="minorHAnsi" w:cstheme="minorHAnsi"/>
          <w:i/>
          <w:color w:val="000000"/>
          <w:sz w:val="22"/>
          <w:szCs w:val="22"/>
        </w:rPr>
        <w:t>m</w:t>
      </w:r>
      <w:r w:rsidR="00977DA4" w:rsidRPr="00E070CA">
        <w:rPr>
          <w:rFonts w:asciiTheme="minorHAnsi" w:hAnsiTheme="minorHAnsi" w:cstheme="minorHAnsi"/>
          <w:i/>
          <w:color w:val="000000"/>
          <w:sz w:val="22"/>
          <w:szCs w:val="22"/>
        </w:rPr>
        <w:t>oderate</w:t>
      </w:r>
      <w:r w:rsidR="00977DA4" w:rsidRPr="00977DA4">
        <w:rPr>
          <w:rFonts w:asciiTheme="minorHAnsi" w:hAnsiTheme="minorHAnsi" w:cstheme="minorHAnsi"/>
          <w:color w:val="000000"/>
          <w:sz w:val="22"/>
          <w:szCs w:val="22"/>
        </w:rPr>
        <w:t xml:space="preserve"> (139–167), or </w:t>
      </w:r>
      <w:r w:rsidR="003A2249" w:rsidRPr="00636F2F">
        <w:rPr>
          <w:rFonts w:asciiTheme="minorHAnsi" w:hAnsiTheme="minorHAnsi" w:cstheme="minorHAnsi"/>
          <w:i/>
          <w:color w:val="000000"/>
          <w:sz w:val="22"/>
          <w:szCs w:val="22"/>
        </w:rPr>
        <w:t>s</w:t>
      </w:r>
      <w:r w:rsidR="00977DA4" w:rsidRPr="00E070CA">
        <w:rPr>
          <w:rFonts w:asciiTheme="minorHAnsi" w:hAnsiTheme="minorHAnsi" w:cstheme="minorHAnsi"/>
          <w:i/>
          <w:color w:val="000000"/>
          <w:sz w:val="22"/>
          <w:szCs w:val="22"/>
        </w:rPr>
        <w:t>evere</w:t>
      </w:r>
      <w:r w:rsidR="00977DA4" w:rsidRPr="00977DA4">
        <w:rPr>
          <w:rFonts w:asciiTheme="minorHAnsi" w:hAnsiTheme="minorHAnsi" w:cstheme="minorHAnsi"/>
          <w:color w:val="000000"/>
          <w:sz w:val="22"/>
          <w:szCs w:val="22"/>
        </w:rPr>
        <w:t xml:space="preserve"> dysphagia (≤138). The MASA severity rating served as ground truth for model training and was obtained at each data collection session.</w:t>
      </w:r>
    </w:p>
    <w:p w14:paraId="727AD44F" w14:textId="5F89D0FD" w:rsidR="004B2D77" w:rsidRPr="00E070CA" w:rsidRDefault="004B2D77" w:rsidP="00E070CA">
      <w:pPr>
        <w:pStyle w:val="NormalWeb"/>
        <w:spacing w:before="0" w:beforeAutospacing="0" w:after="0" w:afterAutospacing="0" w:line="480" w:lineRule="auto"/>
        <w:ind w:firstLine="720"/>
        <w:rPr>
          <w:rFonts w:asciiTheme="minorHAnsi" w:hAnsiTheme="minorHAnsi" w:cstheme="minorHAnsi"/>
          <w:color w:val="000000"/>
          <w:sz w:val="22"/>
          <w:szCs w:val="22"/>
        </w:rPr>
      </w:pPr>
      <w:r w:rsidRPr="004B2D77">
        <w:rPr>
          <w:rFonts w:asciiTheme="minorHAnsi" w:hAnsiTheme="minorHAnsi" w:cstheme="minorHAnsi"/>
          <w:color w:val="000000"/>
          <w:sz w:val="22"/>
          <w:szCs w:val="22"/>
        </w:rPr>
        <w:t xml:space="preserve">Although all participants were diagnosed as dysphagic in their medical records, the MASA </w:t>
      </w:r>
      <w:r>
        <w:rPr>
          <w:rFonts w:asciiTheme="minorHAnsi" w:hAnsiTheme="minorHAnsi" w:cstheme="minorHAnsi"/>
          <w:color w:val="000000"/>
          <w:sz w:val="22"/>
          <w:szCs w:val="22"/>
        </w:rPr>
        <w:t>recorded</w:t>
      </w:r>
      <w:r w:rsidRPr="004B2D77">
        <w:rPr>
          <w:rFonts w:asciiTheme="minorHAnsi" w:hAnsiTheme="minorHAnsi" w:cstheme="minorHAnsi"/>
          <w:color w:val="000000"/>
          <w:sz w:val="22"/>
          <w:szCs w:val="22"/>
        </w:rPr>
        <w:t xml:space="preserve"> in the Adm</w:t>
      </w:r>
      <w:r>
        <w:rPr>
          <w:rFonts w:asciiTheme="minorHAnsi" w:hAnsiTheme="minorHAnsi" w:cstheme="minorHAnsi"/>
          <w:color w:val="000000"/>
          <w:sz w:val="22"/>
          <w:szCs w:val="22"/>
        </w:rPr>
        <w:t>ission</w:t>
      </w:r>
      <w:r w:rsidRPr="004B2D77">
        <w:rPr>
          <w:rFonts w:asciiTheme="minorHAnsi" w:hAnsiTheme="minorHAnsi" w:cstheme="minorHAnsi"/>
          <w:color w:val="000000"/>
          <w:sz w:val="22"/>
          <w:szCs w:val="22"/>
        </w:rPr>
        <w:t xml:space="preserve"> session</w:t>
      </w:r>
      <w:r>
        <w:rPr>
          <w:rFonts w:asciiTheme="minorHAnsi" w:hAnsiTheme="minorHAnsi" w:cstheme="minorHAnsi"/>
          <w:color w:val="000000"/>
          <w:sz w:val="22"/>
          <w:szCs w:val="22"/>
        </w:rPr>
        <w:t xml:space="preserve"> (</w:t>
      </w:r>
      <w:r w:rsidRPr="00E070CA">
        <w:rPr>
          <w:rFonts w:asciiTheme="minorHAnsi" w:hAnsiTheme="minorHAnsi" w:cstheme="minorHAnsi"/>
          <w:b/>
          <w:color w:val="000000"/>
          <w:sz w:val="22"/>
          <w:szCs w:val="22"/>
        </w:rPr>
        <w:t>Supplementary Table 1</w:t>
      </w:r>
      <w:r>
        <w:rPr>
          <w:rFonts w:asciiTheme="minorHAnsi" w:hAnsiTheme="minorHAnsi" w:cstheme="minorHAnsi"/>
          <w:color w:val="000000"/>
          <w:sz w:val="22"/>
          <w:szCs w:val="22"/>
        </w:rPr>
        <w:t>)</w:t>
      </w:r>
      <w:r w:rsidRPr="004B2D77">
        <w:rPr>
          <w:rFonts w:asciiTheme="minorHAnsi" w:hAnsiTheme="minorHAnsi" w:cstheme="minorHAnsi"/>
          <w:color w:val="000000"/>
          <w:sz w:val="22"/>
          <w:szCs w:val="22"/>
        </w:rPr>
        <w:t xml:space="preserve"> may have indicated no dysphagia due to fluctuating or improved swallow behavior since the hospital intake evaluation and the start of rehabilitation.</w:t>
      </w:r>
    </w:p>
    <w:p w14:paraId="6254B980" w14:textId="77777777" w:rsidR="00FF5661" w:rsidRPr="00376CA5" w:rsidRDefault="00FF5661" w:rsidP="00394941">
      <w:pPr>
        <w:spacing w:line="480" w:lineRule="auto"/>
        <w:rPr>
          <w:rFonts w:eastAsia="MS Mincho" w:cstheme="minorHAnsi"/>
          <w:sz w:val="22"/>
          <w:szCs w:val="22"/>
        </w:rPr>
      </w:pPr>
    </w:p>
    <w:p w14:paraId="739D1BDC" w14:textId="12EA9927" w:rsidR="00394941" w:rsidRPr="00CA0394" w:rsidRDefault="00394941" w:rsidP="00394941">
      <w:pPr>
        <w:spacing w:line="480" w:lineRule="auto"/>
        <w:outlineLvl w:val="1"/>
        <w:rPr>
          <w:rFonts w:eastAsia="MS Mincho" w:cstheme="minorHAnsi"/>
          <w:b/>
          <w:sz w:val="22"/>
          <w:szCs w:val="22"/>
        </w:rPr>
      </w:pPr>
      <w:r w:rsidRPr="00CA0394">
        <w:rPr>
          <w:rFonts w:eastAsia="MS Mincho" w:cstheme="minorHAnsi"/>
          <w:b/>
          <w:i/>
          <w:iCs/>
          <w:color w:val="000000"/>
          <w:sz w:val="22"/>
          <w:szCs w:val="22"/>
        </w:rPr>
        <w:t>Data Pr</w:t>
      </w:r>
      <w:r w:rsidR="00CA0394">
        <w:rPr>
          <w:rFonts w:eastAsia="MS Mincho" w:cstheme="minorHAnsi"/>
          <w:b/>
          <w:i/>
          <w:iCs/>
          <w:color w:val="000000"/>
          <w:sz w:val="22"/>
          <w:szCs w:val="22"/>
        </w:rPr>
        <w:t>eparation and Pr</w:t>
      </w:r>
      <w:r w:rsidRPr="00CA0394">
        <w:rPr>
          <w:rFonts w:eastAsia="MS Mincho" w:cstheme="minorHAnsi"/>
          <w:b/>
          <w:i/>
          <w:iCs/>
          <w:color w:val="000000"/>
          <w:sz w:val="22"/>
          <w:szCs w:val="22"/>
        </w:rPr>
        <w:t>ocessing</w:t>
      </w:r>
    </w:p>
    <w:p w14:paraId="6D42BC68" w14:textId="36F4140A" w:rsidR="00394941" w:rsidRPr="00CA0394" w:rsidRDefault="00394941" w:rsidP="000C6DFE">
      <w:pPr>
        <w:spacing w:line="480" w:lineRule="auto"/>
        <w:ind w:firstLine="720"/>
        <w:rPr>
          <w:rFonts w:eastAsia="MS Mincho" w:cstheme="minorHAnsi"/>
          <w:sz w:val="22"/>
          <w:szCs w:val="22"/>
        </w:rPr>
      </w:pPr>
      <w:r w:rsidRPr="00CA0394">
        <w:rPr>
          <w:rFonts w:eastAsia="MS Mincho" w:cstheme="minorHAnsi"/>
          <w:color w:val="000000"/>
          <w:sz w:val="22"/>
          <w:szCs w:val="22"/>
        </w:rPr>
        <w:t>Data cleaning and preprocessing was performed in MATLAB R2019 (MathWorks; Natick, MA, USA). Data from the throat sensor were resampled to 1600 Hz using spline interpolation, filtered using a 5th-order high-pass Butterworth filter at 3 Hz, denoised by a 7-level wavelet decomposition (sym5, universal thresholding rule, soft thresholding), and stored as a vector magnitude. Data from the ribcage sensor were filtered using a 4th-order, bandpass Butterworth filter (0</w:t>
      </w:r>
      <w:r w:rsidR="002B6375" w:rsidRPr="00CA0394">
        <w:rPr>
          <w:rFonts w:eastAsia="MS Mincho" w:cstheme="minorHAnsi"/>
          <w:color w:val="000000"/>
          <w:sz w:val="22"/>
          <w:szCs w:val="22"/>
        </w:rPr>
        <w:t>.</w:t>
      </w:r>
      <w:r w:rsidR="00D4715B" w:rsidRPr="00CA0394">
        <w:rPr>
          <w:rFonts w:eastAsia="MS Mincho" w:cstheme="minorHAnsi"/>
          <w:color w:val="000000"/>
          <w:sz w:val="22"/>
          <w:szCs w:val="22"/>
        </w:rPr>
        <w:t>1−</w:t>
      </w:r>
      <w:r w:rsidRPr="00CA0394">
        <w:rPr>
          <w:rFonts w:eastAsia="MS Mincho" w:cstheme="minorHAnsi"/>
          <w:color w:val="000000"/>
          <w:sz w:val="22"/>
          <w:szCs w:val="22"/>
        </w:rPr>
        <w:t>0</w:t>
      </w:r>
      <w:r w:rsidR="002B6375" w:rsidRPr="00CA0394">
        <w:rPr>
          <w:rFonts w:eastAsia="MS Mincho" w:cstheme="minorHAnsi"/>
          <w:color w:val="000000"/>
          <w:sz w:val="22"/>
          <w:szCs w:val="22"/>
        </w:rPr>
        <w:t>.</w:t>
      </w:r>
      <w:r w:rsidRPr="00CA0394">
        <w:rPr>
          <w:rFonts w:eastAsia="MS Mincho" w:cstheme="minorHAnsi"/>
          <w:color w:val="000000"/>
          <w:sz w:val="22"/>
          <w:szCs w:val="22"/>
        </w:rPr>
        <w:t>5 Hz) along the z-axis, and stored as the z-axis component only (to capture dynamic respiration from inward and outward motion relative to the body frame). The cleaned and filtered data was then segmented using the beginning and end timestamps for each swallowing task.</w:t>
      </w:r>
    </w:p>
    <w:p w14:paraId="5A4AD7E2" w14:textId="70C452B6" w:rsidR="000C6DFE" w:rsidRPr="00E070CA" w:rsidRDefault="00394941" w:rsidP="00E070CA">
      <w:pPr>
        <w:keepNext/>
        <w:spacing w:after="120" w:line="480" w:lineRule="auto"/>
        <w:ind w:firstLine="706"/>
        <w:rPr>
          <w:sz w:val="22"/>
          <w:szCs w:val="22"/>
        </w:rPr>
      </w:pPr>
      <w:r w:rsidRPr="00CA0394">
        <w:rPr>
          <w:rFonts w:eastAsia="MS Mincho" w:cstheme="minorHAnsi"/>
          <w:color w:val="000000"/>
          <w:sz w:val="22"/>
          <w:szCs w:val="22"/>
        </w:rPr>
        <w:t>Additional processing and analysis were performed in Python 3</w:t>
      </w:r>
      <w:r w:rsidR="002B6375" w:rsidRPr="00CA0394">
        <w:rPr>
          <w:rFonts w:eastAsia="MS Mincho" w:cstheme="minorHAnsi"/>
          <w:color w:val="000000"/>
          <w:sz w:val="22"/>
          <w:szCs w:val="22"/>
        </w:rPr>
        <w:t>.</w:t>
      </w:r>
      <w:r w:rsidRPr="00CA0394">
        <w:rPr>
          <w:rFonts w:eastAsia="MS Mincho" w:cstheme="minorHAnsi"/>
          <w:color w:val="000000"/>
          <w:sz w:val="22"/>
          <w:szCs w:val="22"/>
        </w:rPr>
        <w:t xml:space="preserve">6. For each task, the throat sensor signal was clipped around the swallow itself, removing data from chewing and oral preparation or data between multiple swallows for a single bolus. To clip swallows, signal peaks in the throat sensor data were first detected using the find peaks function in Python’s </w:t>
      </w:r>
      <w:r w:rsidRPr="00E070CA">
        <w:rPr>
          <w:rFonts w:eastAsia="MS Mincho" w:cstheme="minorHAnsi"/>
          <w:i/>
          <w:color w:val="000000"/>
          <w:sz w:val="22"/>
          <w:szCs w:val="22"/>
        </w:rPr>
        <w:t>SciPy</w:t>
      </w:r>
      <w:r w:rsidRPr="00CA0394">
        <w:rPr>
          <w:rFonts w:eastAsia="MS Mincho" w:cstheme="minorHAnsi"/>
          <w:color w:val="000000"/>
          <w:sz w:val="22"/>
          <w:szCs w:val="22"/>
        </w:rPr>
        <w:t xml:space="preserve"> library (version 1</w:t>
      </w:r>
      <w:r w:rsidR="002B6375" w:rsidRPr="00CA0394">
        <w:rPr>
          <w:rFonts w:eastAsia="MS Mincho" w:cstheme="minorHAnsi"/>
          <w:color w:val="000000"/>
          <w:sz w:val="22"/>
          <w:szCs w:val="22"/>
        </w:rPr>
        <w:t>.</w:t>
      </w:r>
      <w:r w:rsidRPr="00CA0394">
        <w:rPr>
          <w:rFonts w:eastAsia="MS Mincho" w:cstheme="minorHAnsi"/>
          <w:color w:val="000000"/>
          <w:sz w:val="22"/>
          <w:szCs w:val="22"/>
        </w:rPr>
        <w:t>3</w:t>
      </w:r>
      <w:r w:rsidR="002B6375" w:rsidRPr="00CA0394">
        <w:rPr>
          <w:rFonts w:eastAsia="MS Mincho" w:cstheme="minorHAnsi"/>
          <w:color w:val="000000"/>
          <w:sz w:val="22"/>
          <w:szCs w:val="22"/>
        </w:rPr>
        <w:t>.</w:t>
      </w:r>
      <w:r w:rsidRPr="00CA0394">
        <w:rPr>
          <w:rFonts w:eastAsia="MS Mincho" w:cstheme="minorHAnsi"/>
          <w:color w:val="000000"/>
          <w:sz w:val="22"/>
          <w:szCs w:val="22"/>
        </w:rPr>
        <w:t xml:space="preserve">1). The most prominent peak prior to the timestamp marking laryngeal movement was considered a landmark for the true swallowing activity, thereby accounting for the time delay between the SLP’s verbal confirmation of </w:t>
      </w:r>
      <w:r w:rsidRPr="00CA0394">
        <w:rPr>
          <w:rFonts w:eastAsia="MS Mincho" w:cstheme="minorHAnsi"/>
          <w:color w:val="000000"/>
          <w:sz w:val="22"/>
          <w:szCs w:val="22"/>
        </w:rPr>
        <w:lastRenderedPageBreak/>
        <w:t xml:space="preserve">a swallow and another researcher manually timestamping the data. The signal was clipped on either side of this peak to include the peak area under the curve lying above the signal baseline (signal intersection evaluated from a height at 95% of the peak prominence height subtracted from the height of the peak). </w:t>
      </w:r>
      <w:r w:rsidR="00CC6F98">
        <w:rPr>
          <w:rFonts w:eastAsia="MS Mincho" w:cstheme="minorHAnsi"/>
          <w:color w:val="000000"/>
          <w:sz w:val="22"/>
          <w:szCs w:val="22"/>
        </w:rPr>
        <w:t xml:space="preserve">Ribcage data were clipped to 15 seconds before and after the peak swallow acceleration to capture the surrounding respiratory dynamics. </w:t>
      </w:r>
      <w:r w:rsidR="00CC6F98" w:rsidRPr="00E070CA">
        <w:rPr>
          <w:sz w:val="22"/>
          <w:szCs w:val="22"/>
        </w:rPr>
        <w:t xml:space="preserve">To mitigate inter- and intra-subject variability in the acceleration signal magnitude due to variations in sensor placement </w:t>
      </w:r>
      <w:r w:rsidR="00CC6F98" w:rsidRPr="00E070CA">
        <w:rPr>
          <w:sz w:val="22"/>
          <w:szCs w:val="22"/>
        </w:rPr>
        <w:fldChar w:fldCharType="begin" w:fldLock="1"/>
      </w:r>
      <w:r w:rsidR="008A4EF6">
        <w:rPr>
          <w:sz w:val="22"/>
          <w:szCs w:val="22"/>
        </w:rPr>
        <w:instrText>ADDIN CSL_CITATION {"citationItems":[{"id":"ITEM-1","itemData":{"DOI":"10.1016/j.medengphy.2015.04.007","ISSN":"18734030","abstract":"Dual-axis accelerometry has recently shown promise as a non-invasive method for detecting swallowing impairment using signal processing and pattern classification algorithms. However, it is unknown whether variations in sensor placement alter signal characteristics, threatening the accuracy of signal processing classifiers for aspiration detection. To address this question, water swallows were recorded in 14 healthy adults using a dual-axis accelerometer in 13 different positions (baseline, and 2, 4, 6 and 8mm above, below and to the right of baseline). The baseline position was midline, immediately below the thyroid cartilage during quiet breathing. After segmentation and pre-processing, signal features were extracted in multiple domains (time, frequency, time-frequency). The effect of sensor position on signal feature distributions was examined with non-parametric statistical analysis. The analysis showed that the sensor could be displaced by as much as 4mm inferior and lateral to the baseline position and by up to 6mm above the baseline location without significantly altering time-frequency features. In other words, when considering the baseline position as the origin, the admissible region for sensor placement spans 10mm in the superior-inferior axis and 8mm in the medial-lateral direction. Results of this study suggest that time-frequency representations of accelerometry signals are most robust to sensor placement variations around the baseline position. The implication of this finding is that a swallowing accelerometry classifier based on time-frequency features can likely tolerate small variations in sensor location without degradation in classification performance.","author":[{"dropping-particle":"","family":"Mamun","given":"Khondaker A.","non-dropping-particle":"","parse-names":false,"suffix":""},{"dropping-particle":"","family":"Steele","given":"Catriona M.","non-dropping-particle":"","parse-names":false,"suffix":""},{"dropping-particle":"","family":"Chau","given":"Tom","non-dropping-particle":"","parse-names":false,"suffix":""}],"container-title":"Medical Engineering and Physics","id":"ITEM-1","issue":"7","issued":{"date-parts":[["2015","7"]]},"page":"665-673","publisher":"Elsevier Ltd","title":"Swallowing accelerometry signal feature variations with sensor displacement","type":"article-journal","volume":"37"},"uris":["http://www.mendeley.com/documents/?uuid=7bb4141f-41de-365f-a4d1-aebeb0fc4d38","http://www.mendeley.com/documents/?uuid=f7ce4976-d9d9-4b5f-bdf2-bc2148a741b0"]}],"mendeley":{"formattedCitation":"[5]","plainTextFormattedCitation":"[5]","previouslyFormattedCitation":"[5]"},"properties":{"noteIndex":0},"schema":"https://github.com/citation-style-language/schema/raw/master/csl-citation.json"}</w:instrText>
      </w:r>
      <w:r w:rsidR="00CC6F98" w:rsidRPr="00E070CA">
        <w:rPr>
          <w:sz w:val="22"/>
          <w:szCs w:val="22"/>
        </w:rPr>
        <w:fldChar w:fldCharType="separate"/>
      </w:r>
      <w:r w:rsidR="008A4EF6" w:rsidRPr="008A4EF6">
        <w:rPr>
          <w:noProof/>
          <w:sz w:val="22"/>
          <w:szCs w:val="22"/>
        </w:rPr>
        <w:t>[5]</w:t>
      </w:r>
      <w:r w:rsidR="00CC6F98" w:rsidRPr="00E070CA">
        <w:rPr>
          <w:sz w:val="22"/>
          <w:szCs w:val="22"/>
        </w:rPr>
        <w:fldChar w:fldCharType="end"/>
      </w:r>
      <w:r w:rsidR="00CC6F98" w:rsidRPr="00E070CA">
        <w:rPr>
          <w:sz w:val="22"/>
          <w:szCs w:val="22"/>
        </w:rPr>
        <w:t xml:space="preserve">, each subject’s sensor data were normalized by a standardized within-session task. Namely, throat and ribcage data from each session were min-max normalized using the averaged minimum and maximum accelerations from the throat sensor during all saliva swallows, or from the ribcage sensor during baseline respiration, respectively. </w:t>
      </w:r>
    </w:p>
    <w:p w14:paraId="6064DBF2" w14:textId="42DAADD0" w:rsidR="00394941" w:rsidRPr="000C6DFE" w:rsidRDefault="00394941" w:rsidP="000C6DFE">
      <w:pPr>
        <w:spacing w:line="480" w:lineRule="auto"/>
        <w:ind w:firstLine="720"/>
        <w:rPr>
          <w:rFonts w:eastAsia="MS Mincho" w:cstheme="minorHAnsi"/>
          <w:color w:val="000000"/>
          <w:sz w:val="22"/>
          <w:szCs w:val="22"/>
        </w:rPr>
      </w:pPr>
      <w:r w:rsidRPr="00CA0394">
        <w:rPr>
          <w:rFonts w:eastAsia="MS Mincho" w:cstheme="minorHAnsi"/>
          <w:color w:val="000000"/>
          <w:sz w:val="22"/>
          <w:szCs w:val="22"/>
        </w:rPr>
        <w:t>Trials that contained competing peaks near the swallow timestamp or excessively noisy signals were discarded to ensure models were trained using sensor data that was confidently attributable to swallowing. Noisy signals are defined as those exceeding a sample entropy threshold, defined as:</w:t>
      </w:r>
    </w:p>
    <w:p w14:paraId="1856BE4A" w14:textId="77777777" w:rsidR="00394941" w:rsidRPr="00CA0394" w:rsidRDefault="00394941" w:rsidP="00394941">
      <w:pPr>
        <w:spacing w:line="480" w:lineRule="auto"/>
        <w:rPr>
          <w:rFonts w:eastAsia="MS Mincho" w:cstheme="minorHAnsi"/>
          <w:sz w:val="22"/>
          <w:szCs w:val="22"/>
        </w:rPr>
      </w:pPr>
      <w:r w:rsidRPr="00CA0394">
        <w:rPr>
          <w:rFonts w:eastAsia="MS Mincho" w:cstheme="minorHAnsi"/>
          <w:color w:val="000000"/>
          <w:sz w:val="22"/>
          <w:szCs w:val="22"/>
        </w:rPr>
        <w:tab/>
      </w:r>
    </w:p>
    <w:tbl>
      <w:tblPr>
        <w:tblStyle w:val="TableGrid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805"/>
      </w:tblGrid>
      <w:tr w:rsidR="00394941" w:rsidRPr="00CA0394" w14:paraId="79A9B2D0" w14:textId="77777777" w:rsidTr="00394941">
        <w:tc>
          <w:tcPr>
            <w:tcW w:w="7200" w:type="dxa"/>
          </w:tcPr>
          <w:p w14:paraId="52CEDB86" w14:textId="77777777" w:rsidR="00394941" w:rsidRPr="00CA0394" w:rsidRDefault="00394941" w:rsidP="00394941">
            <w:pPr>
              <w:spacing w:line="480" w:lineRule="auto"/>
              <w:jc w:val="center"/>
              <w:rPr>
                <w:rFonts w:eastAsia="MS Mincho" w:cstheme="minorHAnsi"/>
                <w:color w:val="000000"/>
                <w:sz w:val="22"/>
                <w:szCs w:val="22"/>
              </w:rPr>
            </w:pPr>
            <m:oMathPara>
              <m:oMath>
                <m:r>
                  <w:rPr>
                    <w:rFonts w:ascii="Cambria Math" w:eastAsia="MS Mincho" w:hAnsi="Cambria Math" w:cstheme="minorHAnsi"/>
                    <w:color w:val="000000"/>
                    <w:sz w:val="22"/>
                    <w:szCs w:val="22"/>
                  </w:rPr>
                  <m:t>SampEn= -</m:t>
                </m:r>
                <m:r>
                  <m:rPr>
                    <m:sty m:val="p"/>
                  </m:rPr>
                  <w:rPr>
                    <w:rFonts w:ascii="Cambria Math" w:eastAsia="MS Mincho" w:hAnsi="Cambria Math" w:cstheme="minorHAnsi"/>
                    <w:color w:val="000000"/>
                    <w:sz w:val="22"/>
                    <w:szCs w:val="22"/>
                  </w:rPr>
                  <m:t>log⁡</m:t>
                </m:r>
                <m:r>
                  <w:rPr>
                    <w:rFonts w:ascii="Cambria Math" w:eastAsia="MS Mincho" w:hAnsi="Cambria Math" w:cstheme="minorHAnsi"/>
                    <w:color w:val="000000"/>
                    <w:sz w:val="22"/>
                    <w:szCs w:val="22"/>
                  </w:rPr>
                  <m:t>(A/B)</m:t>
                </m:r>
              </m:oMath>
            </m:oMathPara>
          </w:p>
        </w:tc>
        <w:tc>
          <w:tcPr>
            <w:tcW w:w="805" w:type="dxa"/>
          </w:tcPr>
          <w:p w14:paraId="64C877D2" w14:textId="77777777" w:rsidR="00394941" w:rsidRPr="00CA0394" w:rsidRDefault="00394941" w:rsidP="00394941">
            <w:pPr>
              <w:spacing w:line="480" w:lineRule="auto"/>
              <w:jc w:val="center"/>
              <w:rPr>
                <w:rFonts w:eastAsia="MS Mincho" w:cstheme="minorHAnsi"/>
                <w:color w:val="000000"/>
                <w:sz w:val="22"/>
                <w:szCs w:val="22"/>
              </w:rPr>
            </w:pPr>
            <w:r w:rsidRPr="00CA0394">
              <w:rPr>
                <w:rFonts w:eastAsia="MS Mincho" w:cstheme="minorHAnsi"/>
                <w:color w:val="000000"/>
                <w:sz w:val="22"/>
                <w:szCs w:val="22"/>
              </w:rPr>
              <w:t>(1)</w:t>
            </w:r>
          </w:p>
        </w:tc>
      </w:tr>
    </w:tbl>
    <w:p w14:paraId="7E3DDB9B" w14:textId="77777777" w:rsidR="00394941" w:rsidRPr="00CA0394" w:rsidRDefault="00394941" w:rsidP="00394941">
      <w:pPr>
        <w:spacing w:line="480" w:lineRule="auto"/>
        <w:rPr>
          <w:rFonts w:eastAsia="MS Mincho" w:cstheme="minorHAnsi"/>
          <w:sz w:val="22"/>
          <w:szCs w:val="22"/>
        </w:rPr>
      </w:pPr>
    </w:p>
    <w:p w14:paraId="261EC7DD" w14:textId="4411ED05" w:rsidR="00394941" w:rsidRPr="00CA0394" w:rsidRDefault="00394941" w:rsidP="00394941">
      <w:pPr>
        <w:spacing w:line="480" w:lineRule="auto"/>
        <w:rPr>
          <w:rFonts w:eastAsia="MS Mincho" w:cstheme="minorHAnsi"/>
          <w:sz w:val="22"/>
          <w:szCs w:val="22"/>
        </w:rPr>
      </w:pPr>
      <w:r w:rsidRPr="00CA0394">
        <w:rPr>
          <w:rFonts w:eastAsia="MS Mincho" w:cstheme="minorHAnsi"/>
          <w:color w:val="000000"/>
          <w:sz w:val="22"/>
          <w:szCs w:val="22"/>
        </w:rPr>
        <w:t xml:space="preserve">where </w:t>
      </w:r>
      <m:oMath>
        <m:r>
          <w:rPr>
            <w:rFonts w:ascii="Cambria Math" w:eastAsia="MS Mincho" w:hAnsi="Cambria Math" w:cstheme="minorHAnsi"/>
            <w:color w:val="000000"/>
            <w:sz w:val="22"/>
            <w:szCs w:val="22"/>
          </w:rPr>
          <m:t>A/B</m:t>
        </m:r>
      </m:oMath>
      <w:r w:rsidRPr="00CA0394">
        <w:rPr>
          <w:rFonts w:eastAsia="MS Mincho" w:cstheme="minorHAnsi"/>
          <w:color w:val="000000"/>
          <w:sz w:val="22"/>
          <w:szCs w:val="22"/>
        </w:rPr>
        <w:t xml:space="preserve"> is the conditional probability that a dataset repeating itself within a tolerance </w:t>
      </w:r>
      <m:oMath>
        <m:r>
          <w:rPr>
            <w:rFonts w:ascii="Cambria Math" w:eastAsia="MS Mincho" w:hAnsi="Cambria Math" w:cstheme="minorHAnsi"/>
            <w:color w:val="000000"/>
            <w:sz w:val="22"/>
            <w:szCs w:val="22"/>
          </w:rPr>
          <m:t>r</m:t>
        </m:r>
      </m:oMath>
      <w:r w:rsidRPr="00CA0394">
        <w:rPr>
          <w:rFonts w:eastAsia="MS Mincho" w:cstheme="minorHAnsi"/>
          <w:color w:val="000000"/>
          <w:sz w:val="22"/>
          <w:szCs w:val="22"/>
        </w:rPr>
        <w:t xml:space="preserve"> for </w:t>
      </w:r>
      <m:oMath>
        <m:r>
          <w:rPr>
            <w:rFonts w:ascii="Cambria Math" w:eastAsia="MS Mincho" w:hAnsi="Cambria Math" w:cstheme="minorHAnsi"/>
            <w:color w:val="000000"/>
            <w:sz w:val="22"/>
            <w:szCs w:val="22"/>
          </w:rPr>
          <m:t>m</m:t>
        </m:r>
      </m:oMath>
      <w:r w:rsidRPr="00CA0394">
        <w:rPr>
          <w:rFonts w:eastAsia="MS Mincho" w:cstheme="minorHAnsi"/>
          <w:color w:val="000000"/>
          <w:sz w:val="22"/>
          <w:szCs w:val="22"/>
        </w:rPr>
        <w:t xml:space="preserve"> points will also repeat itself for </w:t>
      </w:r>
      <m:oMath>
        <m:r>
          <w:rPr>
            <w:rFonts w:ascii="Cambria Math" w:eastAsia="MS Mincho" w:hAnsi="Cambria Math" w:cstheme="minorHAnsi"/>
            <w:color w:val="000000"/>
            <w:sz w:val="22"/>
            <w:szCs w:val="22"/>
          </w:rPr>
          <m:t>m+1</m:t>
        </m:r>
      </m:oMath>
      <w:r w:rsidRPr="00CA0394">
        <w:rPr>
          <w:rFonts w:eastAsia="MS Mincho" w:cstheme="minorHAnsi"/>
          <w:color w:val="000000"/>
          <w:sz w:val="22"/>
          <w:szCs w:val="22"/>
        </w:rPr>
        <w:t xml:space="preserve"> points, without self-matches</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{"citationItems":[{"id":"ITEM-1","itemData":{"DOI":"10.1016/S0076-6879(04)84011-4","ISSN":"00766879","author":[{"dropping-particle":"","family":"Richman","given":"Joshua S.","non-dropping-particle":"","parse-names":false,"suffix":""},{"dropping-particle":"","family":"Lake","given":"Douglas E.","non-dropping-particle":"","parse-names":false,"suffix":""},{"dropping-particle":"","family":"Moorman","given":"J. Randall","non-dropping-particle":"","parse-names":false,"suffix":""}],"container-title":"Methods in Enzymology","id":"ITEM-1","issued":{"date-parts":[["2004","1","1"]]},"page":"172-184","publisher":"Academic Press Inc.","title":"Sample Entropy","type":"article-journal","volume":"384"},"uris":["http://www.mendeley.com/documents/?uuid=e68e9ef8-0d27-4fd7-9468-85005e58caf9"]}],"mendeley":{"formattedCitation":"[6]","plainTextFormattedCitation":"[6]","previouslyFormattedCitation":"[6]"},"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[6]</w:t>
      </w:r>
      <w:r w:rsidRPr="00CA0394">
        <w:rPr>
          <w:rFonts w:eastAsia="MS Mincho" w:cstheme="minorHAnsi"/>
          <w:color w:val="000000"/>
          <w:sz w:val="22"/>
          <w:szCs w:val="22"/>
        </w:rPr>
        <w:fldChar w:fldCharType="end"/>
      </w:r>
      <w:r w:rsidR="004B2B25" w:rsidRPr="00CA0394">
        <w:rPr>
          <w:rFonts w:eastAsia="MS Mincho" w:cstheme="minorHAnsi"/>
          <w:color w:val="000000"/>
          <w:sz w:val="22"/>
          <w:szCs w:val="22"/>
        </w:rPr>
        <w:t>.</w:t>
      </w:r>
      <w:r w:rsidRPr="00CA0394">
        <w:rPr>
          <w:rFonts w:eastAsia="MS Mincho" w:cstheme="minorHAnsi"/>
          <w:color w:val="000000"/>
          <w:sz w:val="22"/>
          <w:szCs w:val="22"/>
        </w:rPr>
        <w:t xml:space="preserve"> We chose </w:t>
      </w:r>
      <m:oMath>
        <m:r>
          <w:rPr>
            <w:rFonts w:ascii="Cambria Math" w:eastAsia="MS Mincho" w:hAnsi="Cambria Math" w:cstheme="minorHAnsi"/>
            <w:color w:val="000000"/>
            <w:sz w:val="22"/>
            <w:szCs w:val="22"/>
          </w:rPr>
          <m:t>m=2</m:t>
        </m:r>
      </m:oMath>
      <w:r w:rsidRPr="00CA0394">
        <w:rPr>
          <w:rFonts w:eastAsia="MS Mincho" w:cstheme="minorHAnsi"/>
          <w:i/>
          <w:iCs/>
          <w:color w:val="000000"/>
          <w:sz w:val="22"/>
          <w:szCs w:val="22"/>
        </w:rPr>
        <w:t xml:space="preserve"> </w:t>
      </w:r>
      <w:r w:rsidRPr="00CA0394">
        <w:rPr>
          <w:rFonts w:eastAsia="MS Mincho" w:cstheme="minorHAnsi"/>
          <w:color w:val="000000"/>
          <w:sz w:val="22"/>
          <w:szCs w:val="22"/>
        </w:rPr>
        <w:t xml:space="preserve"> and </w:t>
      </w:r>
      <m:oMath>
        <m:r>
          <w:rPr>
            <w:rFonts w:ascii="Cambria Math" w:eastAsia="MS Mincho" w:hAnsi="Cambria Math" w:cstheme="minorHAnsi"/>
            <w:color w:val="000000"/>
            <w:sz w:val="22"/>
            <w:szCs w:val="22"/>
          </w:rPr>
          <m:t>r</m:t>
        </m:r>
      </m:oMath>
      <w:r w:rsidRPr="00CA0394">
        <w:rPr>
          <w:rFonts w:eastAsia="MS Mincho" w:cstheme="minorHAnsi"/>
          <w:color w:val="000000"/>
          <w:sz w:val="22"/>
          <w:szCs w:val="22"/>
        </w:rPr>
        <w:t xml:space="preserve"> as the mean derivative of acceleration for the clipped swallow signal. After removing uncertain or noisy signals, 505 swallowing instances were available for machine learning, includi</w:t>
      </w:r>
      <w:r w:rsidR="00D4715B" w:rsidRPr="00CA0394">
        <w:rPr>
          <w:rFonts w:eastAsia="MS Mincho" w:cstheme="minorHAnsi"/>
          <w:color w:val="000000"/>
          <w:sz w:val="22"/>
          <w:szCs w:val="22"/>
        </w:rPr>
        <w:t>ng 184 swallows from non-dysphag</w:t>
      </w:r>
      <w:r w:rsidRPr="00CA0394">
        <w:rPr>
          <w:rFonts w:eastAsia="MS Mincho" w:cstheme="minorHAnsi"/>
          <w:color w:val="000000"/>
          <w:sz w:val="22"/>
          <w:szCs w:val="22"/>
        </w:rPr>
        <w:t>ic controls and 321 swallows from post-stroke patients with no, mild, or moderate impairment.</w:t>
      </w:r>
      <w:r w:rsidR="00B9144E" w:rsidRPr="00CA0394">
        <w:rPr>
          <w:rFonts w:eastAsia="MS Mincho" w:cstheme="minorHAnsi"/>
          <w:color w:val="000000"/>
          <w:sz w:val="22"/>
          <w:szCs w:val="22"/>
        </w:rPr>
        <w:t xml:space="preserve"> </w:t>
      </w:r>
    </w:p>
    <w:p w14:paraId="02E60898" w14:textId="3BB0A669" w:rsidR="00394941" w:rsidRPr="00CA0394" w:rsidRDefault="00394941" w:rsidP="00394941">
      <w:pPr>
        <w:spacing w:line="480" w:lineRule="auto"/>
        <w:rPr>
          <w:rFonts w:eastAsia="MS Mincho" w:cstheme="minorHAnsi"/>
          <w:sz w:val="22"/>
          <w:szCs w:val="22"/>
        </w:rPr>
      </w:pPr>
    </w:p>
    <w:p w14:paraId="4DE455CE" w14:textId="77777777" w:rsidR="00394941" w:rsidRPr="00CA0394" w:rsidRDefault="00394941" w:rsidP="00394941">
      <w:pPr>
        <w:spacing w:line="480" w:lineRule="auto"/>
        <w:outlineLvl w:val="1"/>
        <w:rPr>
          <w:rFonts w:eastAsia="MS Mincho" w:cstheme="minorHAnsi"/>
          <w:b/>
          <w:sz w:val="22"/>
          <w:szCs w:val="22"/>
        </w:rPr>
      </w:pPr>
      <w:r w:rsidRPr="00CA0394">
        <w:rPr>
          <w:rFonts w:eastAsia="MS Mincho" w:cstheme="minorHAnsi"/>
          <w:b/>
          <w:i/>
          <w:iCs/>
          <w:color w:val="000000"/>
          <w:sz w:val="22"/>
          <w:szCs w:val="22"/>
        </w:rPr>
        <w:t>Feature Extraction</w:t>
      </w:r>
    </w:p>
    <w:p w14:paraId="4BBCAE95" w14:textId="77777777" w:rsidR="00394941" w:rsidRPr="00CA0394" w:rsidRDefault="00394941" w:rsidP="000C6DFE">
      <w:pPr>
        <w:spacing w:line="480" w:lineRule="auto"/>
        <w:ind w:firstLine="720"/>
        <w:rPr>
          <w:rFonts w:eastAsia="MS Mincho" w:cstheme="minorHAnsi"/>
          <w:sz w:val="22"/>
          <w:szCs w:val="22"/>
        </w:rPr>
      </w:pPr>
      <w:r w:rsidRPr="00CA0394">
        <w:rPr>
          <w:rFonts w:eastAsia="MS Mincho" w:cstheme="minorHAnsi"/>
          <w:color w:val="000000"/>
          <w:sz w:val="22"/>
          <w:szCs w:val="22"/>
        </w:rPr>
        <w:t>Twenty-four swallowing features were extracted from the clipped, normalized throat sensor signal recorded during each swallow (</w:t>
      </w:r>
      <w:r w:rsidRPr="00CA0394">
        <w:rPr>
          <w:rFonts w:eastAsia="MS Mincho" w:cstheme="minorHAnsi"/>
          <w:b/>
          <w:color w:val="000000"/>
          <w:sz w:val="22"/>
          <w:szCs w:val="22"/>
        </w:rPr>
        <w:t>Supplementary Table 2</w:t>
      </w:r>
      <w:r w:rsidRPr="00CA0394">
        <w:rPr>
          <w:rFonts w:eastAsia="MS Mincho" w:cstheme="minorHAnsi"/>
          <w:color w:val="000000"/>
          <w:sz w:val="22"/>
          <w:szCs w:val="22"/>
        </w:rPr>
        <w:t xml:space="preserve">). Time-domain features from the throat </w:t>
      </w:r>
      <w:r w:rsidRPr="00CA0394">
        <w:rPr>
          <w:rFonts w:eastAsia="MS Mincho" w:cstheme="minorHAnsi"/>
          <w:color w:val="000000"/>
          <w:sz w:val="22"/>
          <w:szCs w:val="22"/>
        </w:rPr>
        <w:lastRenderedPageBreak/>
        <w:t>data included: swallow duration, max, min, median, mean, standard deviation, skewness, kurtosis, root mean square (RMS), interquartile range (IQR), peak width at half maximum (PWHM), absolute difference of the median and mean, sample entropy, and Lempel-Ziv complexity. Frequency-domain features were computed from the power spectral density (PSD) estimated via Welch’s method and included the following: peak frequency, normalized peak frequency, peak frequency magnitude, total power, mean frequency, standard deviation, skewness, kurtosis, entropy, and central frequency. </w:t>
      </w:r>
    </w:p>
    <w:p w14:paraId="45A0CE7F" w14:textId="7DF16392" w:rsidR="00394941" w:rsidRDefault="00394941" w:rsidP="000C6DFE">
      <w:pPr>
        <w:spacing w:line="480" w:lineRule="auto"/>
        <w:ind w:firstLine="720"/>
        <w:rPr>
          <w:sz w:val="22"/>
          <w:szCs w:val="22"/>
        </w:rPr>
      </w:pPr>
      <w:r w:rsidRPr="00CA0394">
        <w:rPr>
          <w:rFonts w:eastAsia="MS Mincho" w:cstheme="minorHAnsi"/>
          <w:color w:val="000000"/>
          <w:sz w:val="22"/>
          <w:szCs w:val="22"/>
        </w:rPr>
        <w:t>Twelve respiratory features were extracted from the normalized ribcage sensor signal recorded before, during, and after each swallow (</w:t>
      </w:r>
      <w:r w:rsidRPr="00CA0394">
        <w:rPr>
          <w:rFonts w:eastAsia="MS Mincho" w:cstheme="minorHAnsi"/>
          <w:b/>
          <w:color w:val="000000"/>
          <w:sz w:val="22"/>
          <w:szCs w:val="22"/>
        </w:rPr>
        <w:t>Supplementary Table 3</w:t>
      </w:r>
      <w:r w:rsidRPr="00CA0394">
        <w:rPr>
          <w:rFonts w:eastAsia="MS Mincho" w:cstheme="minorHAnsi"/>
          <w:color w:val="000000"/>
          <w:sz w:val="22"/>
          <w:szCs w:val="22"/>
        </w:rPr>
        <w:t>). General respiratory events, including inhalation, exhalation, and breathing apneas, were determined from the acceleration profiles corresponding to ribcage expansion and contraction. Respiratory-swallow coordination features were selected to capture clinically-relevant information about risk of aspiration during swallowing, including the timing of the swallow within the respiratory cycle</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{"citationItems":[{"id":"ITEM-1","itemData":{"abstract":"1. Relationships between the timing of respiration and deglutition were studied in thirty awake healthy subjects at rest. Deglutition was monitored by submental electro-myography, pharyngeal manometry and videofluoroscopy. Respiration was recorded by measurement of oronasal airflow and chest wall movement. Three types of deglutition were studied: injected bolus swallows, spontaneous swallows, and visually cued swallows of boluses previously placed in the mouth. 2. The effect of each swallow on respiratory rhythm was characterized by measurement of cophase, defined as the interval between the onset of deglutitive submental EMG activity to the onset of subsequent rescheduled inspirations. Cophase was determined for swallows initiated at different phases of the respiratory cycle. In all subjects deglutition caused phase resetting of respiratory rhythm. Cophase was largest for swallows initiated near the inspiratory-expiratory (I-E) transition and smallest for swallows initiated near the expiratory-inspiratory (E-I) transition. The pattern of respiratory resetting by deglutition was topologically classified as type 0. This pattern was shown for swallows induced by bolus injection or visual cue, and for spontaneous swallows. 3. The incidence of spontaneous deglutition was influenced by the position of the swallow in the respiratory cycle. Few spontaneous swallows were initiated near the E-I transition whereas most occurred from late inspiration to mid-expiration. 4. Deglutition caused an abrupt decrease in airflow leading to an interval of apnoea, followed by a period of expiration. The duration of deglutition apnoea for spontaneous swallows was shorter than that for 5 ml bolus swallows, and was unaffected by the respiratory phase of swallow initiation. The period of expiration after swallowing was longest for swallows initiated at the I-E transition, and shortest for E-I swallows. 5. The intervals between bolus injection and the onset of deglutition apnoea, and the timing of swallowing events, were not significantly altered by the phase in the respiratory cycle at which swallowing was exhibited. 6. To quantify the relationship between bolus flow and respiration, we determined the latencies between cessation of inspiratory airflow and arrival of the bolus at the larynx (a.), and between laryngeal bolus departure and resumption of inspiratory airflow (a). Both values were dependent upon the respiratory phase of swallowing. The lowest values for a and a were f…","author":[{"dropping-particle":"","family":"Paydarfar","given":"David","non-dropping-particle":"","parse-names":false,"suffix":""},{"dropping-particle":"","family":"Gilbert","given":"Richard J","non-dropping-particle":"","parse-names":false,"suffix":""},{"dropping-particle":"","family":"Poppel","given":"Clinton S","non-dropping-particle":"","parse-names":false,"suffix":""},{"dropping-particle":"","family":"Nassab","given":"Paul F","non-dropping-particle":"","parse-names":false,"suffix":""}],"container-title":"Journal of Physiology","id":"ITEM-1","issued":{"date-parts":[["1995"]]},"number-of-pages":"273-288","title":"Respiratory phase resetting and airflow changes induced by swallowing in humans","type":"report"},"uris":["http://www.mendeley.com/documents/?uuid=df6c48ab-9132-4530-bc4f-94967b74ff7d"]},{"id":"ITEM-2","itemData":{"DOI":"10.3389/fphys.2017.00676","ISSN":"1664-042X","abstract":"Rationale: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Physiology","id":"ITEM-2","issue":"SEP","issued":{"date-parts":[["2017","9"]]},"page":"676","publisher":"Frontiers Media S.A.","title":"Inappropriate Timing of Swallow in the Respiratory Cycle Causes Breathing–Swallowing Discoordination","type":"article-journal","volume":"8"},"uris":["http://www.mendeley.com/documents/?uuid=f13c1665-2281-46ba-94f7-3c6bb77cd19b"]}],"mendeley":{"formattedCitation":"[7,8]","plainTextFormattedCitation":"[7,8]","previouslyFormattedCitation":"[7,8]"},"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[7,8]</w:t>
      </w:r>
      <w:r w:rsidRPr="00CA0394">
        <w:rPr>
          <w:rFonts w:eastAsia="MS Mincho" w:cstheme="minorHAnsi"/>
          <w:color w:val="000000"/>
          <w:sz w:val="22"/>
          <w:szCs w:val="22"/>
        </w:rPr>
        <w:fldChar w:fldCharType="end"/>
      </w:r>
      <w:r w:rsidRPr="00CA0394">
        <w:rPr>
          <w:rFonts w:eastAsia="MS Mincho" w:cstheme="minorHAnsi"/>
          <w:color w:val="000000"/>
          <w:sz w:val="22"/>
          <w:szCs w:val="22"/>
        </w:rPr>
        <w:t xml:space="preserve"> and the presence and timing of the necessary breathing cessation that occurs during swallowing (apnea)</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Physiology","id":"ITEM-1","issue":"SEP","issued":{"date-parts":[["2017","9"]]},"page":"676","publisher":"Frontiers Media S.A.","title":"Inappropriate Timing of Swallow in the Respiratory Cycle Causes Breathing–Swallowing Discoordination","type":"article-journal","volume":"8"},"uris":["http://www.mendeley.com/documents/?uuid=f13c1665-2281-46ba-94f7-3c6bb77cd19b"]}],"mendeley":{"formattedCitation":"[8]","plainTextFormattedCitation":"[8]","previouslyFormattedCitation":"[8]"},"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[8]</w:t>
      </w:r>
      <w:r w:rsidRPr="00CA0394">
        <w:rPr>
          <w:rFonts w:eastAsia="MS Mincho" w:cstheme="minorHAnsi"/>
          <w:color w:val="000000"/>
          <w:sz w:val="22"/>
          <w:szCs w:val="22"/>
        </w:rPr>
        <w:fldChar w:fldCharType="end"/>
      </w:r>
      <w:r w:rsidR="004B2B25" w:rsidRPr="00CA0394">
        <w:rPr>
          <w:rFonts w:eastAsia="MS Mincho" w:cstheme="minorHAnsi"/>
          <w:color w:val="000000"/>
          <w:sz w:val="22"/>
          <w:szCs w:val="22"/>
        </w:rPr>
        <w:t>.</w:t>
      </w:r>
      <w:r w:rsidRPr="00CA0394">
        <w:rPr>
          <w:rFonts w:eastAsia="MS Mincho" w:cstheme="minorHAnsi"/>
          <w:color w:val="000000"/>
          <w:sz w:val="22"/>
          <w:szCs w:val="22"/>
        </w:rPr>
        <w:t xml:space="preserve"> To locate the swallowing apnea, we assessed the 10-second window in the respiration signal that occurred immediately prior to the swallowing peak. Interruptions to the respiratory cycle were identified as segments of data when the first derivative of acceleration fell below the mean first derivative of the full 10-second window. The segment that was closest in time to the corresponding laryngeal swallow peak was selected as the swallowing apnea. Inhalation-Exhalation (I-E) patterns observed at the swallow apnea, as well as normalized inhalation cycles preceding or following the swallow peak, were recorded as features, as these are known to be i</w:t>
      </w:r>
      <w:r w:rsidR="004B2B25" w:rsidRPr="00CA0394">
        <w:rPr>
          <w:rFonts w:eastAsia="MS Mincho" w:cstheme="minorHAnsi"/>
          <w:color w:val="000000"/>
          <w:sz w:val="22"/>
          <w:szCs w:val="22"/>
        </w:rPr>
        <w:t xml:space="preserve">nfluenced by factors such as age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{"citationItems":[{"id":"ITEM-1","itemData":{"DOI":"10.1007/BF02407151","ISSN":"0179051X","PMID":"2640185","abstract":"Swallows of 4 bolus volumes (1, 5, 10, 20 ml) were examined in three groups of subjects: 6 subjects 20-29 years of age, 12 subjects 30-59 years of age, and 6 subjects 60-79 years of age. A simultaneous manometric and videofluoroscopic data collection protocol permitted measurement of bolus transit, temporal aspects of the oropharyngeal swallow, and pharyngeal peristalsis. Statistically significant effects of increasing bolus volume were oral transit of the bolus head (decreased) and duration of cricopharyngeal opening (increased). Five measures were significantly changed with increasing age: duration of pharyngeal swallow delay (increased), duration of pharyngeal swallow response (decreased), duration of cricopharyngeal opening (decreased), peristaltic amplitude (decreased), and peristaltic velocity (decreased). © 1989 Springer-Verlag New York Inc.","author":[{"dropping-particle":"","family":"Tracy","given":"Julie F.","non-dropping-particle":"","parse-names":false,"suffix":""},{"dropping-particle":"","family":"Logemann","given":"Jeri A.","non-dropping-particle":"","parse-names":false,"suffix":""},{"dropping-particle":"","family":"Kahrilas","given":"Peter J.","non-dropping-particle":"","parse-names":false,"suffix":""},{"dropping-particle":"","family":"Jacob","given":"Pothen","non-dropping-particle":"","parse-names":false,"suffix":""},{"dropping-particle":"","family":"Kobara","given":"Mindy","non-dropping-particle":"","parse-names":false,"suffix":""},{"dropping-particle":"","family":"Krugler","given":"Christine","non-dropping-particle":"","parse-names":false,"suffix":""}],"container-title":"Dysphagia","id":"ITEM-1","issue":"2","issued":{"date-parts":[["1989","6"]]},"page":"90-94","publisher":"Springer-Verlag","title":"Preliminary observations on the effects of age on oropharyngeal deglutition","type":"article-journal","volume":"4"},"uris":["http://www.mendeley.com/documents/?uuid=eee54f3f-f949-34b2-8f29-b1ce5b0da15a"]},{"id":"ITEM-2","itemData":{"DOI":"10.1001/archotol.131.9.762","ISSN":"08864470","PMID":"16172351","abstract":"Background: Aberrations in the physiologic components of normal oropharyngeal swallowing have been linked to aspiration events and to predisposition to aspiration pneumonia, a common, deadly disease in elderly persons. Studies have demonstrated a temporal, physiologic link between breathing and the principal physiologic swallowing components involved in airway protection during swallowing. We developed a normative model of integrated breathing and swallowing patterns using concomitant videofluoroscopic images and nasal respiratory airflow recordings. Objectives: To establish normative temporal and respiratory-phase pattern relationships between breathing and swallowing in adult human beings across the aging continuum; to relate any alterations in these patterns to swallowing abnormality, an aspiration event during swallowing, and predisposition to aspiration pneumonia; and to develop clinically practical evaluation methods for identifying breathing and swallowing discoordination. Setting: Fluoroscopy suite in an acute care hospital. Participants: Eighty-two healthy adult volunteers gave informed consent. All eligible healthy volunteers were welcome and were screened for age, race, and sex for equal distribution of each. Intervention: Respiratory-phase patterns and the onset and duration of 11 predetermined swallowing events and associated respiratory activities were studied. All participants' single-liquid barium swallow examinations were studied with simultaneous video fluoroscopy and respiratory recordings. Main Outcome Measures: Onset of each of the 11 predetermined breathing and swallowing events was digitally recorded and analyzed. The phases of breathing before and after swallowing were identified. The presence, depth, and response to airway penetration were recorded and related to respiratory pattern. Results: Four respiratory-phase patterns were identified that changed with advanced age. The correlation analyses of the temporal breathing and swallowing events revealed a normal pattern of 4 clearly distinguishable functional units. Differences in apnea duration and apnea offset occurred with advanced age. Conclusion: This research provides evidence for clearly distinguishable patterns and functional groupings of breathing and swallowing events, a necessary first step toward determining whether abnormal breathing and swallowing patterns in patients with dysphagia are associated with health outcome. ©2005 American Medical Association. All rights re…","author":[{"dropping-particle":"","family":"Martin-Harris","given":"Bonnie","non-dropping-particle":"","parse-names":false,"suffix":""},{"dropping-particle":"","family":"Brodsky","given":"Martin B.","non-dropping-particle":"","parse-names":false,"suffix":""},{"dropping-particle":"","family":"Michel","given":"Yvonne","non-dropping-particle":"","parse-names":false,"suffix":""},{"dropping-particle":"","family":"Ford","given":"Carrie L.","non-dropping-particle":"","parse-names":false,"suffix":""},{"dropping-particle":"","family":"Walters","given":"Bobby","non-dropping-particle":"","parse-names":false,"suffix":""},{"dropping-particle":"","family":"Heffner","given":"John","non-dropping-particle":"","parse-names":false,"suffix":""}],"container-title":"Archives of Otolaryngology - Head and Neck Surgery","id":"ITEM-2","issue":"9","issued":{"date-parts":[["2005","9"]]},"page":"762-770","publisher":"Arch Otolaryngol Head Neck Surg","title":"Breathing and swallowing dynamics across the adult lifespan","type":"article-journal","volume":"131"},"uris":["http://www.mendeley.com/documents/?uuid=4ddac88e-851a-341e-b533-fbb051ad163c"]}],"mendeley":{"formattedCitation":"[9,10]","plainTextFormattedCitation":"[9,10]","previouslyFormattedCitation":"[9,10]"},"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[9,10]</w:t>
      </w:r>
      <w:r w:rsidRPr="00CA0394">
        <w:rPr>
          <w:rFonts w:eastAsia="MS Mincho" w:cstheme="minorHAnsi"/>
          <w:color w:val="000000"/>
          <w:sz w:val="22"/>
          <w:szCs w:val="22"/>
        </w:rPr>
        <w:fldChar w:fldCharType="end"/>
      </w:r>
      <w:r w:rsidR="004B2B25" w:rsidRPr="00CA0394">
        <w:rPr>
          <w:rFonts w:eastAsia="MS Mincho" w:cstheme="minorHAnsi"/>
          <w:color w:val="000000"/>
          <w:sz w:val="22"/>
          <w:szCs w:val="22"/>
        </w:rPr>
        <w:t>,</w:t>
      </w:r>
      <w:r w:rsidRPr="00CA0394">
        <w:rPr>
          <w:rFonts w:eastAsia="MS Mincho" w:cstheme="minorHAnsi"/>
          <w:color w:val="000000"/>
          <w:sz w:val="22"/>
          <w:szCs w:val="22"/>
        </w:rPr>
        <w:t xml:space="preserve"> disease</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{"citationItems":[{"id":"ITEM-1","itemData":{"DOI":"10.1093/brain/123.9.1863","ISSN":"00068950","PMID":"10960050","abstract":"Swallowing momentarily inhibits breathing, and normally the great majority of apnoeas which accompany a swallow are followed by expiration (xE swallows). This swallowing-breathing interaction is regarded as one of several mechanisms by which the airway is protected from aspiration during swallowing. The purpose of this study was to investigate the interaction of breathing and swallowing in two groups of neurological patients. Twenty-two patients with defined neurological disorders involving various structures or pathways (brain, spinal cord and peripheral nerves) were studied to determine whether particular lesions resulted in breakdown of the normal breathing pattern (22 normal subjects were also assessed and their breathing-swallowing pattern was compared with that of neurological patients). Subsequently, 32 patients with motor neurone disease (MND) were studied to identify factors associated with an abnormal pattern (i.e. swallow apnoeas followed by inspiration) and to clarify whether an abnormal pattern is related to chest infections, episodes of coughing and choking during meals, and prognosis. The swallow apnoea in patients with brain, spinal cord and peripheral neurological diseases was followed by inspiration more frequently titan expected [20/22 (91%) patients compared with 2/22 (9%) of normal subjects, P &lt; 0.001], but this was not associated with a specific site of lesion(s). However, patients with corticobulbar involvement tended to have post-apnoea inspiration more often than those without. MND patients commonly displayed an abnormal pattern during swallowing [14/32 (4.4%) patients] characterized by inspiration after swallow, prolonged swallow apnoea and multiple swallows per bolus. Over the period of follow-up (12-18 months) this pattern did not predict chest infections, coughing and choking episodes during meals or survival. It seems likely that post-swallowing apnoea inspiration is a non-specific concomitant of disordered swallowing and/or breathing rather titan being an important mechanism of aspiration per se or of symptom production.","author":[{"dropping-particle":"","family":"Hadjikoutis","given":"S.","non-dropping-particle":"","parse-names":false,"suffix":""},{"dropping-particle":"","family":"Pickersgill","given":"T. P.","non-dropping-particle":"","parse-names":false,"suffix":""},{"dropping-particle":"","family":"Dawson","given":"K.","non-dropping-particle":"","parse-names":false,"suffix":""},{"dropping-particle":"","family":"Wiles","given":"C. M.","non-dropping-particle":"","parse-names":false,"suffix":""}],"container-title":"Brain","id":"ITEM-1","issue":"9","issued":{"date-parts":[["2000","9","1"]]},"page":"1863-1873","publisher":"Oxford University Press","title":"Abnormal patterns of breathing during swallowing in neurological disorders","type":"article-journal","volume":"123"},"uris":["http://www.mendeley.com/documents/?uuid=248ee2a8-3ea7-321d-b8f4-a0c406c0bccc"]},{"id":"ITEM-2","itemData":{"DOI":"10.1007/s00455-002-0053-8","ISSN":"0179051X","PMID":"12140646","abstract":"The aim of this study was to examine swallow respiratory characteristics using a notebook computer system. A relatively simple system assessing easily identifiable features is more likely to be incorporated into everyday clinical practice. Eighteen patients (age range = 51-82 years) with dysphagia poststroke and 50 healthy volunteers (age range = 20-78 years) were recruited. The patient group was less likely to always breathe out post-swallow on water (9/15 cf 46/49), and some did not breathe out immediately postswallow at all (3/15 cf 0/49, p &lt; 0.01). The pattern was similar with yogurt. Multiple swallowing was identified in the patient group and surprisingly with a large number of the volunteers for all bolus types but was more common in the patient group (p &lt; 0.01). This trait is usually attributed to impaired swallows; that it is prevalent in the normal population has implications for using it as a dysphagia marker in clinical assessments. Yogurt has intrinsic features that increase multiple swallowing and caution should be used when identifying an impairment based on multiple swallowing with such a test substance. In the control group there was a high correlation of swallow apnea on 5 mL of water compared with 20 mL of water (r = 0.759, p &lt; 0.01) and 5 mL of yogurt (r = 0.871, p &lt; 0.01), indicating a possible individual swallow respiration pattern. This was also evident in the patient group. No significant difference in length of swallow apnea was found between the two groups. No evidence was found to link swallow respiration characteristics with aspiration as identified on simultaneous videofluoroscopy. The patient group had a wide range of impairments which suggests that stroke severity is not the sole determinant of swallow respiratory changes.","author":[{"dropping-particle":"","family":"Leslie","given":"Paula","non-dropping-particle":"","parse-names":false,"suffix":""},{"dropping-particle":"","family":"Drinnan","given":"Michael J.","non-dropping-particle":"","parse-names":false,"suffix":""},{"dropping-particle":"","family":"Ford","given":"Gary A.","non-dropping-particle":"","parse-names":false,"suffix":""},{"dropping-particle":"","family":"Wilson","given":"Janet A.","non-dropping-particle":"","parse-names":false,"suffix":""}],"container-title":"Dysphagia","id":"ITEM-2","issue":"3","issued":{"date-parts":[["2002","6","24"]]},"page":"202-207","publisher":"Springer","title":"Swallow respiration patterns in dysphagic patients following acute stroke","type":"article-journal","volume":"17"},"uris":["http://www.mendeley.com/documents/?uuid=aaf4a73a-7932-3308-9e71-cfae1fcb86df"]}],"mendeley":{"formattedCitation":"[11,12]","plainTextFormattedCitation":"[11,12]","previouslyFormattedCitation":"[11,12]"},"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[11,12]</w:t>
      </w:r>
      <w:r w:rsidRPr="00CA0394">
        <w:rPr>
          <w:rFonts w:eastAsia="MS Mincho" w:cstheme="minorHAnsi"/>
          <w:color w:val="000000"/>
          <w:sz w:val="22"/>
          <w:szCs w:val="22"/>
        </w:rPr>
        <w:fldChar w:fldCharType="end"/>
      </w:r>
      <w:r w:rsidR="004B2B25" w:rsidRPr="00CA0394">
        <w:rPr>
          <w:rFonts w:eastAsia="MS Mincho" w:cstheme="minorHAnsi"/>
          <w:color w:val="000000"/>
          <w:sz w:val="22"/>
          <w:szCs w:val="22"/>
        </w:rPr>
        <w:t>,</w:t>
      </w:r>
      <w:r w:rsidRPr="00CA0394">
        <w:rPr>
          <w:rFonts w:eastAsia="MS Mincho" w:cstheme="minorHAnsi"/>
          <w:color w:val="000000"/>
          <w:sz w:val="22"/>
          <w:szCs w:val="22"/>
        </w:rPr>
        <w:t xml:space="preserve"> and bolus characteristics</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{"citationItems":[{"id":"ITEM-1","itemData":{"DOI":"10.1152/jn.1994.72.5.2431","ISSN":"00223077","PMID":"7884469","abstract":"1. Although a pause in respiration during swallowing is a feature common to all mammals, inhibition usually occurs during expiration in adult humans and during inspiration in most other species. We tested the hypothesis that this difference is due, at least in part, to the position of the body while feeding. 2. The coordination of respiration and swallowing was studied in adult human subjects in two body positions: upright, which is typically human, and on hands and knees, which is similar to the feeding posture of most other animal species. 3. Our major finding was that the respiratory phase in which swallowing occurred was significantly related to posture. Swallows tended to occur late in the expiratory phase while feeding upright, but during early expiration while on all fours. 4. We speculate that the phase of respiration in which swallowing occurs changes with posture to compensate for the alterations in the mechanical properties of the upper body.","author":[{"dropping-particle":"","family":"McFarland","given":"D. H.","non-dropping-particle":"","parse-names":false,"suffix":""},{"dropping-particle":"","family":"Lund","given":"J. P.","non-dropping-particle":"","parse-names":false,"suffix":""},{"dropping-particle":"","family":"Gagner","given":"M.","non-dropping-particle":"","parse-names":false,"suffix":""}],"container-title":"Journal of Neurophysiology","id":"ITEM-1","issue":"5","issued":{"date-parts":[["1994"]]},"page":"2431-2437","publisher":"American Physiological Society","title":"Effects of posture on the coordination of respiration and swallowing","type":"article-journal","volume":"72"},"uris":["http://www.mendeley.com/documents/?uuid=79fc826a-a9f1-3ce8-acca-85bd3b129628"]},{"id":"ITEM-2","itemData":{"author":[{"dropping-particle":"","family":"Eyigör","given":"Sibel","non-dropping-particle":"","parse-names":false,"suffix":""},{"dropping-particle":"","family":"Perlman","given":"Adrienne L","non-dropping-particle":"","parse-names":false,"suffix":""},{"dropping-particle":"","family":"He","given":"Xuming","non-dropping-particle":"","parse-names":false,"suffix":""}],"container-title":"Turkish Journal of Physical Medicine and Rehabilitation","id":"ITEM-2","issue":"3","issued":{"date-parts":[["2007"]]},"page":"94-99","title":"Effects of Age, Gender, Bolus Volume and Viscosity on Acoustic Signals of Normal Swallowing","type":"article-journal","volume":"53"},"uris":["http://www.mendeley.com/documents/?uuid=ab505734-d4b3-32cc-a297-1cad0e95fc8f"]},{"id":"ITEM-3","itemData":{"DOI":"10.1007/s00455-014-9529-6","ISSN":"14320460","PMID":"24695959","abstract":"Cervical auscultation is a noninvasive technique for the exploration of swallowing and has been used since the 1960s. The aim of our study was to describe how the volume and consistency of the bolus affect swallowing acoustic sound characteristics in healthy subjects. Twenty-three subjects aged from 20 to 59 years were included (13 women and 10 men). A microphone mounted on a stethoscope chest piece, positioned on the skin on the right side in front of the posteroinferior border of the cricoid cartilage, was used; it was connected to a computer for acoustic recordings. Each subject swallowed 2-, 5-, and 10-ml aliquots of water, yogurt, and mashed potato. Each bolus was administered once, with a period of at least 30 s between each swallow. For each recorded sound, the total duration of the sound and the duration of each sound component (SC) (SC1, SC2, and SC3) and interval (IT1 and IT2) between the SCs were measured. For all records, the average duration of acoustic measures was calculated. Differences according to the volume and the consistency of the swallowed bolus were assessed using Student's t test for paired data. We calculated the percentage of recordings that included each SC. We also compared results between men and women using Student's t test. We successfully interpreted 540 of the 621 (87 %) records. The results indicated that the average total duration of the sound, and especially the average duration of SC2, increased with increasing volume and was greater for mashed potato than for the boluses of other consistencies. SC2 was present in all of the records. © 2014 Springer Science+Business Media.","author":[{"dropping-particle":"","family":"Hammoudi","given":"Karim","non-dropping-particle":"","parse-names":false,"suffix":""},{"dropping-particle":"","family":"Boiron","given":"Michèle","non-dropping-particle":"","parse-names":false,"suffix":""},{"dropping-particle":"","family":"Hernandez","given":"Nadia","non-dropping-particle":"","parse-names":false,"suffix":""},{"dropping-particle":"","family":"Bobillier","given":"Clément","non-dropping-particle":"","parse-names":false,"suffix":""},{"dropping-particle":"","family":"Morinière","given":"Sylvain","non-dropping-particle":"","parse-names":false,"suffix":""}],"container-title":"Dysphagia","id":"ITEM-3","issue":"4","issued":{"date-parts":[["2014","4","3"]]},"page":"468-474","publisher":"Springer New York LLC","title":"Acoustic study of pharyngeal swallowing as a function of the volume and consistency of the bolus","type":"article-journal","volume":"29"},"uris":["http://www.mendeley.com/documents/?uuid=0e05a315-995e-30ab-9952-4eb8c441e74a"]},{"id":"ITEM-4","itemData":{"DOI":"10.1186/1475-925X-12-90","ISSN":"1475925X","PMID":"24020398","abstract":"Background: Cervical auscultation (CA) is an affordable, non-invasive technique used to observe sounds occurring during swallowing. CA involves swallowing characterization via stethoscopes or microphones, while accelerometers can detect other vibratory signals. While the effects of fluid viscosity on swallowing accelerometry signals is well understood, there are still open questions about these effects on swallowing sounds. Therefore, this study investigated the influence of fluids with increasing thickness on swallowing sound characteristics.Method: We collected swallowing sounds and swallowing accelerometry signals from 56 healthy participants. Each participant completed five water swallows, five swallows of nectar-thick apple juice, and five swallows of honey-thick apple juice. These swallows were completed in neutral head and chin-tuck head positions. After pre-processing of collected signals, a number of features in time, frequency and time-frequency domains were extracted.Results: Our numerical analysis demonstrated that significant influence of viscosity was found in most of the features. In general, features extracted from swallows in the neutral head position were affected more than swallows from the chin-tuck position. Furthermore, most of the differences were found between water and fluids with higher viscosity. Almost no significant differences were found between swallows involving nectar-thick and honey-thick apple juices. Our results also showed that thicker fluids had higher acoustic regularity and predictability as demonstrated by the information-theoretic features, and a lower frequency content as demonstrated by features in the frequency domain.Conclusions: According to these results, we can conclude that viscosity of fluids should be considered in future investigations involving swallowing sounds. © 2013 Jestrovićet al.; licensee BioMed Central Ltd.","author":[{"dropping-particle":"","family":"Jestrović","given":"Iva","non-dropping-particle":"","parse-names":false,"suffix":""},{"dropping-particle":"","family":"Dudik","given":"Joshua M.","non-dropping-particle":"","parse-names":false,"suffix":""},{"dropping-particle":"","family":"Luan","given":"Bo","non-dropping-particle":"","parse-names":false,"suffix":""},{"dropping-particle":"","family":"Coyle","given":"James L.","non-dropping-particle":"","parse-names":false,"suffix":""},{"dropping-particle":"","family":"Sejdić","given":"Ervin","non-dropping-particle":"","parse-names":false,"suffix":""}],"container-title":"BioMedical Engineering Online","id":"ITEM-4","issue":"1","issued":{"date-parts":[["2013","9","10"]]},"page":"90","publisher":"BioMed Central Ltd.","title":"The effects of increased fluid viscosity on swallowing sounds in healthy adults","type":"article-journal","volume":"12"},"uris":["http://www.mendeley.com/documents/?uuid=b07f7a11-ec57-3746-b6c5-41cdd10a60e4"]}],"mendeley":{"formattedCitation":"[13–16]","plainTextFormattedCitation":"[13–16]","previouslyFormattedCitation":"[13–16]"},"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[13–16]</w:t>
      </w:r>
      <w:r w:rsidRPr="00CA0394">
        <w:rPr>
          <w:rFonts w:eastAsia="MS Mincho" w:cstheme="minorHAnsi"/>
          <w:color w:val="000000"/>
          <w:sz w:val="22"/>
          <w:szCs w:val="22"/>
        </w:rPr>
        <w:fldChar w:fldCharType="end"/>
      </w:r>
      <w:r w:rsidR="004B2B25" w:rsidRPr="00CA0394">
        <w:rPr>
          <w:rFonts w:eastAsia="MS Mincho" w:cstheme="minorHAnsi"/>
          <w:color w:val="000000"/>
          <w:sz w:val="22"/>
          <w:szCs w:val="22"/>
        </w:rPr>
        <w:t>.</w:t>
      </w:r>
      <w:r w:rsidRPr="00CA0394">
        <w:rPr>
          <w:rFonts w:eastAsia="MS Mincho" w:cstheme="minorHAnsi"/>
          <w:color w:val="000000"/>
          <w:sz w:val="22"/>
          <w:szCs w:val="22"/>
        </w:rPr>
        <w:t xml:space="preserve"> For instance, an increased frequency of swallows occurring during inhalation demonstrates a risk for aspirating, while post-swallow exhalation can be viewed as a second-round defensive mechanism for pharyngeal removal of residual material</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{"citationItems":[{"id":"ITEM-1","itemData":{"DOI":"10.1007/s00455-007-9113-4","ISSN":"0179051X","PMID":"18027027","abstract":"Multiple investigations have determined that healthy adults swallow most often during exhalation and that exhalation regularly follows the swallow, even when a swallow occurs during inhalation. We hypothesized that persons with idiopathic Parkinson's disease would demonstrate impaired breathing and swallowing coordination during spontaneous eating. Twenty-five healthy volunteers and 25 Parkinson's disease patients spontaneously swallowed calibrated pudding and cookie portions while simultaneous nasal airflow and respiratory inductance plethysmography were used to track spontaneous breathing. Surface EMG was used to record the timing of each swallow within the respiratory cycle. When compared to the healthy control group, those with Parkinson's disease swallowed significantly more often during inhalation and at low tidal volumes. The Parkinson's participants also exhibited significantly more postswallow inhalation for both consistencies. Only the healthy subjects exhibited significantly longer deglutitive apnea when swallows that occurred during inhalation were compared with those that occurred during exhalation. The high incidence of oropharyngeal dysphagia and risk of aspiration pneumonia found in Parkinson's disease patients may be partially attributable to impaired coordination of breathing and swallowing. © 2007 Springer Science+Business Media, LLC.","author":[{"dropping-particle":"","family":"Gross","given":"Roxann Diez","non-dropping-particle":"","parse-names":false,"suffix":""},{"dropping-particle":"","family":"Atwood","given":"Charles W.","non-dropping-particle":"","parse-names":false,"suffix":""},{"dropping-particle":"","family":"Ross","given":"Sheryl B.","non-dropping-particle":"","parse-names":false,"suffix":""},{"dropping-particle":"","family":"Eichhorn","given":"Kimberly A.","non-dropping-particle":"","parse-names":false,"suffix":""},{"dropping-particle":"","family":"Olszewski","given":"Joan W.","non-dropping-particle":"","parse-names":false,"suffix":""},{"dropping-particle":"","family":"Doyle","given":"Patrick J.","non-dropping-particle":"","parse-names":false,"suffix":""}],"container-title":"Dysphagia","id":"ITEM-1","issue":"2","issued":{"date-parts":[["2008","6"]]},"page":"136-145","publisher":"Dysphagia","title":"The coordination of breathing and swallowing in Parkinson's disease","type":"article-journal","volume":"23"},"uris":["http://www.mendeley.com/documents/?uuid=3f46e419-663b-3bcc-88f2-4c1c13251dc5"]}],"mendeley":{"formattedCitation":"[17]","plainTextFormattedCitation":"[17]","previouslyFormattedCitation":"[17]"},"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[17]</w:t>
      </w:r>
      <w:r w:rsidRPr="00CA0394">
        <w:rPr>
          <w:rFonts w:eastAsia="MS Mincho" w:cstheme="minorHAnsi"/>
          <w:color w:val="000000"/>
          <w:sz w:val="22"/>
          <w:szCs w:val="22"/>
        </w:rPr>
        <w:fldChar w:fldCharType="end"/>
      </w:r>
      <w:r w:rsidRPr="00CA0394">
        <w:rPr>
          <w:rFonts w:eastAsia="MS Mincho" w:cstheme="minorHAnsi"/>
          <w:color w:val="000000"/>
          <w:sz w:val="22"/>
          <w:szCs w:val="22"/>
        </w:rPr>
        <w:t>. Inhale-exhale patterns correlated to timely dynamics of swallow initiation, apnea duration, or post-swallow phase resetting within dysphagia</w:t>
      </w:r>
      <w:r w:rsidR="004B2B25" w:rsidRPr="00CA0394">
        <w:rPr>
          <w:rFonts w:eastAsia="MS Mincho" w:cstheme="minorHAnsi"/>
          <w:color w:val="000000"/>
          <w:sz w:val="22"/>
          <w:szCs w:val="22"/>
        </w:rPr>
        <w:t xml:space="preserve"> </w:t>
      </w:r>
      <w:r w:rsidRPr="00CA0394">
        <w:rPr>
          <w:rFonts w:eastAsia="MS Mincho" w:cstheme="minorHAnsi"/>
          <w:color w:val="000000"/>
          <w:sz w:val="22"/>
          <w:szCs w:val="22"/>
        </w:rPr>
        <w:fldChar w:fldCharType="begin" w:fldLock="1"/>
      </w:r>
      <w:r w:rsidR="008A4EF6">
        <w:rPr>
          <w:rFonts w:eastAsia="MS Mincho" w:cstheme="minorHAnsi"/>
          <w:color w:val="000000"/>
          <w:sz w:val="22"/>
          <w:szCs w:val="22"/>
        </w:rPr>
        <w:instrText>ADDIN CSL_CITATION {"citationItems":[{"id":"ITEM-1","itemData":{"DOI":"10.1016/B978-0-444-63488-7.00013-6","ISSN":"18757855","PMID":"25194202","abstract":"Swallowing and breathing utilize common muscles and an anatomical passage: the pharynx. The risk of aspiration of ingested material is minimized not only by the laryngeal adduction of the vocal folds and laryngeal elevation but also by the precise coordination of swallows with breathing. Namely, swallows: (1) are preferentially initiated in the postinspiratory/expiratory phase, (2) are accompanied by a brief apnea, and (3) are often followed by an expiration and delay of the next breath. This review summarizes the expiratory evidence on the brainstem regions comprising the central pattern generator (CPG) that produces the pharyngeal stage of swallow, how the motor acts of swallowing and breathing are coordinated, and lastly, brainstem regions where the swallowing and respiratory CPGs may interact in order to ensure \"safe\" swallows.","author":[{"dropping-particle":"","family":"Bautista","given":"Tara G.","non-dropping-particle":"","parse-names":false,"suffix":""},{"dropping-particle":"","family":"Sun","given":"Qi Jian","non-dropping-particle":"","parse-names":false,"suffix":""},{"dropping-particle":"","family":"Pilowsky","given":"Paul M.","non-dropping-particle":"","parse-names":false,"suffix":""}],"container-title":"Progress in Brain Research","id":"ITEM-1","issued":{"date-parts":[["2014"]]},"page":"253-275","publisher":"Elsevier B.V.","title":"The generation of pharyngeal phase of swallow and its coordination with breathing: Interaction between the swallow and respiratory central pattern generators","type":"article-journal","volume":"212"},"uris":["http://www.mendeley.com/documents/?uuid=0bf0f96d-a9ad-3924-85a4-f0c29ddb340b"]}],"mendeley":{"formattedCitation":"[18]","plainTextFormattedCitation":"[18]","previouslyFormattedCitation":"[18]"},"properties":{"noteIndex":0},"schema":"https://github.com/citation-style-language/schema/raw/master/csl-citation.json"}</w:instrText>
      </w:r>
      <w:r w:rsidRPr="00CA0394">
        <w:rPr>
          <w:rFonts w:eastAsia="MS Mincho" w:cstheme="minorHAnsi"/>
          <w:color w:val="000000"/>
          <w:sz w:val="22"/>
          <w:szCs w:val="22"/>
        </w:rPr>
        <w:fldChar w:fldCharType="separate"/>
      </w:r>
      <w:r w:rsidR="008A4EF6" w:rsidRPr="008A4EF6">
        <w:rPr>
          <w:rFonts w:eastAsia="MS Mincho" w:cstheme="minorHAnsi"/>
          <w:noProof/>
          <w:color w:val="000000"/>
          <w:sz w:val="22"/>
          <w:szCs w:val="22"/>
        </w:rPr>
        <w:t>[18]</w:t>
      </w:r>
      <w:r w:rsidRPr="00CA0394">
        <w:rPr>
          <w:rFonts w:eastAsia="MS Mincho" w:cstheme="minorHAnsi"/>
          <w:color w:val="000000"/>
          <w:sz w:val="22"/>
          <w:szCs w:val="22"/>
        </w:rPr>
        <w:fldChar w:fldCharType="end"/>
      </w:r>
      <w:r w:rsidRPr="00CA0394">
        <w:rPr>
          <w:rFonts w:eastAsia="MS Mincho" w:cstheme="minorHAnsi"/>
          <w:color w:val="000000"/>
          <w:sz w:val="22"/>
          <w:szCs w:val="22"/>
        </w:rPr>
        <w:t xml:space="preserve"> </w:t>
      </w:r>
      <w:r w:rsidRPr="00CA0394">
        <w:rPr>
          <w:rFonts w:eastAsia="MS Mincho" w:cstheme="minorHAnsi"/>
          <w:color w:val="000000"/>
          <w:sz w:val="22"/>
          <w:szCs w:val="22"/>
        </w:rPr>
        <w:lastRenderedPageBreak/>
        <w:t>may present important feature relationships to be learned by machine learning algorithms. Respiratory dynamics, such as normalized range of acceleration and pre-swallow respiration velocity, were also included.</w:t>
      </w:r>
      <w:r w:rsidRPr="00CA0394">
        <w:rPr>
          <w:rFonts w:eastAsia="MS Mincho" w:cstheme="minorHAnsi"/>
          <w:sz w:val="22"/>
          <w:szCs w:val="22"/>
        </w:rPr>
        <w:br/>
      </w:r>
      <w:r w:rsidR="00CC6F98">
        <w:rPr>
          <w:rFonts w:eastAsia="MS Mincho" w:cstheme="minorHAnsi"/>
          <w:color w:val="000000"/>
          <w:sz w:val="22"/>
          <w:szCs w:val="22"/>
        </w:rPr>
        <w:tab/>
      </w:r>
      <w:r w:rsidR="00CC6F98" w:rsidRPr="00E070CA">
        <w:rPr>
          <w:sz w:val="22"/>
          <w:szCs w:val="22"/>
        </w:rPr>
        <w:t>Correlation-based feature selection was implemented to reduce model complexity and remove redundant variables</w:t>
      </w:r>
      <w:r w:rsidR="00CC6F98" w:rsidRPr="00CC6F98">
        <w:rPr>
          <w:sz w:val="22"/>
          <w:szCs w:val="22"/>
        </w:rPr>
        <w:t xml:space="preserve">. </w:t>
      </w:r>
      <w:r w:rsidR="00CC6F98" w:rsidRPr="00E070CA">
        <w:rPr>
          <w:sz w:val="22"/>
          <w:szCs w:val="22"/>
        </w:rPr>
        <w:t xml:space="preserve">Features with strong correlations (Pearson correlation coefficient </w:t>
      </w:r>
      <m:oMath>
        <m:r>
          <w:rPr>
            <w:rFonts w:ascii="Cambria Math" w:hAnsi="Cambria Math"/>
            <w:sz w:val="22"/>
            <w:szCs w:val="22"/>
          </w:rPr>
          <m:t>|ρ|</m:t>
        </m:r>
      </m:oMath>
      <w:r w:rsidR="00CC6F98" w:rsidRPr="00E070CA">
        <w:rPr>
          <w:sz w:val="22"/>
          <w:szCs w:val="22"/>
        </w:rPr>
        <w:t xml:space="preserve"> ≥ 0.6) and with the most frequent correlations to another feature were removed.</w:t>
      </w:r>
    </w:p>
    <w:p w14:paraId="70A52A45" w14:textId="77777777" w:rsidR="00E90A7D" w:rsidRPr="00CA0394" w:rsidRDefault="00E90A7D" w:rsidP="000C6DFE">
      <w:pPr>
        <w:spacing w:line="480" w:lineRule="auto"/>
        <w:ind w:firstLine="720"/>
        <w:rPr>
          <w:rFonts w:eastAsia="MS Mincho" w:cstheme="minorHAnsi"/>
          <w:color w:val="000000"/>
          <w:sz w:val="22"/>
          <w:szCs w:val="22"/>
        </w:rPr>
      </w:pPr>
    </w:p>
    <w:p w14:paraId="451EC8FC" w14:textId="77777777" w:rsidR="00394941" w:rsidRPr="00CA0394" w:rsidRDefault="00394941" w:rsidP="00394941">
      <w:pPr>
        <w:spacing w:line="480" w:lineRule="auto"/>
        <w:outlineLvl w:val="1"/>
        <w:rPr>
          <w:rFonts w:eastAsia="MS Mincho" w:cstheme="minorHAnsi"/>
          <w:b/>
          <w:sz w:val="22"/>
          <w:szCs w:val="22"/>
        </w:rPr>
      </w:pPr>
      <w:r w:rsidRPr="00CA0394">
        <w:rPr>
          <w:rFonts w:eastAsia="MS Mincho" w:cstheme="minorHAnsi"/>
          <w:b/>
          <w:i/>
          <w:iCs/>
          <w:color w:val="000000"/>
          <w:sz w:val="22"/>
          <w:szCs w:val="22"/>
        </w:rPr>
        <w:t>Model Development</w:t>
      </w:r>
    </w:p>
    <w:p w14:paraId="49114623" w14:textId="6CC10317" w:rsidR="00394941" w:rsidRPr="00CA0394" w:rsidRDefault="00394941" w:rsidP="000C6DFE">
      <w:pPr>
        <w:spacing w:line="480" w:lineRule="auto"/>
        <w:ind w:firstLine="720"/>
        <w:rPr>
          <w:rFonts w:eastAsia="MS Mincho" w:cstheme="minorHAnsi"/>
          <w:sz w:val="22"/>
          <w:szCs w:val="22"/>
        </w:rPr>
      </w:pPr>
      <w:r w:rsidRPr="00CA0394">
        <w:rPr>
          <w:rFonts w:eastAsia="MS Mincho" w:cstheme="minorHAnsi"/>
          <w:sz w:val="22"/>
          <w:szCs w:val="22"/>
        </w:rPr>
        <w:t>Features for each model were scaled using a robust scaling method less sensitive to the presence of outliers, by removing the median value and dividing by the interquartile range:</w:t>
      </w:r>
    </w:p>
    <w:p w14:paraId="36BC7758" w14:textId="77777777" w:rsidR="00394941" w:rsidRPr="00CA0394" w:rsidRDefault="00394941" w:rsidP="00394941">
      <w:pPr>
        <w:spacing w:line="480" w:lineRule="auto"/>
        <w:rPr>
          <w:rFonts w:eastAsia="MS Mincho" w:cstheme="minorHAnsi"/>
          <w:sz w:val="22"/>
          <w:szCs w:val="22"/>
        </w:rPr>
      </w:pPr>
    </w:p>
    <w:tbl>
      <w:tblPr>
        <w:tblStyle w:val="TableGrid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805"/>
      </w:tblGrid>
      <w:tr w:rsidR="00394941" w:rsidRPr="00CA0394" w14:paraId="2281335D" w14:textId="77777777" w:rsidTr="00394941">
        <w:tc>
          <w:tcPr>
            <w:tcW w:w="7200" w:type="dxa"/>
          </w:tcPr>
          <w:p w14:paraId="773B4182" w14:textId="77777777" w:rsidR="00394941" w:rsidRPr="00CA0394" w:rsidRDefault="001D6937" w:rsidP="00394941">
            <w:pPr>
              <w:spacing w:line="480" w:lineRule="auto"/>
              <w:jc w:val="center"/>
              <w:rPr>
                <w:rFonts w:eastAsia="MS Mincho" w:cstheme="minorHAnsi"/>
                <w:sz w:val="22"/>
                <w:szCs w:val="22"/>
              </w:rPr>
            </w:pPr>
            <m:oMathPara>
              <m:oMath>
                <m:sSub>
                  <m:sSubPr>
                    <m:ctrlPr>
                      <w:rPr>
                        <w:rFonts w:ascii="Cambria Math" w:eastAsia="MS Mincho" w:hAnsi="Cambria Math" w:cstheme="minorHAnsi"/>
                        <w:i/>
                        <w:sz w:val="22"/>
                        <w:szCs w:val="22"/>
                      </w:rPr>
                    </m:ctrlPr>
                  </m:sSubPr>
                  <m:e>
                    <m:r>
                      <w:rPr>
                        <w:rFonts w:ascii="Cambria Math" w:eastAsia="MS Mincho" w:hAnsi="Cambria Math" w:cstheme="minorHAnsi"/>
                        <w:sz w:val="22"/>
                        <w:szCs w:val="22"/>
                      </w:rPr>
                      <m:t>x</m:t>
                    </m:r>
                  </m:e>
                  <m:sub>
                    <m:r>
                      <m:rPr>
                        <m:nor/>
                      </m:rPr>
                      <w:rPr>
                        <w:rFonts w:eastAsia="MS Mincho" w:cstheme="minorHAnsi"/>
                        <w:sz w:val="22"/>
                        <w:szCs w:val="22"/>
                      </w:rPr>
                      <m:t>scaled</m:t>
                    </m:r>
                  </m:sub>
                </m:sSub>
                <m:r>
                  <w:rPr>
                    <w:rFonts w:ascii="Cambria Math" w:eastAsia="MS Mincho" w:hAnsi="Cambria Math" w:cstheme="minorHAnsi"/>
                    <w:sz w:val="22"/>
                    <w:szCs w:val="22"/>
                  </w:rPr>
                  <m:t xml:space="preserve">= </m:t>
                </m:r>
                <m:f>
                  <m:fPr>
                    <m:ctrlPr>
                      <w:rPr>
                        <w:rFonts w:ascii="Cambria Math" w:eastAsia="MS Mincho" w:hAnsi="Cambria Math" w:cstheme="minorHAnsi"/>
                        <w:i/>
                        <w:sz w:val="22"/>
                        <w:szCs w:val="22"/>
                      </w:rPr>
                    </m:ctrlPr>
                  </m:fPr>
                  <m:num>
                    <m:r>
                      <w:rPr>
                        <w:rFonts w:ascii="Cambria Math" w:eastAsia="MS Mincho" w:hAnsi="Cambria Math" w:cstheme="minorHAnsi"/>
                        <w:sz w:val="22"/>
                        <w:szCs w:val="22"/>
                      </w:rPr>
                      <m:t>x-</m:t>
                    </m:r>
                    <m:r>
                      <m:rPr>
                        <m:nor/>
                      </m:rPr>
                      <w:rPr>
                        <w:rFonts w:eastAsia="MS Mincho" w:cstheme="minorHAnsi"/>
                        <w:sz w:val="22"/>
                        <w:szCs w:val="22"/>
                      </w:rPr>
                      <m:t>Q</m:t>
                    </m:r>
                    <m:r>
                      <w:rPr>
                        <w:rFonts w:ascii="Cambria Math" w:eastAsia="MS Mincho" w:hAnsi="Cambria Math" w:cstheme="minorHAnsi"/>
                        <w:sz w:val="22"/>
                        <w:szCs w:val="22"/>
                      </w:rPr>
                      <m:t>2</m:t>
                    </m:r>
                  </m:num>
                  <m:den>
                    <m:r>
                      <m:rPr>
                        <m:nor/>
                      </m:rPr>
                      <w:rPr>
                        <w:rFonts w:eastAsia="MS Mincho" w:cstheme="minorHAnsi"/>
                        <w:sz w:val="22"/>
                        <w:szCs w:val="22"/>
                      </w:rPr>
                      <m:t>Q</m:t>
                    </m:r>
                    <m:r>
                      <w:rPr>
                        <w:rFonts w:ascii="Cambria Math" w:eastAsia="MS Mincho" w:hAnsi="Cambria Math" w:cstheme="minorHAnsi"/>
                        <w:sz w:val="22"/>
                        <w:szCs w:val="22"/>
                      </w:rPr>
                      <m:t>3-</m:t>
                    </m:r>
                    <m:r>
                      <m:rPr>
                        <m:nor/>
                      </m:rPr>
                      <w:rPr>
                        <w:rFonts w:eastAsia="MS Mincho" w:cstheme="minorHAnsi"/>
                        <w:sz w:val="22"/>
                        <w:szCs w:val="22"/>
                      </w:rPr>
                      <m:t>Q</m:t>
                    </m:r>
                    <m:r>
                      <w:rPr>
                        <w:rFonts w:ascii="Cambria Math" w:eastAsia="MS Mincho" w:hAnsi="Cambria Math" w:cstheme="minorHAnsi"/>
                        <w:sz w:val="22"/>
                        <w:szCs w:val="22"/>
                      </w:rPr>
                      <m:t>1</m:t>
                    </m:r>
                  </m:den>
                </m:f>
              </m:oMath>
            </m:oMathPara>
          </w:p>
        </w:tc>
        <w:tc>
          <w:tcPr>
            <w:tcW w:w="805" w:type="dxa"/>
          </w:tcPr>
          <w:p w14:paraId="374D1090" w14:textId="77777777" w:rsidR="00394941" w:rsidRPr="00CA0394" w:rsidRDefault="00394941" w:rsidP="00394941">
            <w:pPr>
              <w:spacing w:line="480" w:lineRule="auto"/>
              <w:jc w:val="center"/>
              <w:rPr>
                <w:rFonts w:eastAsia="MS Mincho" w:cstheme="minorHAnsi"/>
                <w:sz w:val="22"/>
                <w:szCs w:val="22"/>
              </w:rPr>
            </w:pPr>
            <w:r w:rsidRPr="00CA0394">
              <w:rPr>
                <w:rFonts w:eastAsia="MS Mincho" w:cstheme="minorHAnsi"/>
                <w:sz w:val="22"/>
                <w:szCs w:val="22"/>
              </w:rPr>
              <w:t>(2)</w:t>
            </w:r>
          </w:p>
        </w:tc>
      </w:tr>
    </w:tbl>
    <w:p w14:paraId="519C4276" w14:textId="77777777" w:rsidR="00394941" w:rsidRPr="00CA0394" w:rsidRDefault="00394941" w:rsidP="00394941">
      <w:pPr>
        <w:spacing w:line="480" w:lineRule="auto"/>
        <w:rPr>
          <w:rFonts w:eastAsia="MS Mincho" w:cstheme="minorHAnsi"/>
          <w:sz w:val="22"/>
          <w:szCs w:val="22"/>
        </w:rPr>
      </w:pPr>
    </w:p>
    <w:p w14:paraId="72AE943D" w14:textId="77777777" w:rsidR="00394941" w:rsidRPr="00CA0394" w:rsidRDefault="00394941" w:rsidP="00394941">
      <w:pPr>
        <w:spacing w:line="480" w:lineRule="auto"/>
        <w:rPr>
          <w:rFonts w:eastAsia="MS Mincho" w:cstheme="minorHAnsi"/>
          <w:sz w:val="22"/>
          <w:szCs w:val="22"/>
        </w:rPr>
      </w:pPr>
      <w:r w:rsidRPr="00CA0394">
        <w:rPr>
          <w:rFonts w:eastAsia="MS Mincho" w:cstheme="minorHAnsi"/>
          <w:sz w:val="22"/>
          <w:szCs w:val="22"/>
        </w:rPr>
        <w:t xml:space="preserve">where </w:t>
      </w:r>
      <m:oMath>
        <m:r>
          <w:rPr>
            <w:rFonts w:ascii="Cambria Math" w:eastAsia="MS Mincho" w:hAnsi="Cambria Math" w:cstheme="minorHAnsi"/>
            <w:sz w:val="22"/>
            <w:szCs w:val="22"/>
          </w:rPr>
          <m:t>x</m:t>
        </m:r>
      </m:oMath>
      <w:r w:rsidRPr="00CA0394">
        <w:rPr>
          <w:rFonts w:eastAsia="MS Mincho" w:cstheme="minorHAnsi"/>
          <w:sz w:val="22"/>
          <w:szCs w:val="22"/>
        </w:rPr>
        <w:t xml:space="preserve"> is a given feature value and </w:t>
      </w:r>
      <m:oMath>
        <m:r>
          <m:rPr>
            <m:nor/>
          </m:rPr>
          <w:rPr>
            <w:rFonts w:eastAsia="MS Mincho" w:cstheme="minorHAnsi"/>
            <w:sz w:val="22"/>
            <w:szCs w:val="22"/>
          </w:rPr>
          <m:t>Q</m:t>
        </m:r>
        <m:r>
          <w:rPr>
            <w:rFonts w:ascii="Cambria Math" w:eastAsia="MS Mincho" w:hAnsi="Cambria Math" w:cstheme="minorHAnsi"/>
            <w:sz w:val="22"/>
            <w:szCs w:val="22"/>
          </w:rPr>
          <m:t>1</m:t>
        </m:r>
      </m:oMath>
      <w:r w:rsidRPr="00CA0394">
        <w:rPr>
          <w:rFonts w:eastAsia="MS Mincho" w:cstheme="minorHAnsi"/>
          <w:sz w:val="22"/>
          <w:szCs w:val="22"/>
        </w:rPr>
        <w:t xml:space="preserve">, </w:t>
      </w:r>
      <m:oMath>
        <m:r>
          <m:rPr>
            <m:nor/>
          </m:rPr>
          <w:rPr>
            <w:rFonts w:eastAsia="MS Mincho" w:cstheme="minorHAnsi"/>
            <w:sz w:val="22"/>
            <w:szCs w:val="22"/>
          </w:rPr>
          <m:t>Q</m:t>
        </m:r>
        <m:r>
          <w:rPr>
            <w:rFonts w:ascii="Cambria Math" w:eastAsia="MS Mincho" w:hAnsi="Cambria Math" w:cstheme="minorHAnsi"/>
            <w:sz w:val="22"/>
            <w:szCs w:val="22"/>
          </w:rPr>
          <m:t>2</m:t>
        </m:r>
      </m:oMath>
      <w:r w:rsidRPr="00CA0394">
        <w:rPr>
          <w:rFonts w:eastAsia="MS Mincho" w:cstheme="minorHAnsi"/>
          <w:sz w:val="22"/>
          <w:szCs w:val="22"/>
        </w:rPr>
        <w:t xml:space="preserve">, and </w:t>
      </w:r>
      <m:oMath>
        <m:r>
          <m:rPr>
            <m:nor/>
          </m:rPr>
          <w:rPr>
            <w:rFonts w:eastAsia="MS Mincho" w:cstheme="minorHAnsi"/>
            <w:sz w:val="22"/>
            <w:szCs w:val="22"/>
          </w:rPr>
          <m:t>Q</m:t>
        </m:r>
        <m:r>
          <w:rPr>
            <w:rFonts w:ascii="Cambria Math" w:eastAsia="MS Mincho" w:hAnsi="Cambria Math" w:cstheme="minorHAnsi"/>
            <w:sz w:val="22"/>
            <w:szCs w:val="22"/>
          </w:rPr>
          <m:t>3</m:t>
        </m:r>
      </m:oMath>
      <w:r w:rsidRPr="00CA0394">
        <w:rPr>
          <w:rFonts w:eastAsia="MS Mincho" w:cstheme="minorHAnsi"/>
          <w:sz w:val="22"/>
          <w:szCs w:val="22"/>
        </w:rPr>
        <w:t xml:space="preserve"> are the 25</w:t>
      </w:r>
      <w:r w:rsidRPr="00CA0394">
        <w:rPr>
          <w:rFonts w:eastAsia="MS Mincho" w:cstheme="minorHAnsi"/>
          <w:sz w:val="22"/>
          <w:szCs w:val="22"/>
          <w:vertAlign w:val="superscript"/>
        </w:rPr>
        <w:t>th</w:t>
      </w:r>
      <w:r w:rsidRPr="00CA0394">
        <w:rPr>
          <w:rFonts w:eastAsia="MS Mincho" w:cstheme="minorHAnsi"/>
          <w:sz w:val="22"/>
          <w:szCs w:val="22"/>
        </w:rPr>
        <w:t>, 50</w:t>
      </w:r>
      <w:r w:rsidRPr="00CA0394">
        <w:rPr>
          <w:rFonts w:eastAsia="MS Mincho" w:cstheme="minorHAnsi"/>
          <w:sz w:val="22"/>
          <w:szCs w:val="22"/>
          <w:vertAlign w:val="superscript"/>
        </w:rPr>
        <w:t>th</w:t>
      </w:r>
      <w:r w:rsidRPr="00CA0394">
        <w:rPr>
          <w:rFonts w:eastAsia="MS Mincho" w:cstheme="minorHAnsi"/>
          <w:sz w:val="22"/>
          <w:szCs w:val="22"/>
        </w:rPr>
        <w:t xml:space="preserve"> (median), and 75</w:t>
      </w:r>
      <w:r w:rsidRPr="00CA0394">
        <w:rPr>
          <w:rFonts w:eastAsia="MS Mincho" w:cstheme="minorHAnsi"/>
          <w:sz w:val="22"/>
          <w:szCs w:val="22"/>
          <w:vertAlign w:val="superscript"/>
        </w:rPr>
        <w:t>th</w:t>
      </w:r>
      <w:r w:rsidRPr="00CA0394">
        <w:rPr>
          <w:rFonts w:eastAsia="MS Mincho" w:cstheme="minorHAnsi"/>
          <w:sz w:val="22"/>
          <w:szCs w:val="22"/>
        </w:rPr>
        <w:t xml:space="preserve"> percentiles, respectively. </w:t>
      </w:r>
    </w:p>
    <w:p w14:paraId="11C09868" w14:textId="2C230810" w:rsidR="00394941" w:rsidRPr="00CA0394" w:rsidRDefault="00394941" w:rsidP="000C6DFE">
      <w:pPr>
        <w:spacing w:line="480" w:lineRule="auto"/>
        <w:ind w:firstLine="720"/>
        <w:rPr>
          <w:rFonts w:eastAsia="MS Mincho" w:cstheme="minorHAnsi"/>
          <w:sz w:val="22"/>
          <w:szCs w:val="22"/>
        </w:rPr>
      </w:pPr>
      <w:r w:rsidRPr="00CA0394">
        <w:rPr>
          <w:rFonts w:eastAsia="MS Mincho" w:cstheme="minorHAnsi"/>
          <w:sz w:val="22"/>
          <w:szCs w:val="22"/>
        </w:rPr>
        <w:t>To explore the separability between severity classes, we applied linear discriminant analysis (LDA) to project the task-specific swallowing and respiration features to a lower-dimensional subspace. LDA is a supervised dimensionality reduction technique that maximizes separation between classes while minimizing within-class variance</w:t>
      </w:r>
      <w:r w:rsidR="008A4EF6">
        <w:rPr>
          <w:rFonts w:eastAsia="MS Mincho" w:cstheme="minorHAnsi"/>
          <w:sz w:val="22"/>
          <w:szCs w:val="22"/>
        </w:rPr>
        <w:t xml:space="preserve"> </w:t>
      </w:r>
      <w:r w:rsidR="008A4EF6">
        <w:rPr>
          <w:rFonts w:eastAsia="MS Mincho" w:cstheme="minorHAnsi"/>
          <w:sz w:val="22"/>
          <w:szCs w:val="22"/>
        </w:rPr>
        <w:fldChar w:fldCharType="begin" w:fldLock="1"/>
      </w:r>
      <w:r w:rsidR="008A4EF6">
        <w:rPr>
          <w:rFonts w:eastAsia="MS Mincho" w:cstheme="minorHAnsi"/>
          <w:sz w:val="22"/>
          <w:szCs w:val="22"/>
        </w:rPr>
        <w:instrText>ADDIN CSL_CITATION {"citationItems":[{"id":"ITEM-1","itemData":{"author":[{"dropping-particle":"","family":"Scholkopf","given":"Bernhard","non-dropping-particle":"","parse-names":false,"suffix":""},{"dropping-particle":"","family":"Smola","given":"Alexander J.","non-dropping-particle":"","parse-names":false,"suffix":""}],"id":"ITEM-1","issued":{"date-parts":[["2002"]]},"publisher":"The MIT Press","publisher-place":"Cambridge, MA","title":"Learning with Kernels: Support Vector Machines, Regularization, Optimization","type":"book"},"uris":["http://www.mendeley.com/documents/?uuid=e13b48bb-28b0-3297-b26c-873dff967e0a"]}],"mendeley":{"formattedCitation":"[19]","plainTextFormattedCitation":"[19]","previouslyFormattedCitation":"[19]"},"properties":{"noteIndex":0},"schema":"https://github.com/citation-style-language/schema/raw/master/csl-citation.json"}</w:instrText>
      </w:r>
      <w:r w:rsidR="008A4EF6">
        <w:rPr>
          <w:rFonts w:eastAsia="MS Mincho" w:cstheme="minorHAnsi"/>
          <w:sz w:val="22"/>
          <w:szCs w:val="22"/>
        </w:rPr>
        <w:fldChar w:fldCharType="separate"/>
      </w:r>
      <w:r w:rsidR="008A4EF6" w:rsidRPr="008A4EF6">
        <w:rPr>
          <w:rFonts w:eastAsia="MS Mincho" w:cstheme="minorHAnsi"/>
          <w:noProof/>
          <w:sz w:val="22"/>
          <w:szCs w:val="22"/>
        </w:rPr>
        <w:t>[19]</w:t>
      </w:r>
      <w:r w:rsidR="008A4EF6">
        <w:rPr>
          <w:rFonts w:eastAsia="MS Mincho" w:cstheme="minorHAnsi"/>
          <w:sz w:val="22"/>
          <w:szCs w:val="22"/>
        </w:rPr>
        <w:fldChar w:fldCharType="end"/>
      </w:r>
      <w:r w:rsidRPr="00CA0394">
        <w:rPr>
          <w:rFonts w:eastAsia="MS Mincho" w:cstheme="minorHAnsi"/>
          <w:sz w:val="22"/>
          <w:szCs w:val="22"/>
        </w:rPr>
        <w:t xml:space="preserve">. In the two-dimensional subspace represented by the first two linear discriminant components, separation among MASA severity labels was improved by applying LDA on scaled sensor data from each swallowing task, rather than on data of all tasks together. Additionally, feature distributions were more normally distributed on a per-task basis, which is an important precursor to ensuring LDA stability in a model. This is likely due to the between-task differences in swallowing effort and respiratory dynamics captured in the feature set, which have been </w:t>
      </w:r>
      <w:r w:rsidRPr="00CA0394">
        <w:rPr>
          <w:rFonts w:eastAsia="MS Mincho" w:cstheme="minorHAnsi"/>
          <w:sz w:val="22"/>
          <w:szCs w:val="22"/>
        </w:rPr>
        <w:lastRenderedPageBreak/>
        <w:t>physiologically understood to vary in range depending on the bolus amount and viscosity</w:t>
      </w:r>
      <w:r w:rsidR="004B2B25" w:rsidRPr="00CA0394">
        <w:rPr>
          <w:rFonts w:eastAsia="MS Mincho" w:cstheme="minorHAnsi"/>
          <w:sz w:val="22"/>
          <w:szCs w:val="22"/>
        </w:rPr>
        <w:t xml:space="preserve"> </w:t>
      </w:r>
      <w:r w:rsidRPr="00CA0394">
        <w:rPr>
          <w:rFonts w:eastAsia="MS Mincho" w:cstheme="minorHAnsi"/>
          <w:sz w:val="22"/>
          <w:szCs w:val="22"/>
        </w:rPr>
        <w:fldChar w:fldCharType="begin" w:fldLock="1"/>
      </w:r>
      <w:r w:rsidR="008A4EF6">
        <w:rPr>
          <w:rFonts w:eastAsia="MS Mincho" w:cstheme="minorHAnsi"/>
          <w:sz w:val="22"/>
          <w:szCs w:val="22"/>
        </w:rPr>
        <w:instrText>ADDIN CSL_CITATION {"citationItems":[{"id":"ITEM-1","itemData":{"author":[{"dropping-particle":"","family":"Eyigör","given":"Sibel","non-dropping-particle":"","parse-names":false,"suffix":""},{"dropping-particle":"","family":"Perlman","given":"Adrienne L","non-dropping-particle":"","parse-names":false,"suffix":""},{"dropping-particle":"","family":"He","given":"Xuming","non-dropping-particle":"","parse-names":false,"suffix":""}],"container-title":"Turkish Journal of Physical Medicine and Rehabilitation","id":"ITEM-1","issue":"3","issued":{"date-parts":[["2007"]]},"page":"94-99","title":"Effects of Age, Gender, Bolus Volume and Viscosity on Acoustic Signals of Normal Swallowing","type":"article-journal","volume":"53"},"uris":["http://www.mendeley.com/documents/?uuid=ab505734-d4b3-32cc-a297-1cad0e95fc8f"]}],"mendeley":{"formattedCitation":"[14]","plainTextFormattedCitation":"[14]","previouslyFormattedCitation":"[14]"},"properties":{"noteIndex":0},"schema":"https://github.com/citation-style-language/schema/raw/master/csl-citation.json"}</w:instrText>
      </w:r>
      <w:r w:rsidRPr="00CA0394">
        <w:rPr>
          <w:rFonts w:eastAsia="MS Mincho" w:cstheme="minorHAnsi"/>
          <w:sz w:val="22"/>
          <w:szCs w:val="22"/>
        </w:rPr>
        <w:fldChar w:fldCharType="separate"/>
      </w:r>
      <w:r w:rsidR="008A4EF6" w:rsidRPr="008A4EF6">
        <w:rPr>
          <w:rFonts w:eastAsia="MS Mincho" w:cstheme="minorHAnsi"/>
          <w:noProof/>
          <w:sz w:val="22"/>
          <w:szCs w:val="22"/>
        </w:rPr>
        <w:t>[14]</w:t>
      </w:r>
      <w:r w:rsidRPr="00CA0394">
        <w:rPr>
          <w:rFonts w:eastAsia="MS Mincho" w:cstheme="minorHAnsi"/>
          <w:sz w:val="22"/>
          <w:szCs w:val="22"/>
        </w:rPr>
        <w:fldChar w:fldCharType="end"/>
      </w:r>
      <w:r w:rsidR="004B2B25" w:rsidRPr="00CA0394">
        <w:rPr>
          <w:rFonts w:eastAsia="MS Mincho" w:cstheme="minorHAnsi"/>
          <w:sz w:val="22"/>
          <w:szCs w:val="22"/>
        </w:rPr>
        <w:t>.</w:t>
      </w:r>
      <w:r w:rsidRPr="00CA0394">
        <w:rPr>
          <w:rFonts w:eastAsia="MS Mincho" w:cstheme="minorHAnsi"/>
          <w:sz w:val="22"/>
          <w:szCs w:val="22"/>
        </w:rPr>
        <w:t xml:space="preserve"> For this reason, separate models were developed for each task. </w:t>
      </w:r>
    </w:p>
    <w:p w14:paraId="24A38096" w14:textId="77777777" w:rsidR="00394941" w:rsidRPr="00CA0394" w:rsidRDefault="00394941" w:rsidP="00394941">
      <w:pPr>
        <w:spacing w:line="480" w:lineRule="auto"/>
        <w:rPr>
          <w:rFonts w:eastAsia="MS Mincho" w:cstheme="minorHAnsi"/>
          <w:sz w:val="22"/>
          <w:szCs w:val="22"/>
        </w:rPr>
      </w:pPr>
    </w:p>
    <w:p w14:paraId="2F88B3D0" w14:textId="77777777" w:rsidR="00394941" w:rsidRPr="00CA0394" w:rsidRDefault="00394941" w:rsidP="00394941">
      <w:pPr>
        <w:spacing w:line="480" w:lineRule="auto"/>
        <w:outlineLvl w:val="1"/>
        <w:rPr>
          <w:rFonts w:eastAsia="MS Mincho" w:cstheme="minorHAnsi"/>
          <w:b/>
          <w:sz w:val="22"/>
          <w:szCs w:val="22"/>
        </w:rPr>
      </w:pPr>
      <w:r w:rsidRPr="00CA0394">
        <w:rPr>
          <w:rFonts w:eastAsia="MS Mincho" w:cstheme="minorHAnsi"/>
          <w:b/>
          <w:i/>
          <w:iCs/>
          <w:color w:val="000000"/>
          <w:sz w:val="22"/>
          <w:szCs w:val="22"/>
        </w:rPr>
        <w:t>Severity Probability Model</w:t>
      </w:r>
    </w:p>
    <w:p w14:paraId="2A670AAE" w14:textId="5B4264E0" w:rsidR="00394941" w:rsidRPr="00F50154" w:rsidRDefault="00394941" w:rsidP="000C6DFE">
      <w:pPr>
        <w:spacing w:line="480" w:lineRule="auto"/>
        <w:ind w:firstLine="720"/>
        <w:rPr>
          <w:rFonts w:eastAsia="MS Mincho" w:cstheme="minorHAnsi"/>
          <w:sz w:val="22"/>
          <w:szCs w:val="22"/>
        </w:rPr>
      </w:pPr>
      <w:r w:rsidRPr="00CA0394">
        <w:rPr>
          <w:rFonts w:eastAsia="MS Mincho" w:cstheme="minorHAnsi"/>
          <w:sz w:val="22"/>
          <w:szCs w:val="22"/>
        </w:rPr>
        <w:t>The Severity Probability Model evaluates the presence and severity of dysphagia using a Random Forest (RF) supervised learning algorithm</w:t>
      </w:r>
      <w:r w:rsidR="007470C4">
        <w:rPr>
          <w:rFonts w:eastAsia="MS Mincho" w:cstheme="minorHAnsi"/>
          <w:sz w:val="22"/>
          <w:szCs w:val="22"/>
        </w:rPr>
        <w:t>, a decision tree classifier for a given number of trees which uses randomized subsets of data to predict the aggregated mean class label</w:t>
      </w:r>
      <w:r w:rsidR="006D70FE">
        <w:rPr>
          <w:rFonts w:eastAsia="MS Mincho" w:cstheme="minorHAnsi"/>
          <w:sz w:val="22"/>
          <w:szCs w:val="22"/>
        </w:rPr>
        <w:t xml:space="preserve"> </w:t>
      </w:r>
      <w:r w:rsidR="00D47FF2">
        <w:rPr>
          <w:rFonts w:eastAsia="MS Mincho" w:cstheme="minorHAnsi"/>
          <w:sz w:val="22"/>
          <w:szCs w:val="22"/>
        </w:rPr>
        <w:fldChar w:fldCharType="begin" w:fldLock="1"/>
      </w:r>
      <w:r w:rsidR="008A4EF6">
        <w:rPr>
          <w:rFonts w:eastAsia="MS Mincho" w:cstheme="minorHAnsi"/>
          <w:sz w:val="22"/>
          <w:szCs w:val="22"/>
        </w:rPr>
        <w:instrText>ADDIN CSL_CITATION {"citationItems":[{"id":"ITEM-1","itemData":{"DOI":"10.1023/A:1010933404324","ISSN":"08856125","abstract":"Random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regression.","author":[{"dropping-particle":"","family":"Breiman","given":"Leo","non-dropping-particle":"","parse-names":false,"suffix":""}],"container-title":"Machine Learning","id":"ITEM-1","issue":"1","issued":{"date-parts":[["2001","10"]]},"page":"5-32","publisher":"Springer","title":"Random forests","type":"article-journal","volume":"45"},"uris":["http://www.mendeley.com/documents/?uuid=dfc1aadb-ebf9-3185-b02c-1a99542528b4"]}],"mendeley":{"formattedCitation":"[20]","plainTextFormattedCitation":"[20]","previouslyFormattedCitation":"[20]"},"properties":{"noteIndex":0},"schema":"https://github.com/citation-style-language/schema/raw/master/csl-citation.json"}</w:instrText>
      </w:r>
      <w:r w:rsidR="00D47FF2">
        <w:rPr>
          <w:rFonts w:eastAsia="MS Mincho" w:cstheme="minorHAnsi"/>
          <w:sz w:val="22"/>
          <w:szCs w:val="22"/>
        </w:rPr>
        <w:fldChar w:fldCharType="separate"/>
      </w:r>
      <w:r w:rsidR="008A4EF6" w:rsidRPr="008A4EF6">
        <w:rPr>
          <w:rFonts w:eastAsia="MS Mincho" w:cstheme="minorHAnsi"/>
          <w:noProof/>
          <w:sz w:val="22"/>
          <w:szCs w:val="22"/>
        </w:rPr>
        <w:t>[20]</w:t>
      </w:r>
      <w:r w:rsidR="00D47FF2">
        <w:rPr>
          <w:rFonts w:eastAsia="MS Mincho" w:cstheme="minorHAnsi"/>
          <w:sz w:val="22"/>
          <w:szCs w:val="22"/>
        </w:rPr>
        <w:fldChar w:fldCharType="end"/>
      </w:r>
      <w:r w:rsidRPr="00CA0394">
        <w:rPr>
          <w:rFonts w:eastAsia="MS Mincho" w:cstheme="minorHAnsi"/>
          <w:sz w:val="22"/>
          <w:szCs w:val="22"/>
        </w:rPr>
        <w:t>. RF was chosen for its lower risk of overfitting, suitability for small datasets, and handling of imbalanced classes. Seven task-specific models were trained using combined data from similar bolus consistencies and oral presentation methods. The models were: saliva (dry swallow</w:t>
      </w:r>
      <w:r w:rsidR="00543BED">
        <w:rPr>
          <w:rFonts w:eastAsia="MS Mincho" w:cstheme="minorHAnsi"/>
          <w:sz w:val="22"/>
          <w:szCs w:val="22"/>
        </w:rPr>
        <w:t xml:space="preserve"> and effortful saliva</w:t>
      </w:r>
      <w:r w:rsidRPr="00CA0394">
        <w:rPr>
          <w:rFonts w:eastAsia="MS Mincho" w:cstheme="minorHAnsi"/>
          <w:sz w:val="22"/>
          <w:szCs w:val="22"/>
        </w:rPr>
        <w:t>), liquid (2</w:t>
      </w:r>
      <w:r w:rsidR="00041E2E" w:rsidRPr="00CA0394">
        <w:rPr>
          <w:rFonts w:eastAsia="MS Mincho" w:cstheme="minorHAnsi"/>
          <w:color w:val="000000"/>
          <w:sz w:val="22"/>
          <w:szCs w:val="22"/>
        </w:rPr>
        <w:t xml:space="preserve"> </w:t>
      </w:r>
      <w:r w:rsidR="002B6375" w:rsidRPr="00CA0394">
        <w:rPr>
          <w:rFonts w:eastAsia="MS Mincho" w:cstheme="minorHAnsi"/>
          <w:color w:val="000000"/>
          <w:sz w:val="22"/>
          <w:szCs w:val="22"/>
        </w:rPr>
        <w:t>.</w:t>
      </w:r>
      <w:r w:rsidRPr="00CA0394">
        <w:rPr>
          <w:rFonts w:eastAsia="MS Mincho" w:cstheme="minorHAnsi"/>
          <w:sz w:val="22"/>
          <w:szCs w:val="22"/>
        </w:rPr>
        <w:t xml:space="preserve">5 ml and 5 ml), liquid (natural sip), liquid (straw sip), puree (spoonful), soft solid (spoonful) and hard solid (natural bite). Hyperparameters were tuned for each model using a leave-one-subject-out nested cross-validation, using GridSearchCV to iteratively test combinations of the number of trees, maximum depth, and maximum number of leaf nodes. The best-performing set of hyperparameters was chosen as the set that maximized the F1-score, which balances model recall and precision, for the non-dysphagic control data. We selected the non-dysphagic control data for tuning to account for the likelihood that the vast majority of swallows from the control group would reflect the true ground-truth label (no impairment), whereas patients with mild and moderate dysphagia would not exhibit the labelled impairment level for every swallow. An inner cross-validation loop determined the best hyperparameter combination, and an outer testing loop implemented the resulting model on a separate, held-out subject, iterated across participants. </w:t>
      </w:r>
      <w:r w:rsidR="00F01993">
        <w:rPr>
          <w:rFonts w:eastAsia="MS Mincho" w:cstheme="minorHAnsi"/>
          <w:sz w:val="22"/>
          <w:szCs w:val="22"/>
        </w:rPr>
        <w:t xml:space="preserve">In total, </w:t>
      </w:r>
      <w:r w:rsidR="00F50154">
        <w:rPr>
          <w:rFonts w:eastAsia="MS Mincho" w:cstheme="minorHAnsi"/>
          <w:sz w:val="22"/>
          <w:szCs w:val="22"/>
        </w:rPr>
        <w:t xml:space="preserve">133 models were optimized </w:t>
      </w:r>
      <w:r w:rsidR="00F01993">
        <w:rPr>
          <w:rFonts w:eastAsia="MS Mincho" w:cstheme="minorHAnsi"/>
          <w:sz w:val="22"/>
          <w:szCs w:val="22"/>
        </w:rPr>
        <w:t>for a leave-</w:t>
      </w:r>
      <w:r w:rsidR="00F50154">
        <w:rPr>
          <w:rFonts w:eastAsia="MS Mincho" w:cstheme="minorHAnsi"/>
          <w:sz w:val="22"/>
          <w:szCs w:val="22"/>
        </w:rPr>
        <w:t>one-subject-out nested cross-validation scheme</w:t>
      </w:r>
      <w:r w:rsidR="00CC6F98">
        <w:rPr>
          <w:rFonts w:eastAsia="MS Mincho" w:cstheme="minorHAnsi"/>
          <w:sz w:val="22"/>
          <w:szCs w:val="22"/>
        </w:rPr>
        <w:t xml:space="preserve"> (</w:t>
      </w:r>
      <w:r w:rsidR="008767E2">
        <w:rPr>
          <w:rFonts w:eastAsia="MS Mincho" w:cstheme="minorHAnsi"/>
          <w:sz w:val="22"/>
          <w:szCs w:val="22"/>
        </w:rPr>
        <w:t xml:space="preserve">7 tasks across </w:t>
      </w:r>
      <w:r w:rsidR="00CC6F98">
        <w:rPr>
          <w:rFonts w:eastAsia="MS Mincho" w:cstheme="minorHAnsi"/>
          <w:sz w:val="22"/>
          <w:szCs w:val="22"/>
        </w:rPr>
        <w:t>19 left-out subjects)</w:t>
      </w:r>
      <w:r w:rsidR="00F50154">
        <w:rPr>
          <w:rFonts w:eastAsia="MS Mincho" w:cstheme="minorHAnsi"/>
          <w:sz w:val="22"/>
          <w:szCs w:val="22"/>
        </w:rPr>
        <w:t xml:space="preserve">. </w:t>
      </w:r>
      <w:r w:rsidR="00651DCC">
        <w:rPr>
          <w:rFonts w:eastAsia="MS Mincho" w:cstheme="minorHAnsi"/>
          <w:sz w:val="22"/>
          <w:szCs w:val="22"/>
        </w:rPr>
        <w:t xml:space="preserve">To provide an example of the hyperparameters that were obtained during optimization, </w:t>
      </w:r>
      <w:r w:rsidR="00651DCC" w:rsidRPr="000421DE">
        <w:rPr>
          <w:rFonts w:eastAsia="MS Mincho" w:cstheme="minorHAnsi"/>
          <w:b/>
          <w:sz w:val="22"/>
          <w:szCs w:val="22"/>
        </w:rPr>
        <w:t>Supplementary Table 4</w:t>
      </w:r>
      <w:r w:rsidR="00651DCC">
        <w:rPr>
          <w:rFonts w:eastAsia="MS Mincho" w:cstheme="minorHAnsi"/>
          <w:sz w:val="22"/>
          <w:szCs w:val="22"/>
        </w:rPr>
        <w:t xml:space="preserve"> shows values obtained from tuning on all participant data (non-nested scheme). </w:t>
      </w:r>
      <w:r w:rsidR="00D97E09">
        <w:rPr>
          <w:rFonts w:eastAsia="MS Mincho" w:cstheme="minorHAnsi"/>
          <w:sz w:val="22"/>
          <w:szCs w:val="22"/>
        </w:rPr>
        <w:t>For the nested leave-one-subject-out model scheme, t</w:t>
      </w:r>
      <w:r w:rsidRPr="00CA0394">
        <w:rPr>
          <w:rFonts w:eastAsia="MS Mincho" w:cstheme="minorHAnsi"/>
          <w:sz w:val="22"/>
          <w:szCs w:val="22"/>
        </w:rPr>
        <w:t xml:space="preserve">he average </w:t>
      </w:r>
      <w:r w:rsidRPr="00CA0394">
        <w:rPr>
          <w:rFonts w:eastAsia="MS Mincho" w:cstheme="minorHAnsi"/>
          <w:sz w:val="22"/>
          <w:szCs w:val="22"/>
        </w:rPr>
        <w:lastRenderedPageBreak/>
        <w:t xml:space="preserve">feature importance (Gini Index) for each </w:t>
      </w:r>
      <w:r w:rsidR="00D97E09">
        <w:rPr>
          <w:rFonts w:eastAsia="MS Mincho" w:cstheme="minorHAnsi"/>
          <w:sz w:val="22"/>
          <w:szCs w:val="22"/>
        </w:rPr>
        <w:t>task-specific</w:t>
      </w:r>
      <w:r w:rsidR="00651DCC">
        <w:rPr>
          <w:rFonts w:eastAsia="MS Mincho" w:cstheme="minorHAnsi"/>
          <w:sz w:val="22"/>
          <w:szCs w:val="22"/>
        </w:rPr>
        <w:t xml:space="preserve"> </w:t>
      </w:r>
      <w:r w:rsidRPr="00CA0394">
        <w:rPr>
          <w:rFonts w:eastAsia="MS Mincho" w:cstheme="minorHAnsi"/>
          <w:sz w:val="22"/>
          <w:szCs w:val="22"/>
        </w:rPr>
        <w:t>model was computed across the outer subject loop (</w:t>
      </w:r>
      <w:r w:rsidRPr="00CA0394">
        <w:rPr>
          <w:rFonts w:eastAsia="MS Mincho" w:cstheme="minorHAnsi"/>
          <w:b/>
          <w:sz w:val="22"/>
          <w:szCs w:val="22"/>
        </w:rPr>
        <w:t xml:space="preserve">Supplementary Table </w:t>
      </w:r>
      <w:r w:rsidR="00651DCC">
        <w:rPr>
          <w:rFonts w:eastAsia="MS Mincho" w:cstheme="minorHAnsi"/>
          <w:b/>
          <w:sz w:val="22"/>
          <w:szCs w:val="22"/>
        </w:rPr>
        <w:t>5</w:t>
      </w:r>
      <w:r w:rsidRPr="00977DA4">
        <w:rPr>
          <w:rFonts w:eastAsia="MS Mincho" w:cstheme="minorHAnsi"/>
          <w:sz w:val="22"/>
          <w:szCs w:val="22"/>
        </w:rPr>
        <w:t>).</w:t>
      </w:r>
    </w:p>
    <w:p w14:paraId="106AD143" w14:textId="0F4B06B2" w:rsidR="00394941" w:rsidRPr="00CA0394" w:rsidRDefault="00394941" w:rsidP="000C6DFE">
      <w:pPr>
        <w:spacing w:line="480" w:lineRule="auto"/>
        <w:ind w:firstLine="720"/>
        <w:rPr>
          <w:rFonts w:eastAsia="MS Mincho" w:cstheme="minorHAnsi"/>
          <w:sz w:val="22"/>
          <w:szCs w:val="22"/>
        </w:rPr>
      </w:pPr>
      <w:r w:rsidRPr="00CA0394">
        <w:rPr>
          <w:rFonts w:eastAsia="MS Mincho" w:cstheme="minorHAnsi"/>
          <w:sz w:val="22"/>
          <w:szCs w:val="22"/>
        </w:rPr>
        <w:t xml:space="preserve">Representative model output from a clinical swallowing evaluation is illustrated in </w:t>
      </w:r>
      <w:r w:rsidRPr="00CA0394">
        <w:rPr>
          <w:rFonts w:eastAsia="MS Mincho" w:cstheme="minorHAnsi"/>
          <w:b/>
          <w:sz w:val="22"/>
          <w:szCs w:val="22"/>
        </w:rPr>
        <w:t>Figure 2</w:t>
      </w:r>
      <w:r w:rsidRPr="00CA0394">
        <w:rPr>
          <w:rFonts w:eastAsia="MS Mincho" w:cstheme="minorHAnsi"/>
          <w:sz w:val="22"/>
          <w:szCs w:val="22"/>
        </w:rPr>
        <w:t>. Each swallow is analyzed independently, with a predicted probability of belonging to each possible dysphagia severity rating. The processed acceleration signal from the throat sensor is compared to the average acceleration profile from the control group, computed via a moving window average (window size = 3) for all task-specific swallows after aligning to the maximum swallow peak. Additionally, features extracted from the ribcage sensor (apnea duration, swallow latency, I-E pattern) provide clinically relevant, comparative characteristics on swallow-respiratory coordination.</w:t>
      </w:r>
    </w:p>
    <w:p w14:paraId="6CEABCF2" w14:textId="77777777" w:rsidR="00394941" w:rsidRPr="00CA0394" w:rsidRDefault="00394941" w:rsidP="00394941">
      <w:pPr>
        <w:spacing w:line="480" w:lineRule="auto"/>
        <w:rPr>
          <w:rFonts w:eastAsia="MS Mincho" w:cstheme="minorHAnsi"/>
          <w:sz w:val="22"/>
          <w:szCs w:val="22"/>
        </w:rPr>
      </w:pPr>
    </w:p>
    <w:p w14:paraId="045F864E" w14:textId="77777777" w:rsidR="00394941" w:rsidRPr="00CA0394" w:rsidRDefault="00394941" w:rsidP="00394941">
      <w:pPr>
        <w:spacing w:line="480" w:lineRule="auto"/>
        <w:outlineLvl w:val="1"/>
        <w:rPr>
          <w:rFonts w:eastAsia="MS Mincho" w:cstheme="minorHAnsi"/>
          <w:b/>
          <w:i/>
          <w:sz w:val="22"/>
          <w:szCs w:val="22"/>
        </w:rPr>
      </w:pPr>
      <w:r w:rsidRPr="00CA0394">
        <w:rPr>
          <w:rFonts w:eastAsia="MS Mincho" w:cstheme="minorHAnsi"/>
          <w:b/>
          <w:i/>
          <w:sz w:val="22"/>
          <w:szCs w:val="22"/>
        </w:rPr>
        <w:t>Distance Model</w:t>
      </w:r>
    </w:p>
    <w:p w14:paraId="606FED0A" w14:textId="681DA946" w:rsidR="00394941" w:rsidRPr="00CA0394" w:rsidRDefault="00394941" w:rsidP="000C6DFE">
      <w:pPr>
        <w:spacing w:line="480" w:lineRule="auto"/>
        <w:ind w:firstLine="720"/>
        <w:rPr>
          <w:rFonts w:eastAsia="MS Mincho" w:cstheme="minorHAnsi"/>
          <w:color w:val="000000"/>
          <w:sz w:val="22"/>
          <w:szCs w:val="22"/>
        </w:rPr>
        <w:sectPr w:rsidR="00394941" w:rsidRPr="00CA0394" w:rsidSect="00636F2F">
          <w:pgSz w:w="12240" w:h="15840"/>
          <w:pgMar w:top="1440" w:right="1440" w:bottom="1440" w:left="1440" w:header="720" w:footer="720" w:gutter="0"/>
          <w:lnNumType w:countBy="1" w:restart="continuous"/>
          <w:cols w:space="720"/>
          <w:docGrid w:linePitch="360"/>
        </w:sectPr>
      </w:pPr>
      <w:r w:rsidRPr="00CA0394">
        <w:rPr>
          <w:rFonts w:eastAsia="MS Mincho" w:cstheme="minorHAnsi"/>
          <w:sz w:val="22"/>
          <w:szCs w:val="22"/>
        </w:rPr>
        <w:t xml:space="preserve">The Distance Model employs a single-class Support Vector Machine (SVM) trained on task-specific sensor features from a single, confident class – namely, the non-dysphagic controls – and maps all patient samples to a measurable distance from the learned boundary of this class. </w:t>
      </w:r>
      <w:r w:rsidR="000C29F4">
        <w:rPr>
          <w:rFonts w:eastAsia="MS Mincho" w:cstheme="minorHAnsi"/>
          <w:sz w:val="22"/>
          <w:szCs w:val="22"/>
        </w:rPr>
        <w:t>The single-class SVM is an unsupervised algorithm which learns the decision boundary of the training data and evaluates test data as belonging to the trained class or identifying it as an out-of-class sample</w:t>
      </w:r>
      <w:r w:rsidR="00D47FF2">
        <w:rPr>
          <w:rFonts w:eastAsia="MS Mincho" w:cstheme="minorHAnsi"/>
          <w:sz w:val="22"/>
          <w:szCs w:val="22"/>
        </w:rPr>
        <w:t xml:space="preserve"> </w:t>
      </w:r>
      <w:r w:rsidR="00D47FF2">
        <w:rPr>
          <w:rFonts w:eastAsia="MS Mincho" w:cstheme="minorHAnsi"/>
          <w:sz w:val="22"/>
          <w:szCs w:val="22"/>
        </w:rPr>
        <w:fldChar w:fldCharType="begin" w:fldLock="1"/>
      </w:r>
      <w:r w:rsidR="008A4EF6">
        <w:rPr>
          <w:rFonts w:eastAsia="MS Mincho" w:cstheme="minorHAnsi"/>
          <w:sz w:val="22"/>
          <w:szCs w:val="22"/>
        </w:rPr>
        <w:instrText>ADDIN CSL_CITATION {"citationItems":[{"id":"ITEM-1","itemData":{"author":[{"dropping-particle":"","family":"Hastie","given":"Trevor","non-dropping-particle":"","parse-names":false,"suffix":""},{"dropping-particle":"","family":"Tibshirani","given":"Robert","non-dropping-particle":"","parse-names":false,"suffix":""},{"dropping-particle":"","family":"Friedman","given":"Jerome","non-dropping-particle":"","parse-names":false,"suffix":""}],"edition":"Second Edi","id":"ITEM-1","issued":{"date-parts":[["2009"]]},"publisher":"Springer-Verlag","publisher-place":"New York City, NY","title":"The Elements of Statistical Learning: Data Mining, Inference, and Prediction","type":"book"},"uris":["http://www.mendeley.com/documents/?uuid=d9f80bd6-b79d-4533-921d-de159c897b11"]}],"mendeley":{"formattedCitation":"[21]","plainTextFormattedCitation":"[21]","previouslyFormattedCitation":"[21]"},"properties":{"noteIndex":0},"schema":"https://github.com/citation-style-language/schema/raw/master/csl-citation.json"}</w:instrText>
      </w:r>
      <w:r w:rsidR="00D47FF2">
        <w:rPr>
          <w:rFonts w:eastAsia="MS Mincho" w:cstheme="minorHAnsi"/>
          <w:sz w:val="22"/>
          <w:szCs w:val="22"/>
        </w:rPr>
        <w:fldChar w:fldCharType="separate"/>
      </w:r>
      <w:r w:rsidR="008A4EF6" w:rsidRPr="008A4EF6">
        <w:rPr>
          <w:rFonts w:eastAsia="MS Mincho" w:cstheme="minorHAnsi"/>
          <w:noProof/>
          <w:sz w:val="22"/>
          <w:szCs w:val="22"/>
        </w:rPr>
        <w:t>[21]</w:t>
      </w:r>
      <w:r w:rsidR="00D47FF2">
        <w:rPr>
          <w:rFonts w:eastAsia="MS Mincho" w:cstheme="minorHAnsi"/>
          <w:sz w:val="22"/>
          <w:szCs w:val="22"/>
        </w:rPr>
        <w:fldChar w:fldCharType="end"/>
      </w:r>
      <w:r w:rsidR="00D47FF2">
        <w:rPr>
          <w:rFonts w:eastAsia="MS Mincho" w:cstheme="minorHAnsi"/>
          <w:sz w:val="22"/>
          <w:szCs w:val="22"/>
        </w:rPr>
        <w:t xml:space="preserve">. </w:t>
      </w:r>
      <w:r w:rsidRPr="00CA0394">
        <w:rPr>
          <w:rFonts w:eastAsia="MS Mincho" w:cstheme="minorHAnsi"/>
          <w:sz w:val="22"/>
          <w:szCs w:val="22"/>
        </w:rPr>
        <w:t>SVMs provide robust outlier detection for small datasets and were implemented to differentiate swallows that did not share characteristics of healthy swallowing. For each swallowing task, training and testing data were split for leave-one-subject-out cross-validation. Normalized sensor features were transformed to a two-dimensional subspace using the first two linear discriminant components. Regularization was introduced to the LDA fit via a shrinkage parameter, using the Ledoit-Wolf method to minimize risk of overfitting by reducing the number or weight of the features</w:t>
      </w:r>
      <w:r w:rsidR="004B2B25" w:rsidRPr="00CA0394">
        <w:rPr>
          <w:rFonts w:eastAsia="MS Mincho" w:cstheme="minorHAnsi"/>
          <w:sz w:val="22"/>
          <w:szCs w:val="22"/>
        </w:rPr>
        <w:t xml:space="preserve"> </w:t>
      </w:r>
      <w:r w:rsidRPr="00CA0394">
        <w:rPr>
          <w:rFonts w:eastAsia="MS Mincho" w:cstheme="minorHAnsi"/>
          <w:sz w:val="22"/>
          <w:szCs w:val="22"/>
        </w:rPr>
        <w:fldChar w:fldCharType="begin" w:fldLock="1"/>
      </w:r>
      <w:r w:rsidR="008A4EF6">
        <w:rPr>
          <w:rFonts w:eastAsia="MS Mincho" w:cstheme="minorHAnsi"/>
          <w:sz w:val="22"/>
          <w:szCs w:val="22"/>
        </w:rPr>
        <w:instrText>ADDIN CSL_CITATION {"citationItems":[{"id":"ITEM-1","itemData":{"DOI":"10.1016/S0047-259X(03)00096-4","ISSN":"0047259X","abstract":"Many applied problems require a covariance matrix estimator that is not only invertible, but also well-conditioned (that is, inverting it does not amplify estimation error). For large-dimensional covariance matrices, the usual estimator - the sample covariance matrix - is typically not well-conditioned and may not even be invertible. This paper introduces an estimator that is both well-conditioned and more accurate than the sample covariance matrix asymptotically. This estimator is distribution-free and has a simple explicit formula that is easy to compute and interpret. It is the asymptotically optimal convex linear combination of the sample covariance matrix with the identity matrix. Optimality is meant with respect to a quadratic loss function, asymptotically as the number of observations and the number of variables go to infinity together. Extensive Monte Carlo confirm that the asymptotic results tend to hold well in finite sample. © 2003 Elsevier Inc. All rights reserved.","author":[{"dropping-particle":"","family":"Ledoit","given":"Olivier","non-dropping-particle":"","parse-names":false,"suffix":""},{"dropping-particle":"","family":"Wolf","given":"Michael","non-dropping-particle":"","parse-names":false,"suffix":""}],"container-title":"Journal of Multivariate Analysis","id":"ITEM-1","issue":"2","issued":{"date-parts":[["2004","2","1"]]},"page":"365-411","publisher":"Academic Press Inc.","title":"A well-conditioned estimator for large-dimensional covariance matrices","type":"article-journal","volume":"88"},"uris":["http://www.mendeley.com/documents/?uuid=a14bfe98-c8c5-3520-a509-2f9363ed1fc7"]}],"mendeley":{"formattedCitation":"[22]","plainTextFormattedCitation":"[22]","previouslyFormattedCitation":"[22]"},"properties":{"noteIndex":0},"schema":"https://github.com/citation-style-language/schema/raw/master/csl-citation.json"}</w:instrText>
      </w:r>
      <w:r w:rsidRPr="00CA0394">
        <w:rPr>
          <w:rFonts w:eastAsia="MS Mincho" w:cstheme="minorHAnsi"/>
          <w:sz w:val="22"/>
          <w:szCs w:val="22"/>
        </w:rPr>
        <w:fldChar w:fldCharType="separate"/>
      </w:r>
      <w:r w:rsidR="008A4EF6" w:rsidRPr="008A4EF6">
        <w:rPr>
          <w:rFonts w:eastAsia="MS Mincho" w:cstheme="minorHAnsi"/>
          <w:noProof/>
          <w:sz w:val="22"/>
          <w:szCs w:val="22"/>
        </w:rPr>
        <w:t>[22]</w:t>
      </w:r>
      <w:r w:rsidRPr="00CA0394">
        <w:rPr>
          <w:rFonts w:eastAsia="MS Mincho" w:cstheme="minorHAnsi"/>
          <w:sz w:val="22"/>
          <w:szCs w:val="22"/>
        </w:rPr>
        <w:fldChar w:fldCharType="end"/>
      </w:r>
      <w:r w:rsidR="004B2B25" w:rsidRPr="00CA0394">
        <w:rPr>
          <w:rFonts w:eastAsia="MS Mincho" w:cstheme="minorHAnsi"/>
          <w:sz w:val="22"/>
          <w:szCs w:val="22"/>
        </w:rPr>
        <w:t>.</w:t>
      </w:r>
      <w:r w:rsidRPr="00CA0394">
        <w:rPr>
          <w:rFonts w:eastAsia="MS Mincho" w:cstheme="minorHAnsi"/>
          <w:sz w:val="22"/>
          <w:szCs w:val="22"/>
        </w:rPr>
        <w:t xml:space="preserve"> A single-class nonlinear SVM with radial basis function kernel was then fit to the control sample LDA cluster to learn the hyperplane that separated the control samples from the remaining feature subspace. Each patient swallowing instance can then be </w:t>
      </w:r>
      <w:r w:rsidRPr="00CA0394">
        <w:rPr>
          <w:rFonts w:eastAsia="MS Mincho" w:cstheme="minorHAnsi"/>
          <w:sz w:val="22"/>
          <w:szCs w:val="22"/>
        </w:rPr>
        <w:lastRenderedPageBreak/>
        <w:t xml:space="preserve">represented as a measureable </w:t>
      </w:r>
      <w:r w:rsidRPr="00CA0394">
        <w:rPr>
          <w:rFonts w:eastAsia="MS Mincho" w:cstheme="minorHAnsi"/>
          <w:color w:val="000000"/>
          <w:sz w:val="22"/>
          <w:szCs w:val="22"/>
        </w:rPr>
        <w:t xml:space="preserve">distance </w:t>
      </w:r>
      <m:oMath>
        <m:r>
          <w:rPr>
            <w:rFonts w:ascii="Cambria Math" w:eastAsia="MS Mincho" w:hAnsi="Cambria Math" w:cstheme="minorHAnsi"/>
            <w:color w:val="000000"/>
            <w:sz w:val="22"/>
            <w:szCs w:val="22"/>
          </w:rPr>
          <m:t>d</m:t>
        </m:r>
      </m:oMath>
      <w:r w:rsidRPr="00CA0394">
        <w:rPr>
          <w:rFonts w:eastAsia="MS Mincho" w:cstheme="minorHAnsi"/>
          <w:color w:val="000000"/>
          <w:sz w:val="22"/>
          <w:szCs w:val="22"/>
        </w:rPr>
        <w:t xml:space="preserve"> to the learned hyperplane. Small distances indicate proximity to the healthy boundary, while increasing magnitude indicates greater deviation from healthy swallowing behavior. Inliers of the decision boundary were assigned a zero value (</w:t>
      </w:r>
      <m:oMath>
        <m:r>
          <w:rPr>
            <w:rFonts w:ascii="Cambria Math" w:eastAsia="MS Mincho" w:hAnsi="Cambria Math" w:cstheme="minorHAnsi"/>
            <w:color w:val="000000"/>
            <w:sz w:val="22"/>
            <w:szCs w:val="22"/>
          </w:rPr>
          <m:t>d=0</m:t>
        </m:r>
      </m:oMath>
      <w:r w:rsidRPr="00CA0394">
        <w:rPr>
          <w:rFonts w:eastAsia="MS Mincho" w:cstheme="minorHAnsi"/>
          <w:color w:val="000000"/>
          <w:sz w:val="22"/>
          <w:szCs w:val="22"/>
        </w:rPr>
        <w:t>) to designate the swallow behavior as being within the feature space of the control dataset – i.e., located within the target region.  </w:t>
      </w:r>
    </w:p>
    <w:p w14:paraId="646B8518" w14:textId="32F36454" w:rsidR="009725D0" w:rsidRPr="00CA0394" w:rsidRDefault="009725D0" w:rsidP="00CA0394">
      <w:pPr>
        <w:spacing w:after="160" w:line="259" w:lineRule="auto"/>
        <w:outlineLvl w:val="0"/>
        <w:rPr>
          <w:rFonts w:ascii="Cambria" w:eastAsia="ヒラギノ角ゴ Pro W3" w:hAnsi="Cambria" w:cstheme="minorHAnsi"/>
          <w:b/>
        </w:rPr>
      </w:pPr>
      <w:r w:rsidRPr="00CA0394">
        <w:rPr>
          <w:rFonts w:ascii="Cambria" w:eastAsia="ヒラギノ角ゴ Pro W3" w:hAnsi="Cambria" w:cstheme="minorHAnsi"/>
          <w:b/>
        </w:rPr>
        <w:lastRenderedPageBreak/>
        <w:t>Supplementary Figures</w:t>
      </w:r>
    </w:p>
    <w:p w14:paraId="5ADACBEC" w14:textId="77777777" w:rsidR="00CA0394" w:rsidRDefault="00CA0394" w:rsidP="00CA0394">
      <w:pPr>
        <w:rPr>
          <w:rFonts w:eastAsia="Times New Roman" w:cstheme="minorHAnsi"/>
          <w:b/>
          <w:bCs/>
          <w:sz w:val="22"/>
          <w:szCs w:val="22"/>
        </w:rPr>
      </w:pPr>
    </w:p>
    <w:p w14:paraId="5623FFC1" w14:textId="391AF94D" w:rsidR="00674DE5" w:rsidRPr="00CA0394" w:rsidRDefault="009725D0" w:rsidP="00465916">
      <w:pPr>
        <w:outlineLvl w:val="1"/>
        <w:rPr>
          <w:rFonts w:eastAsia="Times New Roman" w:cstheme="minorHAnsi"/>
          <w:bCs/>
          <w:sz w:val="22"/>
          <w:szCs w:val="22"/>
        </w:rPr>
      </w:pPr>
      <w:r w:rsidRPr="00CA0394">
        <w:rPr>
          <w:rFonts w:eastAsia="Times New Roman" w:cstheme="minorHAnsi"/>
          <w:b/>
          <w:bCs/>
          <w:sz w:val="22"/>
          <w:szCs w:val="22"/>
        </w:rPr>
        <w:t xml:space="preserve">Supplementary Figure 1: </w:t>
      </w:r>
      <w:r w:rsidR="006D51FB" w:rsidRPr="00CA0394">
        <w:rPr>
          <w:rFonts w:eastAsia="Times New Roman" w:cstheme="minorHAnsi"/>
          <w:b/>
          <w:bCs/>
          <w:sz w:val="22"/>
          <w:szCs w:val="22"/>
        </w:rPr>
        <w:t xml:space="preserve">Data processing pipeline. </w:t>
      </w:r>
      <w:r w:rsidR="00BE2FBC" w:rsidRPr="00CA0394">
        <w:rPr>
          <w:rFonts w:eastAsia="Times New Roman" w:cstheme="minorHAnsi"/>
          <w:bCs/>
          <w:sz w:val="22"/>
          <w:szCs w:val="22"/>
        </w:rPr>
        <w:t>Sensors placed on the throat and ribcage collect r</w:t>
      </w:r>
      <w:r w:rsidR="00465916" w:rsidRPr="00CA0394">
        <w:rPr>
          <w:rFonts w:eastAsia="Times New Roman" w:cstheme="minorHAnsi"/>
          <w:bCs/>
          <w:sz w:val="22"/>
          <w:szCs w:val="22"/>
        </w:rPr>
        <w:t>aw accelerometer data</w:t>
      </w:r>
      <w:r w:rsidR="00BE2FBC" w:rsidRPr="00CA0394">
        <w:rPr>
          <w:rFonts w:eastAsia="Times New Roman" w:cstheme="minorHAnsi"/>
          <w:bCs/>
          <w:sz w:val="22"/>
          <w:szCs w:val="22"/>
        </w:rPr>
        <w:t xml:space="preserve"> during various swallowing tasks. The data</w:t>
      </w:r>
      <w:r w:rsidR="00465916" w:rsidRPr="00CA0394">
        <w:rPr>
          <w:rFonts w:eastAsia="Times New Roman" w:cstheme="minorHAnsi"/>
          <w:bCs/>
          <w:sz w:val="22"/>
          <w:szCs w:val="22"/>
        </w:rPr>
        <w:t xml:space="preserve"> is processed</w:t>
      </w:r>
      <w:r w:rsidR="00BE2FBC" w:rsidRPr="00CA0394">
        <w:rPr>
          <w:rFonts w:eastAsia="Times New Roman" w:cstheme="minorHAnsi"/>
          <w:bCs/>
          <w:sz w:val="22"/>
          <w:szCs w:val="22"/>
        </w:rPr>
        <w:t>, segmented, and cleaned</w:t>
      </w:r>
      <w:r w:rsidR="00465916" w:rsidRPr="00CA0394">
        <w:rPr>
          <w:rFonts w:eastAsia="Times New Roman" w:cstheme="minorHAnsi"/>
          <w:bCs/>
          <w:sz w:val="22"/>
          <w:szCs w:val="22"/>
        </w:rPr>
        <w:t xml:space="preserve"> for feature extraction. Final features are paired with ground truth dysphagia severity ratings </w:t>
      </w:r>
      <w:r w:rsidR="00BE2FBC" w:rsidRPr="00CA0394">
        <w:rPr>
          <w:rFonts w:eastAsia="Times New Roman" w:cstheme="minorHAnsi"/>
          <w:bCs/>
          <w:sz w:val="22"/>
          <w:szCs w:val="22"/>
        </w:rPr>
        <w:t>to</w:t>
      </w:r>
      <w:r w:rsidR="00465916" w:rsidRPr="00CA0394">
        <w:rPr>
          <w:rFonts w:eastAsia="Times New Roman" w:cstheme="minorHAnsi"/>
          <w:bCs/>
          <w:sz w:val="22"/>
          <w:szCs w:val="22"/>
        </w:rPr>
        <w:t xml:space="preserve"> </w:t>
      </w:r>
      <w:r w:rsidR="00BE2FBC" w:rsidRPr="00CA0394">
        <w:rPr>
          <w:rFonts w:eastAsia="Times New Roman" w:cstheme="minorHAnsi"/>
          <w:bCs/>
          <w:sz w:val="22"/>
          <w:szCs w:val="22"/>
        </w:rPr>
        <w:t>train</w:t>
      </w:r>
      <w:r w:rsidR="00465916" w:rsidRPr="00CA0394">
        <w:rPr>
          <w:rFonts w:eastAsia="Times New Roman" w:cstheme="minorHAnsi"/>
          <w:bCs/>
          <w:sz w:val="22"/>
          <w:szCs w:val="22"/>
        </w:rPr>
        <w:t xml:space="preserve"> machine learning models.</w:t>
      </w:r>
    </w:p>
    <w:p w14:paraId="33342435" w14:textId="77777777" w:rsidR="00465916" w:rsidRPr="00CA0394" w:rsidRDefault="00465916" w:rsidP="00BE2FBC">
      <w:pPr>
        <w:rPr>
          <w:rFonts w:eastAsia="Times New Roman" w:cstheme="minorHAnsi"/>
          <w:bCs/>
          <w:sz w:val="22"/>
          <w:szCs w:val="22"/>
        </w:rPr>
      </w:pPr>
    </w:p>
    <w:p w14:paraId="2E0036CD" w14:textId="03FB6C56" w:rsidR="00373919" w:rsidRDefault="004865D8" w:rsidP="004865D8">
      <w:pPr>
        <w:spacing w:after="160" w:line="259" w:lineRule="auto"/>
        <w:jc w:val="center"/>
        <w:rPr>
          <w:rFonts w:eastAsia="ヒラギノ角ゴ Pro W3" w:cstheme="minorHAnsi"/>
          <w:sz w:val="22"/>
          <w:szCs w:val="22"/>
        </w:rPr>
      </w:pPr>
      <w:r w:rsidRPr="00CA0394">
        <w:rPr>
          <w:rFonts w:eastAsia="ヒラギノ角ゴ Pro W3" w:cstheme="minorHAnsi"/>
          <w:noProof/>
          <w:sz w:val="22"/>
          <w:szCs w:val="22"/>
        </w:rPr>
        <w:drawing>
          <wp:inline distT="0" distB="0" distL="0" distR="0" wp14:anchorId="5D485E8C" wp14:editId="40DF43AA">
            <wp:extent cx="5399808" cy="734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Data Processing Final.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99808" cy="7341300"/>
                    </a:xfrm>
                    <a:prstGeom prst="rect">
                      <a:avLst/>
                    </a:prstGeom>
                    <a:ln>
                      <a:noFill/>
                    </a:ln>
                    <a:extLst>
                      <a:ext uri="{53640926-AAD7-44D8-BBD7-CCE9431645EC}">
                        <a14:shadowObscured xmlns:a14="http://schemas.microsoft.com/office/drawing/2010/main"/>
                      </a:ext>
                    </a:extLst>
                  </pic:spPr>
                </pic:pic>
              </a:graphicData>
            </a:graphic>
          </wp:inline>
        </w:drawing>
      </w:r>
    </w:p>
    <w:p w14:paraId="75FA95FD" w14:textId="5AEF3CB1" w:rsidR="00373919" w:rsidRDefault="00373919" w:rsidP="00373919">
      <w:pPr>
        <w:outlineLvl w:val="1"/>
        <w:rPr>
          <w:rFonts w:eastAsia="Times New Roman" w:cstheme="minorHAnsi"/>
          <w:bCs/>
          <w:sz w:val="22"/>
          <w:szCs w:val="22"/>
        </w:rPr>
      </w:pPr>
      <w:r>
        <w:rPr>
          <w:rFonts w:eastAsia="Times New Roman" w:cstheme="minorHAnsi"/>
          <w:b/>
          <w:bCs/>
          <w:sz w:val="22"/>
          <w:szCs w:val="22"/>
        </w:rPr>
        <w:lastRenderedPageBreak/>
        <w:t>Supplementary Figure 2</w:t>
      </w:r>
      <w:r w:rsidRPr="00CA0394">
        <w:rPr>
          <w:rFonts w:eastAsia="Times New Roman" w:cstheme="minorHAnsi"/>
          <w:b/>
          <w:bCs/>
          <w:sz w:val="22"/>
          <w:szCs w:val="22"/>
        </w:rPr>
        <w:t xml:space="preserve">: </w:t>
      </w:r>
      <w:r w:rsidR="00494B67" w:rsidRPr="00494B67">
        <w:rPr>
          <w:rFonts w:eastAsia="Times New Roman" w:cstheme="minorHAnsi"/>
          <w:b/>
          <w:bCs/>
          <w:sz w:val="22"/>
          <w:szCs w:val="22"/>
        </w:rPr>
        <w:t xml:space="preserve">Inter- and intra-subject swallow variability. </w:t>
      </w:r>
      <w:r w:rsidR="00494B67">
        <w:rPr>
          <w:rFonts w:eastAsia="Times New Roman" w:cstheme="minorHAnsi"/>
          <w:bCs/>
          <w:sz w:val="22"/>
          <w:szCs w:val="22"/>
        </w:rPr>
        <w:t>S</w:t>
      </w:r>
      <w:r w:rsidR="00494B67" w:rsidRPr="00E070CA">
        <w:rPr>
          <w:rFonts w:eastAsia="Times New Roman" w:cstheme="minorHAnsi"/>
          <w:bCs/>
          <w:sz w:val="22"/>
          <w:szCs w:val="22"/>
        </w:rPr>
        <w:t>wallow data from representative patients and tasks demonstrate observable variations between trials</w:t>
      </w:r>
      <w:r w:rsidR="00494B67">
        <w:rPr>
          <w:rFonts w:eastAsia="Times New Roman" w:cstheme="minorHAnsi"/>
          <w:bCs/>
          <w:sz w:val="22"/>
          <w:szCs w:val="22"/>
        </w:rPr>
        <w:t xml:space="preserve"> and sessions</w:t>
      </w:r>
      <w:r w:rsidR="00494B67" w:rsidRPr="00E070CA">
        <w:rPr>
          <w:rFonts w:eastAsia="Times New Roman" w:cstheme="minorHAnsi"/>
          <w:bCs/>
          <w:sz w:val="22"/>
          <w:szCs w:val="22"/>
        </w:rPr>
        <w:t>, while also showing some consistency in the relative shape, pattern, and timing within the same patient. All swallows are aligned to the detected swallow peak</w:t>
      </w:r>
      <w:r w:rsidR="00494B67">
        <w:rPr>
          <w:rFonts w:eastAsia="Times New Roman" w:cstheme="minorHAnsi"/>
          <w:bCs/>
          <w:sz w:val="22"/>
          <w:szCs w:val="22"/>
        </w:rPr>
        <w:t xml:space="preserve"> at 0 seconds</w:t>
      </w:r>
      <w:r w:rsidR="00494B67" w:rsidRPr="00E070CA">
        <w:rPr>
          <w:rFonts w:eastAsia="Times New Roman" w:cstheme="minorHAnsi"/>
          <w:bCs/>
          <w:sz w:val="22"/>
          <w:szCs w:val="22"/>
        </w:rPr>
        <w:t>.</w:t>
      </w:r>
    </w:p>
    <w:p w14:paraId="16666C29" w14:textId="72502AEC" w:rsidR="00373919" w:rsidRDefault="00373919" w:rsidP="00E070CA">
      <w:pPr>
        <w:rPr>
          <w:rFonts w:eastAsia="Times New Roman" w:cstheme="minorHAnsi"/>
          <w:bCs/>
          <w:sz w:val="22"/>
          <w:szCs w:val="22"/>
        </w:rPr>
      </w:pPr>
    </w:p>
    <w:p w14:paraId="088B8B43" w14:textId="1B954FBD" w:rsidR="00373919" w:rsidRPr="00CA0394" w:rsidRDefault="00373919" w:rsidP="00E070CA">
      <w:pPr>
        <w:rPr>
          <w:rFonts w:eastAsia="Times New Roman" w:cstheme="minorHAnsi"/>
          <w:bCs/>
          <w:sz w:val="22"/>
          <w:szCs w:val="22"/>
        </w:rPr>
      </w:pPr>
      <w:r>
        <w:rPr>
          <w:rFonts w:ascii="Times New Roman" w:hAnsi="Times New Roman" w:cs="Times New Roman"/>
          <w:noProof/>
          <w:color w:val="0000FF"/>
        </w:rPr>
        <w:drawing>
          <wp:inline distT="0" distB="0" distL="0" distR="0" wp14:anchorId="4A20CF2A" wp14:editId="67B85F5D">
            <wp:extent cx="5293473" cy="292721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1209" cy="2942556"/>
                    </a:xfrm>
                    <a:prstGeom prst="rect">
                      <a:avLst/>
                    </a:prstGeom>
                  </pic:spPr>
                </pic:pic>
              </a:graphicData>
            </a:graphic>
          </wp:inline>
        </w:drawing>
      </w:r>
    </w:p>
    <w:p w14:paraId="5F77DEB4" w14:textId="77777777" w:rsidR="00373919" w:rsidRDefault="00373919">
      <w:pPr>
        <w:spacing w:after="160" w:line="259" w:lineRule="auto"/>
        <w:rPr>
          <w:rFonts w:eastAsia="ヒラギノ角ゴ Pro W3" w:cstheme="minorHAnsi"/>
          <w:sz w:val="22"/>
          <w:szCs w:val="22"/>
        </w:rPr>
      </w:pPr>
      <w:r>
        <w:rPr>
          <w:rFonts w:eastAsia="ヒラギノ角ゴ Pro W3" w:cstheme="minorHAnsi"/>
          <w:sz w:val="22"/>
          <w:szCs w:val="22"/>
        </w:rPr>
        <w:br w:type="page"/>
      </w:r>
    </w:p>
    <w:p w14:paraId="6E9923B3" w14:textId="77777777" w:rsidR="004865D8" w:rsidRPr="00CA0394" w:rsidRDefault="004865D8" w:rsidP="004865D8">
      <w:pPr>
        <w:spacing w:after="160" w:line="259" w:lineRule="auto"/>
        <w:jc w:val="center"/>
        <w:rPr>
          <w:rFonts w:eastAsia="ヒラギノ角ゴ Pro W3" w:cstheme="minorHAnsi"/>
          <w:sz w:val="22"/>
          <w:szCs w:val="22"/>
        </w:rPr>
        <w:sectPr w:rsidR="004865D8" w:rsidRPr="00CA0394" w:rsidSect="00CA0394">
          <w:pgSz w:w="12240" w:h="15840"/>
          <w:pgMar w:top="1152" w:right="1440" w:bottom="720" w:left="1440" w:header="720" w:footer="720" w:gutter="0"/>
          <w:cols w:space="720"/>
          <w:docGrid w:linePitch="360"/>
        </w:sectPr>
      </w:pPr>
    </w:p>
    <w:p w14:paraId="43BA243E" w14:textId="77777777" w:rsidR="009725D0" w:rsidRPr="00CA0394" w:rsidRDefault="009725D0" w:rsidP="002D64A4">
      <w:pPr>
        <w:outlineLvl w:val="0"/>
        <w:rPr>
          <w:rFonts w:ascii="Cambria" w:eastAsia="ヒラギノ角ゴ Pro W3" w:hAnsi="Cambria" w:cstheme="minorHAnsi"/>
          <w:b/>
        </w:rPr>
      </w:pPr>
      <w:r w:rsidRPr="00CA0394">
        <w:rPr>
          <w:rFonts w:ascii="Cambria" w:eastAsia="ヒラギノ角ゴ Pro W3" w:hAnsi="Cambria" w:cstheme="minorHAnsi"/>
          <w:b/>
        </w:rPr>
        <w:lastRenderedPageBreak/>
        <w:t>Supplementary Tables</w:t>
      </w:r>
    </w:p>
    <w:p w14:paraId="570D312B" w14:textId="34B3FB5D" w:rsidR="009725D0" w:rsidRPr="00CA0394" w:rsidRDefault="00041BEF" w:rsidP="009725D0">
      <w:pPr>
        <w:rPr>
          <w:rFonts w:eastAsia="Times New Roman" w:cstheme="minorHAnsi"/>
          <w:b/>
          <w:sz w:val="22"/>
          <w:szCs w:val="22"/>
        </w:rPr>
      </w:pPr>
      <w:r w:rsidRPr="00CA0394">
        <w:rPr>
          <w:rFonts w:eastAsia="Times New Roman" w:cstheme="minorHAnsi"/>
          <w:b/>
          <w:sz w:val="22"/>
          <w:szCs w:val="22"/>
        </w:rPr>
        <w:t xml:space="preserve"> </w:t>
      </w:r>
    </w:p>
    <w:p w14:paraId="75CDC163" w14:textId="508EB00A" w:rsidR="009725D0" w:rsidRPr="00CA0394" w:rsidRDefault="009725D0" w:rsidP="002D64A4">
      <w:pPr>
        <w:outlineLvl w:val="1"/>
        <w:rPr>
          <w:rFonts w:eastAsia="Times New Roman" w:cstheme="minorHAnsi"/>
          <w:b/>
          <w:bCs/>
          <w:sz w:val="22"/>
          <w:szCs w:val="22"/>
        </w:rPr>
      </w:pPr>
      <w:r w:rsidRPr="00CA0394">
        <w:rPr>
          <w:rFonts w:eastAsia="Times New Roman" w:cstheme="minorHAnsi"/>
          <w:b/>
          <w:bCs/>
          <w:sz w:val="22"/>
          <w:szCs w:val="22"/>
        </w:rPr>
        <w:t xml:space="preserve">Supplementary </w:t>
      </w:r>
      <w:r w:rsidRPr="00CA0394">
        <w:rPr>
          <w:rFonts w:eastAsia="Times New Roman" w:cstheme="minorHAnsi"/>
          <w:b/>
          <w:sz w:val="22"/>
          <w:szCs w:val="22"/>
        </w:rPr>
        <w:t>Table 1.</w:t>
      </w:r>
      <w:r w:rsidRPr="00CA0394">
        <w:rPr>
          <w:rFonts w:eastAsia="Times New Roman" w:cstheme="minorHAnsi"/>
          <w:b/>
          <w:bCs/>
          <w:sz w:val="22"/>
          <w:szCs w:val="22"/>
        </w:rPr>
        <w:t xml:space="preserve"> Patient demographics, stroke characteristics, and dysphagia severity.</w:t>
      </w:r>
    </w:p>
    <w:p w14:paraId="7180E9F3" w14:textId="77777777" w:rsidR="009725D0" w:rsidRPr="00CA0394" w:rsidRDefault="009725D0" w:rsidP="009725D0">
      <w:pPr>
        <w:rPr>
          <w:rFonts w:eastAsia="Times New Roman" w:cstheme="minorHAnsi"/>
          <w:sz w:val="22"/>
          <w:szCs w:val="22"/>
        </w:rPr>
      </w:pPr>
    </w:p>
    <w:tbl>
      <w:tblPr>
        <w:tblW w:w="5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83"/>
        <w:gridCol w:w="542"/>
        <w:gridCol w:w="632"/>
        <w:gridCol w:w="719"/>
        <w:gridCol w:w="1439"/>
        <w:gridCol w:w="990"/>
        <w:gridCol w:w="810"/>
        <w:gridCol w:w="1081"/>
        <w:gridCol w:w="900"/>
        <w:gridCol w:w="1713"/>
        <w:gridCol w:w="807"/>
        <w:gridCol w:w="1081"/>
        <w:gridCol w:w="903"/>
        <w:gridCol w:w="1707"/>
      </w:tblGrid>
      <w:tr w:rsidR="00CA0394" w:rsidRPr="00CA0394" w14:paraId="5960F459" w14:textId="77777777" w:rsidTr="00CA0394">
        <w:trPr>
          <w:trHeight w:val="20"/>
          <w:jc w:val="center"/>
        </w:trPr>
        <w:tc>
          <w:tcPr>
            <w:tcW w:w="278" w:type="pct"/>
            <w:vMerge w:val="restart"/>
            <w:tcBorders>
              <w:top w:val="single" w:sz="18" w:space="0" w:color="auto"/>
              <w:left w:val="single" w:sz="18" w:space="0" w:color="auto"/>
              <w:right w:val="single" w:sz="18" w:space="0" w:color="auto"/>
            </w:tcBorders>
            <w:shd w:val="clear" w:color="auto" w:fill="F2F2F2" w:themeFill="background1" w:themeFillShade="F2"/>
            <w:vAlign w:val="center"/>
          </w:tcPr>
          <w:p w14:paraId="799BFA32" w14:textId="77777777" w:rsidR="009725D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ID</w:t>
            </w:r>
          </w:p>
        </w:tc>
        <w:tc>
          <w:tcPr>
            <w:tcW w:w="192" w:type="pct"/>
            <w:vMerge w:val="restart"/>
            <w:tcBorders>
              <w:top w:val="single" w:sz="18" w:space="0" w:color="auto"/>
              <w:left w:val="single" w:sz="18" w:space="0" w:color="auto"/>
            </w:tcBorders>
            <w:shd w:val="clear" w:color="auto" w:fill="F2F2F2" w:themeFill="background1" w:themeFillShade="F2"/>
            <w:tcMar>
              <w:top w:w="100" w:type="dxa"/>
              <w:left w:w="100" w:type="dxa"/>
              <w:bottom w:w="100" w:type="dxa"/>
              <w:right w:w="100" w:type="dxa"/>
            </w:tcMar>
            <w:vAlign w:val="center"/>
            <w:hideMark/>
          </w:tcPr>
          <w:p w14:paraId="6FDA5828" w14:textId="77777777" w:rsidR="009725D0" w:rsidRPr="00CA0394" w:rsidRDefault="009725D0" w:rsidP="00F46A12">
            <w:pPr>
              <w:jc w:val="center"/>
              <w:rPr>
                <w:rFonts w:eastAsia="Times New Roman" w:cstheme="minorHAnsi"/>
                <w:sz w:val="22"/>
                <w:szCs w:val="22"/>
              </w:rPr>
            </w:pPr>
            <w:r w:rsidRPr="00CA0394">
              <w:rPr>
                <w:rFonts w:eastAsia="Times New Roman" w:cstheme="minorHAnsi"/>
                <w:b/>
                <w:bCs/>
                <w:sz w:val="22"/>
                <w:szCs w:val="22"/>
              </w:rPr>
              <w:t>Sex</w:t>
            </w:r>
          </w:p>
        </w:tc>
        <w:tc>
          <w:tcPr>
            <w:tcW w:w="224" w:type="pct"/>
            <w:vMerge w:val="restart"/>
            <w:tcBorders>
              <w:top w:val="single" w:sz="18" w:space="0" w:color="auto"/>
            </w:tcBorders>
            <w:shd w:val="clear" w:color="auto" w:fill="F2F2F2" w:themeFill="background1" w:themeFillShade="F2"/>
            <w:tcMar>
              <w:top w:w="100" w:type="dxa"/>
              <w:left w:w="100" w:type="dxa"/>
              <w:bottom w:w="100" w:type="dxa"/>
              <w:right w:w="100" w:type="dxa"/>
            </w:tcMar>
            <w:vAlign w:val="center"/>
            <w:hideMark/>
          </w:tcPr>
          <w:p w14:paraId="2674EA72" w14:textId="77777777" w:rsidR="009725D0" w:rsidRPr="00CA0394" w:rsidRDefault="009725D0" w:rsidP="00F46A12">
            <w:pPr>
              <w:jc w:val="center"/>
              <w:rPr>
                <w:rFonts w:eastAsia="Times New Roman" w:cstheme="minorHAnsi"/>
                <w:sz w:val="22"/>
                <w:szCs w:val="22"/>
              </w:rPr>
            </w:pPr>
            <w:r w:rsidRPr="00CA0394">
              <w:rPr>
                <w:rFonts w:eastAsia="Times New Roman" w:cstheme="minorHAnsi"/>
                <w:b/>
                <w:bCs/>
                <w:sz w:val="22"/>
                <w:szCs w:val="22"/>
              </w:rPr>
              <w:t>Age</w:t>
            </w:r>
          </w:p>
        </w:tc>
        <w:tc>
          <w:tcPr>
            <w:tcW w:w="255" w:type="pct"/>
            <w:vMerge w:val="restart"/>
            <w:tcBorders>
              <w:top w:val="single" w:sz="18" w:space="0" w:color="auto"/>
            </w:tcBorders>
            <w:shd w:val="clear" w:color="auto" w:fill="F2F2F2" w:themeFill="background1" w:themeFillShade="F2"/>
            <w:vAlign w:val="center"/>
          </w:tcPr>
          <w:p w14:paraId="6E52F140" w14:textId="77777777" w:rsidR="009725D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Stroke Type</w:t>
            </w:r>
          </w:p>
        </w:tc>
        <w:tc>
          <w:tcPr>
            <w:tcW w:w="510" w:type="pct"/>
            <w:vMerge w:val="restart"/>
            <w:tcBorders>
              <w:top w:val="single" w:sz="18" w:space="0" w:color="auto"/>
            </w:tcBorders>
            <w:shd w:val="clear" w:color="auto" w:fill="F2F2F2" w:themeFill="background1" w:themeFillShade="F2"/>
            <w:vAlign w:val="center"/>
          </w:tcPr>
          <w:p w14:paraId="3F0C5E31" w14:textId="77777777" w:rsidR="006D7F7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Stroke Latency</w:t>
            </w:r>
          </w:p>
          <w:p w14:paraId="05BB9D38" w14:textId="6C9B476A" w:rsidR="006D7F7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at Adm</w:t>
            </w:r>
            <w:r w:rsidR="006D7F70" w:rsidRPr="00CA0394">
              <w:rPr>
                <w:rFonts w:eastAsia="Times New Roman" w:cstheme="minorHAnsi"/>
                <w:b/>
                <w:bCs/>
                <w:sz w:val="22"/>
                <w:szCs w:val="22"/>
              </w:rPr>
              <w:t>ission</w:t>
            </w:r>
          </w:p>
          <w:p w14:paraId="7EFE1C48" w14:textId="1C0F8DF1" w:rsidR="009725D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(days)</w:t>
            </w:r>
          </w:p>
        </w:tc>
        <w:tc>
          <w:tcPr>
            <w:tcW w:w="351" w:type="pct"/>
            <w:vMerge w:val="restart"/>
            <w:tcBorders>
              <w:top w:val="single" w:sz="18" w:space="0" w:color="auto"/>
              <w:right w:val="single" w:sz="18" w:space="0" w:color="auto"/>
            </w:tcBorders>
            <w:shd w:val="clear" w:color="auto" w:fill="F2F2F2" w:themeFill="background1" w:themeFillShade="F2"/>
            <w:vAlign w:val="center"/>
          </w:tcPr>
          <w:p w14:paraId="1DAA710C" w14:textId="1BC527B3" w:rsidR="006D7F70" w:rsidRPr="00CA0394" w:rsidRDefault="00861798" w:rsidP="00F46A12">
            <w:pPr>
              <w:jc w:val="center"/>
              <w:rPr>
                <w:rFonts w:eastAsia="Times New Roman" w:cstheme="minorHAnsi"/>
                <w:b/>
                <w:bCs/>
                <w:sz w:val="22"/>
                <w:szCs w:val="22"/>
              </w:rPr>
            </w:pPr>
            <w:r w:rsidRPr="00CA0394">
              <w:rPr>
                <w:rFonts w:eastAsia="Times New Roman" w:cstheme="minorHAnsi"/>
                <w:b/>
                <w:bCs/>
                <w:sz w:val="22"/>
                <w:szCs w:val="22"/>
              </w:rPr>
              <w:t>Duration Inpatient Stay</w:t>
            </w:r>
          </w:p>
          <w:p w14:paraId="758FF60E" w14:textId="78A1CC04" w:rsidR="009725D0" w:rsidRPr="00CA0394" w:rsidRDefault="009725D0" w:rsidP="0047125C">
            <w:pPr>
              <w:jc w:val="center"/>
              <w:rPr>
                <w:rFonts w:eastAsia="Times New Roman" w:cstheme="minorHAnsi"/>
                <w:b/>
                <w:bCs/>
                <w:sz w:val="22"/>
                <w:szCs w:val="22"/>
              </w:rPr>
            </w:pPr>
            <w:r w:rsidRPr="00CA0394">
              <w:rPr>
                <w:rFonts w:eastAsia="Times New Roman" w:cstheme="minorHAnsi"/>
                <w:b/>
                <w:bCs/>
                <w:sz w:val="22"/>
                <w:szCs w:val="22"/>
              </w:rPr>
              <w:t>(days)</w:t>
            </w:r>
          </w:p>
        </w:tc>
        <w:tc>
          <w:tcPr>
            <w:tcW w:w="1596" w:type="pct"/>
            <w:gridSpan w:val="4"/>
            <w:tcBorders>
              <w:top w:val="single" w:sz="18" w:space="0" w:color="auto"/>
              <w:left w:val="single" w:sz="18" w:space="0" w:color="auto"/>
              <w:right w:val="single" w:sz="18" w:space="0" w:color="auto"/>
            </w:tcBorders>
            <w:shd w:val="clear" w:color="auto" w:fill="F2F2F2" w:themeFill="background1" w:themeFillShade="F2"/>
            <w:vAlign w:val="center"/>
          </w:tcPr>
          <w:p w14:paraId="2EDF79B0" w14:textId="6E8B25A7" w:rsidR="009725D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Adm</w:t>
            </w:r>
            <w:r w:rsidR="006D7F70" w:rsidRPr="00CA0394">
              <w:rPr>
                <w:rFonts w:eastAsia="Times New Roman" w:cstheme="minorHAnsi"/>
                <w:b/>
                <w:bCs/>
                <w:sz w:val="22"/>
                <w:szCs w:val="22"/>
              </w:rPr>
              <w:t>ission</w:t>
            </w:r>
          </w:p>
        </w:tc>
        <w:tc>
          <w:tcPr>
            <w:tcW w:w="1594" w:type="pct"/>
            <w:gridSpan w:val="4"/>
            <w:tcBorders>
              <w:top w:val="single" w:sz="18" w:space="0" w:color="auto"/>
              <w:left w:val="single" w:sz="18" w:space="0" w:color="auto"/>
              <w:right w:val="single" w:sz="18" w:space="0" w:color="auto"/>
            </w:tcBorders>
            <w:shd w:val="clear" w:color="auto" w:fill="F2F2F2" w:themeFill="background1" w:themeFillShade="F2"/>
            <w:vAlign w:val="center"/>
          </w:tcPr>
          <w:p w14:paraId="4E4C1F7E" w14:textId="26F97B0C" w:rsidR="009725D0" w:rsidRPr="00CA0394" w:rsidRDefault="009725D0" w:rsidP="00F46A12">
            <w:pPr>
              <w:jc w:val="center"/>
              <w:rPr>
                <w:rFonts w:eastAsia="Times New Roman" w:cstheme="minorHAnsi"/>
                <w:b/>
                <w:bCs/>
                <w:sz w:val="22"/>
                <w:szCs w:val="22"/>
              </w:rPr>
            </w:pPr>
            <w:r w:rsidRPr="00CA0394">
              <w:rPr>
                <w:rFonts w:eastAsia="Times New Roman" w:cstheme="minorHAnsi"/>
                <w:b/>
                <w:bCs/>
                <w:sz w:val="22"/>
                <w:szCs w:val="22"/>
              </w:rPr>
              <w:t>Dis</w:t>
            </w:r>
            <w:r w:rsidR="006D7F70" w:rsidRPr="00CA0394">
              <w:rPr>
                <w:rFonts w:eastAsia="Times New Roman" w:cstheme="minorHAnsi"/>
                <w:b/>
                <w:bCs/>
                <w:sz w:val="22"/>
                <w:szCs w:val="22"/>
              </w:rPr>
              <w:t>charge</w:t>
            </w:r>
          </w:p>
        </w:tc>
      </w:tr>
      <w:tr w:rsidR="00CA0394" w:rsidRPr="00CA0394" w14:paraId="512D409A" w14:textId="77777777" w:rsidTr="00CA0394">
        <w:trPr>
          <w:trHeight w:val="20"/>
          <w:jc w:val="center"/>
        </w:trPr>
        <w:tc>
          <w:tcPr>
            <w:tcW w:w="278" w:type="pct"/>
            <w:vMerge/>
            <w:tcBorders>
              <w:left w:val="single" w:sz="18" w:space="0" w:color="auto"/>
              <w:bottom w:val="single" w:sz="18" w:space="0" w:color="auto"/>
              <w:right w:val="single" w:sz="18" w:space="0" w:color="auto"/>
            </w:tcBorders>
            <w:shd w:val="clear" w:color="auto" w:fill="F2F2F2" w:themeFill="background1" w:themeFillShade="F2"/>
            <w:vAlign w:val="center"/>
          </w:tcPr>
          <w:p w14:paraId="778AD06C" w14:textId="77777777" w:rsidR="009725D0" w:rsidRPr="00CA0394" w:rsidRDefault="009725D0" w:rsidP="00F46A12">
            <w:pPr>
              <w:jc w:val="center"/>
              <w:rPr>
                <w:rFonts w:cstheme="minorHAnsi"/>
                <w:b/>
                <w:sz w:val="22"/>
                <w:szCs w:val="22"/>
              </w:rPr>
            </w:pPr>
          </w:p>
        </w:tc>
        <w:tc>
          <w:tcPr>
            <w:tcW w:w="192" w:type="pct"/>
            <w:vMerge/>
            <w:tcBorders>
              <w:left w:val="single" w:sz="18" w:space="0" w:color="auto"/>
              <w:bottom w:val="single" w:sz="18" w:space="0" w:color="auto"/>
            </w:tcBorders>
            <w:shd w:val="clear" w:color="auto" w:fill="F2F2F2" w:themeFill="background1" w:themeFillShade="F2"/>
            <w:tcMar>
              <w:top w:w="100" w:type="dxa"/>
              <w:left w:w="100" w:type="dxa"/>
              <w:bottom w:w="100" w:type="dxa"/>
              <w:right w:w="100" w:type="dxa"/>
            </w:tcMar>
            <w:vAlign w:val="center"/>
          </w:tcPr>
          <w:p w14:paraId="236AB420" w14:textId="77777777" w:rsidR="009725D0" w:rsidRPr="00CA0394" w:rsidRDefault="009725D0" w:rsidP="00F46A12">
            <w:pPr>
              <w:jc w:val="center"/>
              <w:rPr>
                <w:rFonts w:eastAsia="Times New Roman" w:cstheme="minorHAnsi"/>
                <w:sz w:val="22"/>
                <w:szCs w:val="22"/>
              </w:rPr>
            </w:pPr>
          </w:p>
        </w:tc>
        <w:tc>
          <w:tcPr>
            <w:tcW w:w="224" w:type="pct"/>
            <w:vMerge/>
            <w:tcBorders>
              <w:bottom w:val="single" w:sz="18" w:space="0" w:color="auto"/>
            </w:tcBorders>
            <w:shd w:val="clear" w:color="auto" w:fill="F2F2F2" w:themeFill="background1" w:themeFillShade="F2"/>
            <w:tcMar>
              <w:top w:w="100" w:type="dxa"/>
              <w:left w:w="100" w:type="dxa"/>
              <w:bottom w:w="100" w:type="dxa"/>
              <w:right w:w="100" w:type="dxa"/>
            </w:tcMar>
            <w:vAlign w:val="center"/>
          </w:tcPr>
          <w:p w14:paraId="4F8CF0E3" w14:textId="77777777" w:rsidR="009725D0" w:rsidRPr="00CA0394" w:rsidRDefault="009725D0" w:rsidP="00F46A12">
            <w:pPr>
              <w:jc w:val="center"/>
              <w:rPr>
                <w:rFonts w:eastAsia="Times New Roman" w:cstheme="minorHAnsi"/>
                <w:sz w:val="22"/>
                <w:szCs w:val="22"/>
              </w:rPr>
            </w:pPr>
          </w:p>
        </w:tc>
        <w:tc>
          <w:tcPr>
            <w:tcW w:w="255" w:type="pct"/>
            <w:vMerge/>
            <w:tcBorders>
              <w:bottom w:val="single" w:sz="18" w:space="0" w:color="auto"/>
            </w:tcBorders>
            <w:shd w:val="clear" w:color="auto" w:fill="F2F2F2" w:themeFill="background1" w:themeFillShade="F2"/>
            <w:vAlign w:val="center"/>
          </w:tcPr>
          <w:p w14:paraId="6D021652" w14:textId="77777777" w:rsidR="009725D0" w:rsidRPr="00CA0394" w:rsidRDefault="009725D0" w:rsidP="00F46A12">
            <w:pPr>
              <w:jc w:val="center"/>
              <w:rPr>
                <w:rFonts w:eastAsia="Times New Roman" w:cstheme="minorHAnsi"/>
                <w:sz w:val="22"/>
                <w:szCs w:val="22"/>
              </w:rPr>
            </w:pPr>
          </w:p>
        </w:tc>
        <w:tc>
          <w:tcPr>
            <w:tcW w:w="510" w:type="pct"/>
            <w:vMerge/>
            <w:tcBorders>
              <w:bottom w:val="single" w:sz="18" w:space="0" w:color="auto"/>
            </w:tcBorders>
            <w:shd w:val="clear" w:color="auto" w:fill="F2F2F2" w:themeFill="background1" w:themeFillShade="F2"/>
            <w:vAlign w:val="center"/>
          </w:tcPr>
          <w:p w14:paraId="041F2A2D" w14:textId="77777777" w:rsidR="009725D0" w:rsidRPr="00CA0394" w:rsidRDefault="009725D0" w:rsidP="00F46A12">
            <w:pPr>
              <w:jc w:val="center"/>
              <w:rPr>
                <w:rFonts w:eastAsia="Times New Roman" w:cstheme="minorHAnsi"/>
                <w:sz w:val="22"/>
                <w:szCs w:val="22"/>
              </w:rPr>
            </w:pPr>
          </w:p>
        </w:tc>
        <w:tc>
          <w:tcPr>
            <w:tcW w:w="351" w:type="pct"/>
            <w:vMerge/>
            <w:tcBorders>
              <w:bottom w:val="single" w:sz="18" w:space="0" w:color="auto"/>
              <w:right w:val="single" w:sz="18" w:space="0" w:color="auto"/>
            </w:tcBorders>
            <w:shd w:val="clear" w:color="auto" w:fill="F2F2F2" w:themeFill="background1" w:themeFillShade="F2"/>
            <w:vAlign w:val="center"/>
          </w:tcPr>
          <w:p w14:paraId="3AA1A07E" w14:textId="77777777" w:rsidR="009725D0" w:rsidRPr="00CA0394" w:rsidRDefault="009725D0" w:rsidP="00F46A12">
            <w:pPr>
              <w:jc w:val="center"/>
              <w:rPr>
                <w:rFonts w:eastAsia="Times New Roman" w:cstheme="minorHAnsi"/>
                <w:sz w:val="22"/>
                <w:szCs w:val="22"/>
              </w:rPr>
            </w:pPr>
          </w:p>
        </w:tc>
        <w:tc>
          <w:tcPr>
            <w:tcW w:w="287" w:type="pct"/>
            <w:tcBorders>
              <w:left w:val="single" w:sz="18" w:space="0" w:color="auto"/>
              <w:bottom w:val="single" w:sz="18" w:space="0" w:color="auto"/>
            </w:tcBorders>
            <w:shd w:val="clear" w:color="auto" w:fill="F2F2F2" w:themeFill="background1" w:themeFillShade="F2"/>
            <w:vAlign w:val="center"/>
          </w:tcPr>
          <w:p w14:paraId="6596D8B0"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MASA</w:t>
            </w:r>
          </w:p>
          <w:p w14:paraId="6703CCC0"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TNS</w:t>
            </w:r>
          </w:p>
        </w:tc>
        <w:tc>
          <w:tcPr>
            <w:tcW w:w="383" w:type="pct"/>
            <w:tcBorders>
              <w:bottom w:val="single" w:sz="18" w:space="0" w:color="auto"/>
            </w:tcBorders>
            <w:shd w:val="clear" w:color="auto" w:fill="F2F2F2" w:themeFill="background1" w:themeFillShade="F2"/>
            <w:vAlign w:val="center"/>
          </w:tcPr>
          <w:p w14:paraId="17D2C269"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MASA</w:t>
            </w:r>
          </w:p>
          <w:p w14:paraId="0B78F5C3" w14:textId="07AFC370"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Dys</w:t>
            </w:r>
            <w:r w:rsidR="006D7F70" w:rsidRPr="00CA0394">
              <w:rPr>
                <w:rFonts w:eastAsia="Times New Roman" w:cstheme="minorHAnsi"/>
                <w:i/>
                <w:sz w:val="22"/>
                <w:szCs w:val="22"/>
              </w:rPr>
              <w:t>phagia</w:t>
            </w:r>
          </w:p>
          <w:p w14:paraId="3A78F57C"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Severity</w:t>
            </w:r>
          </w:p>
        </w:tc>
        <w:tc>
          <w:tcPr>
            <w:tcW w:w="319" w:type="pct"/>
            <w:tcBorders>
              <w:bottom w:val="single" w:sz="18" w:space="0" w:color="auto"/>
            </w:tcBorders>
            <w:shd w:val="clear" w:color="auto" w:fill="F2F2F2" w:themeFill="background1" w:themeFillShade="F2"/>
            <w:vAlign w:val="center"/>
          </w:tcPr>
          <w:p w14:paraId="4D6E6000"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MASA</w:t>
            </w:r>
          </w:p>
          <w:p w14:paraId="1E65C48E"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ORR</w:t>
            </w:r>
          </w:p>
        </w:tc>
        <w:tc>
          <w:tcPr>
            <w:tcW w:w="607" w:type="pct"/>
            <w:tcBorders>
              <w:bottom w:val="single" w:sz="18" w:space="0" w:color="auto"/>
              <w:right w:val="single" w:sz="18" w:space="0" w:color="auto"/>
            </w:tcBorders>
            <w:shd w:val="clear" w:color="auto" w:fill="F2F2F2" w:themeFill="background1" w:themeFillShade="F2"/>
            <w:vAlign w:val="center"/>
          </w:tcPr>
          <w:p w14:paraId="0C6123F2" w14:textId="7590CD00" w:rsidR="006D7F70" w:rsidRPr="00CA0394" w:rsidRDefault="00B2631E" w:rsidP="0047125C">
            <w:pPr>
              <w:jc w:val="center"/>
              <w:rPr>
                <w:rFonts w:eastAsia="Times New Roman" w:cstheme="minorHAnsi"/>
                <w:i/>
                <w:sz w:val="22"/>
                <w:szCs w:val="22"/>
              </w:rPr>
            </w:pPr>
            <w:r w:rsidRPr="00CA0394">
              <w:rPr>
                <w:rFonts w:eastAsia="Times New Roman" w:cstheme="minorHAnsi"/>
                <w:i/>
                <w:sz w:val="22"/>
                <w:szCs w:val="22"/>
              </w:rPr>
              <w:t>Physician-ordered</w:t>
            </w:r>
          </w:p>
          <w:p w14:paraId="41324C49" w14:textId="4809371B" w:rsidR="009725D0" w:rsidRPr="00CA0394" w:rsidRDefault="009725D0" w:rsidP="0047125C">
            <w:pPr>
              <w:jc w:val="center"/>
              <w:rPr>
                <w:rFonts w:eastAsia="Times New Roman" w:cstheme="minorHAnsi"/>
                <w:i/>
                <w:sz w:val="22"/>
                <w:szCs w:val="22"/>
              </w:rPr>
            </w:pPr>
            <w:r w:rsidRPr="00CA0394">
              <w:rPr>
                <w:rFonts w:eastAsia="Times New Roman" w:cstheme="minorHAnsi"/>
                <w:i/>
                <w:sz w:val="22"/>
                <w:szCs w:val="22"/>
              </w:rPr>
              <w:t>Diet</w:t>
            </w:r>
            <w:r w:rsidR="004B2B25" w:rsidRPr="00CA0394">
              <w:rPr>
                <w:rFonts w:eastAsia="Times New Roman" w:cstheme="minorHAnsi"/>
                <w:i/>
                <w:sz w:val="22"/>
                <w:szCs w:val="22"/>
              </w:rPr>
              <w:t xml:space="preserve"> </w:t>
            </w:r>
            <w:r w:rsidR="00104076" w:rsidRPr="00CA0394">
              <w:rPr>
                <w:rFonts w:eastAsia="Times New Roman" w:cstheme="minorHAnsi"/>
                <w:i/>
                <w:sz w:val="22"/>
                <w:szCs w:val="22"/>
              </w:rPr>
              <w:fldChar w:fldCharType="begin" w:fldLock="1"/>
            </w:r>
            <w:r w:rsidR="008A4EF6">
              <w:rPr>
                <w:rFonts w:eastAsia="Times New Roman" w:cstheme="minorHAnsi"/>
                <w:i/>
                <w:sz w:val="22"/>
                <w:szCs w:val="22"/>
              </w:rPr>
              <w:instrText>ADDIN CSL_CITATION {"citationItems":[{"id":"ITEM-1","itemData":{"URL":"https://iddsi.org/framework/","author":[{"dropping-particle":"","family":"The International Dysphagia Diet Standardisation Initiative","given":"","non-dropping-particle":"","parse-names":false,"suffix":""}],"id":"ITEM-1","issued":{"date-parts":[["2019"]]},"title":"IDDSI Framework","type":"webpage"},"uris":["http://www.mendeley.com/documents/?uuid=b0415e4c-6212-484f-a6ff-c0927b511f58"]}],"mendeley":{"formattedCitation":"[23]","plainTextFormattedCitation":"[23]","previouslyFormattedCitation":"[23]"},"properties":{"noteIndex":0},"schema":"https://github.com/citation-style-language/schema/raw/master/csl-citation.json"}</w:instrText>
            </w:r>
            <w:r w:rsidR="00104076" w:rsidRPr="00CA0394">
              <w:rPr>
                <w:rFonts w:eastAsia="Times New Roman" w:cstheme="minorHAnsi"/>
                <w:i/>
                <w:sz w:val="22"/>
                <w:szCs w:val="22"/>
              </w:rPr>
              <w:fldChar w:fldCharType="separate"/>
            </w:r>
            <w:r w:rsidR="008A4EF6" w:rsidRPr="008A4EF6">
              <w:rPr>
                <w:rFonts w:eastAsia="Times New Roman" w:cstheme="minorHAnsi"/>
                <w:noProof/>
                <w:sz w:val="22"/>
                <w:szCs w:val="22"/>
              </w:rPr>
              <w:t>[23]</w:t>
            </w:r>
            <w:r w:rsidR="00104076" w:rsidRPr="00CA0394">
              <w:rPr>
                <w:rFonts w:eastAsia="Times New Roman" w:cstheme="minorHAnsi"/>
                <w:i/>
                <w:sz w:val="22"/>
                <w:szCs w:val="22"/>
              </w:rPr>
              <w:fldChar w:fldCharType="end"/>
            </w:r>
          </w:p>
        </w:tc>
        <w:tc>
          <w:tcPr>
            <w:tcW w:w="286" w:type="pct"/>
            <w:tcBorders>
              <w:left w:val="single" w:sz="18" w:space="0" w:color="auto"/>
              <w:bottom w:val="single" w:sz="18" w:space="0" w:color="auto"/>
            </w:tcBorders>
            <w:shd w:val="clear" w:color="auto" w:fill="F2F2F2" w:themeFill="background1" w:themeFillShade="F2"/>
            <w:vAlign w:val="center"/>
          </w:tcPr>
          <w:p w14:paraId="41A5580C"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MASA</w:t>
            </w:r>
          </w:p>
          <w:p w14:paraId="7F2FA1CB"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TNS</w:t>
            </w:r>
          </w:p>
        </w:tc>
        <w:tc>
          <w:tcPr>
            <w:tcW w:w="383" w:type="pct"/>
            <w:tcBorders>
              <w:bottom w:val="single" w:sz="18" w:space="0" w:color="auto"/>
            </w:tcBorders>
            <w:shd w:val="clear" w:color="auto" w:fill="F2F2F2" w:themeFill="background1" w:themeFillShade="F2"/>
            <w:vAlign w:val="center"/>
          </w:tcPr>
          <w:p w14:paraId="615ED5FD"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MASA</w:t>
            </w:r>
          </w:p>
          <w:p w14:paraId="0E4444D2" w14:textId="01570429"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Dys</w:t>
            </w:r>
            <w:r w:rsidR="006D7F70" w:rsidRPr="00CA0394">
              <w:rPr>
                <w:rFonts w:eastAsia="Times New Roman" w:cstheme="minorHAnsi"/>
                <w:i/>
                <w:sz w:val="22"/>
                <w:szCs w:val="22"/>
              </w:rPr>
              <w:t>phagia</w:t>
            </w:r>
          </w:p>
          <w:p w14:paraId="6C10F411"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Severity</w:t>
            </w:r>
          </w:p>
        </w:tc>
        <w:tc>
          <w:tcPr>
            <w:tcW w:w="320" w:type="pct"/>
            <w:tcBorders>
              <w:bottom w:val="single" w:sz="18" w:space="0" w:color="auto"/>
            </w:tcBorders>
            <w:shd w:val="clear" w:color="auto" w:fill="F2F2F2" w:themeFill="background1" w:themeFillShade="F2"/>
            <w:vAlign w:val="center"/>
          </w:tcPr>
          <w:p w14:paraId="617030D3"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MASA</w:t>
            </w:r>
          </w:p>
          <w:p w14:paraId="280E0A36" w14:textId="77777777" w:rsidR="009725D0" w:rsidRPr="00CA0394" w:rsidRDefault="009725D0" w:rsidP="00F46A12">
            <w:pPr>
              <w:jc w:val="center"/>
              <w:rPr>
                <w:rFonts w:eastAsia="Times New Roman" w:cstheme="minorHAnsi"/>
                <w:i/>
                <w:sz w:val="22"/>
                <w:szCs w:val="22"/>
              </w:rPr>
            </w:pPr>
            <w:r w:rsidRPr="00CA0394">
              <w:rPr>
                <w:rFonts w:eastAsia="Times New Roman" w:cstheme="minorHAnsi"/>
                <w:i/>
                <w:sz w:val="22"/>
                <w:szCs w:val="22"/>
              </w:rPr>
              <w:t>ORR</w:t>
            </w:r>
          </w:p>
        </w:tc>
        <w:tc>
          <w:tcPr>
            <w:tcW w:w="605" w:type="pct"/>
            <w:tcBorders>
              <w:bottom w:val="single" w:sz="18" w:space="0" w:color="auto"/>
              <w:right w:val="single" w:sz="18" w:space="0" w:color="auto"/>
            </w:tcBorders>
            <w:shd w:val="clear" w:color="auto" w:fill="F2F2F2" w:themeFill="background1" w:themeFillShade="F2"/>
            <w:vAlign w:val="center"/>
          </w:tcPr>
          <w:p w14:paraId="4AF057EA" w14:textId="02ACF61D" w:rsidR="006D7F70" w:rsidRPr="00CA0394" w:rsidRDefault="00B2631E" w:rsidP="0047125C">
            <w:pPr>
              <w:jc w:val="center"/>
              <w:rPr>
                <w:rFonts w:eastAsia="Times New Roman" w:cstheme="minorHAnsi"/>
                <w:i/>
                <w:sz w:val="22"/>
                <w:szCs w:val="22"/>
              </w:rPr>
            </w:pPr>
            <w:r w:rsidRPr="00CA0394">
              <w:rPr>
                <w:rFonts w:eastAsia="Times New Roman" w:cstheme="minorHAnsi"/>
                <w:i/>
                <w:sz w:val="22"/>
                <w:szCs w:val="22"/>
              </w:rPr>
              <w:t>Physician-ordered</w:t>
            </w:r>
          </w:p>
          <w:p w14:paraId="3DAA8140" w14:textId="2BB7A176" w:rsidR="009725D0" w:rsidRPr="00CA0394" w:rsidRDefault="009725D0" w:rsidP="0047125C">
            <w:pPr>
              <w:jc w:val="center"/>
              <w:rPr>
                <w:rFonts w:eastAsia="Times New Roman" w:cstheme="minorHAnsi"/>
                <w:i/>
                <w:sz w:val="22"/>
                <w:szCs w:val="22"/>
              </w:rPr>
            </w:pPr>
            <w:r w:rsidRPr="00CA0394">
              <w:rPr>
                <w:rFonts w:eastAsia="Times New Roman" w:cstheme="minorHAnsi"/>
                <w:i/>
                <w:sz w:val="22"/>
                <w:szCs w:val="22"/>
              </w:rPr>
              <w:t>Diet</w:t>
            </w:r>
            <w:r w:rsidR="004B2B25" w:rsidRPr="00CA0394">
              <w:rPr>
                <w:rFonts w:eastAsia="Times New Roman" w:cstheme="minorHAnsi"/>
                <w:i/>
                <w:sz w:val="22"/>
                <w:szCs w:val="22"/>
              </w:rPr>
              <w:t xml:space="preserve"> </w:t>
            </w:r>
            <w:r w:rsidR="00104076" w:rsidRPr="00CA0394">
              <w:rPr>
                <w:rFonts w:eastAsia="Times New Roman" w:cstheme="minorHAnsi"/>
                <w:i/>
                <w:sz w:val="22"/>
                <w:szCs w:val="22"/>
              </w:rPr>
              <w:fldChar w:fldCharType="begin" w:fldLock="1"/>
            </w:r>
            <w:r w:rsidR="008A4EF6">
              <w:rPr>
                <w:rFonts w:eastAsia="Times New Roman" w:cstheme="minorHAnsi"/>
                <w:i/>
                <w:sz w:val="22"/>
                <w:szCs w:val="22"/>
              </w:rPr>
              <w:instrText>ADDIN CSL_CITATION {"citationItems":[{"id":"ITEM-1","itemData":{"URL":"https://iddsi.org/framework/","author":[{"dropping-particle":"","family":"The International Dysphagia Diet Standardisation Initiative","given":"","non-dropping-particle":"","parse-names":false,"suffix":""}],"id":"ITEM-1","issued":{"date-parts":[["2019"]]},"title":"IDDSI Framework","type":"webpage"},"uris":["http://www.mendeley.com/documents/?uuid=b0415e4c-6212-484f-a6ff-c0927b511f58"]}],"mendeley":{"formattedCitation":"[23]","plainTextFormattedCitation":"[23]","previouslyFormattedCitation":"[23]"},"properties":{"noteIndex":0},"schema":"https://github.com/citation-style-language/schema/raw/master/csl-citation.json"}</w:instrText>
            </w:r>
            <w:r w:rsidR="00104076" w:rsidRPr="00CA0394">
              <w:rPr>
                <w:rFonts w:eastAsia="Times New Roman" w:cstheme="minorHAnsi"/>
                <w:i/>
                <w:sz w:val="22"/>
                <w:szCs w:val="22"/>
              </w:rPr>
              <w:fldChar w:fldCharType="separate"/>
            </w:r>
            <w:r w:rsidR="008A4EF6" w:rsidRPr="008A4EF6">
              <w:rPr>
                <w:rFonts w:eastAsia="Times New Roman" w:cstheme="minorHAnsi"/>
                <w:noProof/>
                <w:sz w:val="22"/>
                <w:szCs w:val="22"/>
              </w:rPr>
              <w:t>[23]</w:t>
            </w:r>
            <w:r w:rsidR="00104076" w:rsidRPr="00CA0394">
              <w:rPr>
                <w:rFonts w:eastAsia="Times New Roman" w:cstheme="minorHAnsi"/>
                <w:i/>
                <w:sz w:val="22"/>
                <w:szCs w:val="22"/>
              </w:rPr>
              <w:fldChar w:fldCharType="end"/>
            </w:r>
          </w:p>
        </w:tc>
      </w:tr>
      <w:tr w:rsidR="00CA0394" w:rsidRPr="00CA0394" w14:paraId="72D4910F" w14:textId="77777777" w:rsidTr="00CA0394">
        <w:trPr>
          <w:trHeight w:val="20"/>
          <w:jc w:val="center"/>
        </w:trPr>
        <w:tc>
          <w:tcPr>
            <w:tcW w:w="278" w:type="pct"/>
            <w:tcBorders>
              <w:top w:val="single" w:sz="18" w:space="0" w:color="auto"/>
              <w:left w:val="single" w:sz="18" w:space="0" w:color="auto"/>
              <w:right w:val="single" w:sz="18" w:space="0" w:color="auto"/>
            </w:tcBorders>
            <w:vAlign w:val="center"/>
          </w:tcPr>
          <w:p w14:paraId="5014314E" w14:textId="77777777" w:rsidR="009725D0" w:rsidRPr="00CA0394" w:rsidRDefault="009725D0" w:rsidP="00F46A12">
            <w:pPr>
              <w:jc w:val="center"/>
              <w:rPr>
                <w:rFonts w:cstheme="minorHAnsi"/>
                <w:b/>
                <w:sz w:val="22"/>
                <w:szCs w:val="22"/>
              </w:rPr>
            </w:pPr>
            <w:r w:rsidRPr="00CA0394">
              <w:rPr>
                <w:rFonts w:cstheme="minorHAnsi"/>
                <w:b/>
                <w:sz w:val="22"/>
                <w:szCs w:val="22"/>
              </w:rPr>
              <w:t>SS02</w:t>
            </w:r>
          </w:p>
        </w:tc>
        <w:tc>
          <w:tcPr>
            <w:tcW w:w="192" w:type="pct"/>
            <w:tcBorders>
              <w:top w:val="single" w:sz="18" w:space="0" w:color="auto"/>
              <w:left w:val="single" w:sz="18" w:space="0" w:color="auto"/>
            </w:tcBorders>
            <w:tcMar>
              <w:top w:w="100" w:type="dxa"/>
              <w:left w:w="100" w:type="dxa"/>
              <w:bottom w:w="100" w:type="dxa"/>
              <w:right w:w="100" w:type="dxa"/>
            </w:tcMar>
            <w:vAlign w:val="center"/>
          </w:tcPr>
          <w:p w14:paraId="31B4639D"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F</w:t>
            </w:r>
          </w:p>
        </w:tc>
        <w:tc>
          <w:tcPr>
            <w:tcW w:w="224" w:type="pct"/>
            <w:tcBorders>
              <w:top w:val="single" w:sz="18" w:space="0" w:color="auto"/>
            </w:tcBorders>
            <w:tcMar>
              <w:top w:w="100" w:type="dxa"/>
              <w:left w:w="100" w:type="dxa"/>
              <w:bottom w:w="100" w:type="dxa"/>
              <w:right w:w="100" w:type="dxa"/>
            </w:tcMar>
            <w:vAlign w:val="center"/>
          </w:tcPr>
          <w:p w14:paraId="705E558C"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59</w:t>
            </w:r>
          </w:p>
        </w:tc>
        <w:tc>
          <w:tcPr>
            <w:tcW w:w="255" w:type="pct"/>
            <w:tcBorders>
              <w:top w:val="single" w:sz="18" w:space="0" w:color="auto"/>
            </w:tcBorders>
            <w:vAlign w:val="center"/>
          </w:tcPr>
          <w:p w14:paraId="6E04E20E"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HEM</w:t>
            </w:r>
          </w:p>
        </w:tc>
        <w:tc>
          <w:tcPr>
            <w:tcW w:w="510" w:type="pct"/>
            <w:tcBorders>
              <w:top w:val="single" w:sz="18" w:space="0" w:color="auto"/>
            </w:tcBorders>
            <w:vAlign w:val="center"/>
          </w:tcPr>
          <w:p w14:paraId="4C611936"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33</w:t>
            </w:r>
          </w:p>
        </w:tc>
        <w:tc>
          <w:tcPr>
            <w:tcW w:w="351" w:type="pct"/>
            <w:tcBorders>
              <w:top w:val="single" w:sz="18" w:space="0" w:color="auto"/>
              <w:right w:val="single" w:sz="18" w:space="0" w:color="auto"/>
            </w:tcBorders>
            <w:vAlign w:val="center"/>
          </w:tcPr>
          <w:p w14:paraId="44111CA3"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23</w:t>
            </w:r>
          </w:p>
        </w:tc>
        <w:tc>
          <w:tcPr>
            <w:tcW w:w="287" w:type="pct"/>
            <w:tcBorders>
              <w:top w:val="single" w:sz="18" w:space="0" w:color="auto"/>
              <w:left w:val="single" w:sz="18" w:space="0" w:color="auto"/>
            </w:tcBorders>
            <w:vAlign w:val="center"/>
          </w:tcPr>
          <w:p w14:paraId="5F8461E5"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174</w:t>
            </w:r>
          </w:p>
        </w:tc>
        <w:tc>
          <w:tcPr>
            <w:tcW w:w="383" w:type="pct"/>
            <w:tcBorders>
              <w:top w:val="single" w:sz="18" w:space="0" w:color="auto"/>
            </w:tcBorders>
            <w:vAlign w:val="center"/>
          </w:tcPr>
          <w:p w14:paraId="74AC6F5F"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Mild</w:t>
            </w:r>
          </w:p>
        </w:tc>
        <w:tc>
          <w:tcPr>
            <w:tcW w:w="319" w:type="pct"/>
            <w:tcBorders>
              <w:top w:val="single" w:sz="18" w:space="0" w:color="auto"/>
            </w:tcBorders>
            <w:vAlign w:val="center"/>
          </w:tcPr>
          <w:p w14:paraId="16397FE8"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Unlikely</w:t>
            </w:r>
          </w:p>
        </w:tc>
        <w:tc>
          <w:tcPr>
            <w:tcW w:w="607" w:type="pct"/>
            <w:tcBorders>
              <w:top w:val="single" w:sz="18" w:space="0" w:color="auto"/>
              <w:right w:val="single" w:sz="18" w:space="0" w:color="auto"/>
            </w:tcBorders>
            <w:vAlign w:val="center"/>
          </w:tcPr>
          <w:p w14:paraId="36ECAC71"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Regular solid;</w:t>
            </w:r>
          </w:p>
          <w:p w14:paraId="30A037A1"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Thin liquid</w:t>
            </w:r>
          </w:p>
        </w:tc>
        <w:tc>
          <w:tcPr>
            <w:tcW w:w="286" w:type="pct"/>
            <w:tcBorders>
              <w:top w:val="single" w:sz="18" w:space="0" w:color="auto"/>
              <w:left w:val="single" w:sz="18" w:space="0" w:color="auto"/>
            </w:tcBorders>
            <w:vAlign w:val="center"/>
          </w:tcPr>
          <w:p w14:paraId="0D82E765"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186</w:t>
            </w:r>
          </w:p>
        </w:tc>
        <w:tc>
          <w:tcPr>
            <w:tcW w:w="383" w:type="pct"/>
            <w:tcBorders>
              <w:top w:val="single" w:sz="18" w:space="0" w:color="auto"/>
            </w:tcBorders>
            <w:vAlign w:val="center"/>
          </w:tcPr>
          <w:p w14:paraId="71F3C13D"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None</w:t>
            </w:r>
          </w:p>
        </w:tc>
        <w:tc>
          <w:tcPr>
            <w:tcW w:w="320" w:type="pct"/>
            <w:tcBorders>
              <w:top w:val="single" w:sz="18" w:space="0" w:color="auto"/>
            </w:tcBorders>
            <w:vAlign w:val="center"/>
          </w:tcPr>
          <w:p w14:paraId="2F49402A"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Unlikely</w:t>
            </w:r>
          </w:p>
        </w:tc>
        <w:tc>
          <w:tcPr>
            <w:tcW w:w="605" w:type="pct"/>
            <w:tcBorders>
              <w:top w:val="single" w:sz="18" w:space="0" w:color="auto"/>
              <w:right w:val="single" w:sz="18" w:space="0" w:color="auto"/>
            </w:tcBorders>
            <w:vAlign w:val="center"/>
          </w:tcPr>
          <w:p w14:paraId="282F609A"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Regular solid;</w:t>
            </w:r>
          </w:p>
          <w:p w14:paraId="3C99C984" w14:textId="77777777" w:rsidR="009725D0" w:rsidRPr="00CA0394" w:rsidRDefault="009725D0" w:rsidP="00F46A12">
            <w:pPr>
              <w:jc w:val="center"/>
              <w:rPr>
                <w:rFonts w:eastAsia="Times New Roman" w:cstheme="minorHAnsi"/>
                <w:sz w:val="22"/>
                <w:szCs w:val="22"/>
              </w:rPr>
            </w:pPr>
            <w:r w:rsidRPr="00CA0394">
              <w:rPr>
                <w:rFonts w:eastAsia="Times New Roman" w:cstheme="minorHAnsi"/>
                <w:sz w:val="22"/>
                <w:szCs w:val="22"/>
              </w:rPr>
              <w:t>Thin liquid</w:t>
            </w:r>
          </w:p>
        </w:tc>
      </w:tr>
      <w:tr w:rsidR="00CA0394" w:rsidRPr="00CA0394" w14:paraId="01468FD6" w14:textId="77777777" w:rsidTr="00CA0394">
        <w:trPr>
          <w:trHeight w:val="20"/>
          <w:jc w:val="center"/>
        </w:trPr>
        <w:tc>
          <w:tcPr>
            <w:tcW w:w="278" w:type="pct"/>
            <w:tcBorders>
              <w:left w:val="single" w:sz="18" w:space="0" w:color="auto"/>
              <w:right w:val="single" w:sz="18" w:space="0" w:color="auto"/>
            </w:tcBorders>
            <w:vAlign w:val="center"/>
          </w:tcPr>
          <w:p w14:paraId="5FCDF0EC" w14:textId="579A1B29" w:rsidR="009725D0" w:rsidRPr="00CA0394" w:rsidRDefault="009725D0" w:rsidP="00F46A12">
            <w:pPr>
              <w:jc w:val="center"/>
              <w:rPr>
                <w:rFonts w:cstheme="minorHAnsi"/>
                <w:b/>
                <w:sz w:val="22"/>
                <w:szCs w:val="22"/>
              </w:rPr>
            </w:pPr>
            <w:r w:rsidRPr="00CA0394">
              <w:rPr>
                <w:rFonts w:cstheme="minorHAnsi"/>
                <w:b/>
                <w:sz w:val="22"/>
                <w:szCs w:val="22"/>
              </w:rPr>
              <w:t>SS05</w:t>
            </w:r>
            <w:r w:rsidR="00041BEF" w:rsidRPr="00CA0394">
              <w:rPr>
                <w:rFonts w:cstheme="minorHAnsi"/>
                <w:b/>
                <w:sz w:val="22"/>
                <w:szCs w:val="22"/>
              </w:rPr>
              <w:t>*</w:t>
            </w:r>
          </w:p>
        </w:tc>
        <w:tc>
          <w:tcPr>
            <w:tcW w:w="192" w:type="pct"/>
            <w:tcBorders>
              <w:left w:val="single" w:sz="18" w:space="0" w:color="auto"/>
            </w:tcBorders>
            <w:tcMar>
              <w:top w:w="100" w:type="dxa"/>
              <w:left w:w="100" w:type="dxa"/>
              <w:bottom w:w="100" w:type="dxa"/>
              <w:right w:w="100" w:type="dxa"/>
            </w:tcMar>
            <w:vAlign w:val="center"/>
          </w:tcPr>
          <w:p w14:paraId="7AA06CF7" w14:textId="1C7600FB" w:rsidR="000C21D9" w:rsidRPr="00CA0394" w:rsidRDefault="000C21D9" w:rsidP="000C21D9">
            <w:pPr>
              <w:jc w:val="center"/>
              <w:rPr>
                <w:rFonts w:eastAsia="Times New Roman" w:cstheme="minorHAnsi"/>
                <w:sz w:val="22"/>
                <w:szCs w:val="22"/>
              </w:rPr>
            </w:pPr>
            <w:r w:rsidRPr="00CA0394">
              <w:rPr>
                <w:rFonts w:eastAsia="Times New Roman" w:cstheme="minorHAnsi"/>
                <w:sz w:val="22"/>
                <w:szCs w:val="22"/>
              </w:rPr>
              <w:t>M</w:t>
            </w:r>
          </w:p>
        </w:tc>
        <w:tc>
          <w:tcPr>
            <w:tcW w:w="224" w:type="pct"/>
            <w:tcMar>
              <w:top w:w="100" w:type="dxa"/>
              <w:left w:w="100" w:type="dxa"/>
              <w:bottom w:w="100" w:type="dxa"/>
              <w:right w:w="100" w:type="dxa"/>
            </w:tcMar>
            <w:vAlign w:val="center"/>
          </w:tcPr>
          <w:p w14:paraId="77813AC2" w14:textId="7E9E415E"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76</w:t>
            </w:r>
          </w:p>
        </w:tc>
        <w:tc>
          <w:tcPr>
            <w:tcW w:w="255" w:type="pct"/>
            <w:vAlign w:val="center"/>
          </w:tcPr>
          <w:p w14:paraId="33B82E92" w14:textId="7F773EF9"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HEM</w:t>
            </w:r>
          </w:p>
        </w:tc>
        <w:tc>
          <w:tcPr>
            <w:tcW w:w="510" w:type="pct"/>
            <w:vAlign w:val="center"/>
          </w:tcPr>
          <w:p w14:paraId="3BDF67E3" w14:textId="6CB3C5DE"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39</w:t>
            </w:r>
          </w:p>
        </w:tc>
        <w:tc>
          <w:tcPr>
            <w:tcW w:w="351" w:type="pct"/>
            <w:tcBorders>
              <w:right w:val="single" w:sz="18" w:space="0" w:color="auto"/>
            </w:tcBorders>
            <w:vAlign w:val="center"/>
          </w:tcPr>
          <w:p w14:paraId="04A148EF" w14:textId="1F2E4FF1" w:rsidR="009725D0" w:rsidRPr="00CA0394" w:rsidRDefault="00A42912" w:rsidP="00F46A12">
            <w:pPr>
              <w:jc w:val="center"/>
              <w:rPr>
                <w:rFonts w:eastAsia="Times New Roman" w:cstheme="minorHAnsi"/>
                <w:sz w:val="22"/>
                <w:szCs w:val="22"/>
              </w:rPr>
            </w:pPr>
            <w:r w:rsidRPr="00CA0394">
              <w:rPr>
                <w:rFonts w:eastAsia="Times New Roman" w:cstheme="minorHAnsi"/>
                <w:sz w:val="22"/>
                <w:szCs w:val="22"/>
              </w:rPr>
              <w:t>-</w:t>
            </w:r>
          </w:p>
        </w:tc>
        <w:tc>
          <w:tcPr>
            <w:tcW w:w="287" w:type="pct"/>
            <w:tcBorders>
              <w:left w:val="single" w:sz="18" w:space="0" w:color="auto"/>
            </w:tcBorders>
            <w:vAlign w:val="center"/>
          </w:tcPr>
          <w:p w14:paraId="3A77A7A8" w14:textId="216EE215"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161</w:t>
            </w:r>
          </w:p>
        </w:tc>
        <w:tc>
          <w:tcPr>
            <w:tcW w:w="383" w:type="pct"/>
            <w:vAlign w:val="center"/>
          </w:tcPr>
          <w:p w14:paraId="1B679FAA" w14:textId="25FC3D1F"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Moderate</w:t>
            </w:r>
          </w:p>
        </w:tc>
        <w:tc>
          <w:tcPr>
            <w:tcW w:w="319" w:type="pct"/>
            <w:vAlign w:val="center"/>
          </w:tcPr>
          <w:p w14:paraId="7165091B" w14:textId="44B654DB"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Possible</w:t>
            </w:r>
          </w:p>
        </w:tc>
        <w:tc>
          <w:tcPr>
            <w:tcW w:w="607" w:type="pct"/>
            <w:tcBorders>
              <w:right w:val="single" w:sz="18" w:space="0" w:color="auto"/>
            </w:tcBorders>
            <w:vAlign w:val="center"/>
          </w:tcPr>
          <w:p w14:paraId="2162ACFD" w14:textId="77777777" w:rsidR="006D7F70" w:rsidRPr="00CA0394" w:rsidRDefault="00DD5649" w:rsidP="00F46A12">
            <w:pPr>
              <w:jc w:val="center"/>
              <w:rPr>
                <w:rFonts w:eastAsia="Times New Roman" w:cstheme="minorHAnsi"/>
                <w:sz w:val="22"/>
                <w:szCs w:val="22"/>
              </w:rPr>
            </w:pPr>
            <w:r w:rsidRPr="00CA0394">
              <w:rPr>
                <w:rFonts w:eastAsia="Times New Roman" w:cstheme="minorHAnsi"/>
                <w:sz w:val="22"/>
                <w:szCs w:val="22"/>
              </w:rPr>
              <w:t>Regular solid;</w:t>
            </w:r>
          </w:p>
          <w:p w14:paraId="4C1B5488" w14:textId="4A5B4A54"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c>
          <w:tcPr>
            <w:tcW w:w="1594" w:type="pct"/>
            <w:gridSpan w:val="4"/>
            <w:tcBorders>
              <w:left w:val="single" w:sz="18" w:space="0" w:color="auto"/>
              <w:right w:val="single" w:sz="18" w:space="0" w:color="auto"/>
            </w:tcBorders>
            <w:vAlign w:val="center"/>
          </w:tcPr>
          <w:p w14:paraId="4F86CBD5" w14:textId="48549310" w:rsidR="009725D0" w:rsidRPr="00CA0394" w:rsidRDefault="00A42912" w:rsidP="00F46A12">
            <w:pPr>
              <w:jc w:val="center"/>
              <w:rPr>
                <w:rFonts w:eastAsia="Times New Roman" w:cstheme="minorHAnsi"/>
                <w:i/>
                <w:sz w:val="22"/>
                <w:szCs w:val="22"/>
              </w:rPr>
            </w:pPr>
            <w:r w:rsidRPr="00CA0394">
              <w:rPr>
                <w:rFonts w:eastAsia="Times New Roman" w:cstheme="minorHAnsi"/>
                <w:i/>
                <w:sz w:val="22"/>
                <w:szCs w:val="22"/>
              </w:rPr>
              <w:t>Early discharge from inpatient therapy</w:t>
            </w:r>
          </w:p>
        </w:tc>
      </w:tr>
      <w:tr w:rsidR="00CA0394" w:rsidRPr="00CA0394" w14:paraId="0CC01A1B" w14:textId="77777777" w:rsidTr="00CA0394">
        <w:trPr>
          <w:trHeight w:val="20"/>
          <w:jc w:val="center"/>
        </w:trPr>
        <w:tc>
          <w:tcPr>
            <w:tcW w:w="278" w:type="pct"/>
            <w:tcBorders>
              <w:left w:val="single" w:sz="18" w:space="0" w:color="auto"/>
              <w:right w:val="single" w:sz="18" w:space="0" w:color="auto"/>
            </w:tcBorders>
            <w:vAlign w:val="center"/>
          </w:tcPr>
          <w:p w14:paraId="0B08B5F9" w14:textId="77777777" w:rsidR="009725D0" w:rsidRPr="00CA0394" w:rsidRDefault="009725D0" w:rsidP="00F46A12">
            <w:pPr>
              <w:jc w:val="center"/>
              <w:rPr>
                <w:rFonts w:cstheme="minorHAnsi"/>
                <w:b/>
                <w:sz w:val="22"/>
                <w:szCs w:val="22"/>
              </w:rPr>
            </w:pPr>
            <w:r w:rsidRPr="00CA0394">
              <w:rPr>
                <w:rFonts w:cstheme="minorHAnsi"/>
                <w:b/>
                <w:sz w:val="22"/>
                <w:szCs w:val="22"/>
              </w:rPr>
              <w:t>SS06</w:t>
            </w:r>
          </w:p>
        </w:tc>
        <w:tc>
          <w:tcPr>
            <w:tcW w:w="192" w:type="pct"/>
            <w:tcBorders>
              <w:left w:val="single" w:sz="18" w:space="0" w:color="auto"/>
            </w:tcBorders>
            <w:tcMar>
              <w:top w:w="100" w:type="dxa"/>
              <w:left w:w="100" w:type="dxa"/>
              <w:bottom w:w="100" w:type="dxa"/>
              <w:right w:w="100" w:type="dxa"/>
            </w:tcMar>
            <w:vAlign w:val="center"/>
          </w:tcPr>
          <w:p w14:paraId="6839D1E5" w14:textId="76104F4F"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M</w:t>
            </w:r>
          </w:p>
        </w:tc>
        <w:tc>
          <w:tcPr>
            <w:tcW w:w="224" w:type="pct"/>
            <w:tcMar>
              <w:top w:w="100" w:type="dxa"/>
              <w:left w:w="100" w:type="dxa"/>
              <w:bottom w:w="100" w:type="dxa"/>
              <w:right w:w="100" w:type="dxa"/>
            </w:tcMar>
            <w:vAlign w:val="center"/>
          </w:tcPr>
          <w:p w14:paraId="0D362BA1" w14:textId="39F1A42B"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67</w:t>
            </w:r>
          </w:p>
        </w:tc>
        <w:tc>
          <w:tcPr>
            <w:tcW w:w="255" w:type="pct"/>
            <w:vAlign w:val="center"/>
          </w:tcPr>
          <w:p w14:paraId="72346ACB" w14:textId="26C76EF9"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HEM</w:t>
            </w:r>
          </w:p>
        </w:tc>
        <w:tc>
          <w:tcPr>
            <w:tcW w:w="510" w:type="pct"/>
            <w:vAlign w:val="center"/>
          </w:tcPr>
          <w:p w14:paraId="5FF1ED7F" w14:textId="155C5EEE"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276</w:t>
            </w:r>
          </w:p>
        </w:tc>
        <w:tc>
          <w:tcPr>
            <w:tcW w:w="351" w:type="pct"/>
            <w:tcBorders>
              <w:right w:val="single" w:sz="18" w:space="0" w:color="auto"/>
            </w:tcBorders>
            <w:vAlign w:val="center"/>
          </w:tcPr>
          <w:p w14:paraId="5F3115CC" w14:textId="455C3EC0"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30</w:t>
            </w:r>
          </w:p>
        </w:tc>
        <w:tc>
          <w:tcPr>
            <w:tcW w:w="287" w:type="pct"/>
            <w:tcBorders>
              <w:left w:val="single" w:sz="18" w:space="0" w:color="auto"/>
            </w:tcBorders>
            <w:vAlign w:val="center"/>
          </w:tcPr>
          <w:p w14:paraId="791E2C31" w14:textId="6E216670"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176</w:t>
            </w:r>
          </w:p>
        </w:tc>
        <w:tc>
          <w:tcPr>
            <w:tcW w:w="383" w:type="pct"/>
            <w:vAlign w:val="center"/>
          </w:tcPr>
          <w:p w14:paraId="15924206" w14:textId="629A9846"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Mild</w:t>
            </w:r>
          </w:p>
        </w:tc>
        <w:tc>
          <w:tcPr>
            <w:tcW w:w="319" w:type="pct"/>
            <w:vAlign w:val="center"/>
          </w:tcPr>
          <w:p w14:paraId="26FB9B26" w14:textId="5862A5A1"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7" w:type="pct"/>
            <w:tcBorders>
              <w:right w:val="single" w:sz="18" w:space="0" w:color="auto"/>
            </w:tcBorders>
            <w:vAlign w:val="center"/>
          </w:tcPr>
          <w:p w14:paraId="779073F3" w14:textId="77777777" w:rsidR="006D7F70" w:rsidRPr="00CA0394" w:rsidRDefault="00DD5649" w:rsidP="00F46A12">
            <w:pPr>
              <w:jc w:val="center"/>
              <w:rPr>
                <w:rFonts w:eastAsia="Times New Roman" w:cstheme="minorHAnsi"/>
                <w:sz w:val="22"/>
                <w:szCs w:val="22"/>
              </w:rPr>
            </w:pPr>
            <w:r w:rsidRPr="00CA0394">
              <w:rPr>
                <w:rFonts w:eastAsia="Times New Roman" w:cstheme="minorHAnsi"/>
                <w:sz w:val="22"/>
                <w:szCs w:val="22"/>
              </w:rPr>
              <w:t>Regular solid;</w:t>
            </w:r>
          </w:p>
          <w:p w14:paraId="1D7BD8C6" w14:textId="2B3F574D"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c>
          <w:tcPr>
            <w:tcW w:w="286" w:type="pct"/>
            <w:tcBorders>
              <w:left w:val="single" w:sz="18" w:space="0" w:color="auto"/>
            </w:tcBorders>
            <w:vAlign w:val="center"/>
          </w:tcPr>
          <w:p w14:paraId="3337E0D9" w14:textId="347AA4F5"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187</w:t>
            </w:r>
          </w:p>
        </w:tc>
        <w:tc>
          <w:tcPr>
            <w:tcW w:w="383" w:type="pct"/>
            <w:vAlign w:val="center"/>
          </w:tcPr>
          <w:p w14:paraId="01B9B22A" w14:textId="1AA51913"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20" w:type="pct"/>
            <w:vAlign w:val="center"/>
          </w:tcPr>
          <w:p w14:paraId="4BF493C1" w14:textId="1C9298C2"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5" w:type="pct"/>
            <w:tcBorders>
              <w:right w:val="single" w:sz="18" w:space="0" w:color="auto"/>
            </w:tcBorders>
            <w:vAlign w:val="center"/>
          </w:tcPr>
          <w:p w14:paraId="065B1BD4" w14:textId="7777777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Regular solid;</w:t>
            </w:r>
          </w:p>
          <w:p w14:paraId="00D52A30" w14:textId="6B8E8827" w:rsidR="00DD5649"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r>
      <w:tr w:rsidR="00CA0394" w:rsidRPr="00CA0394" w14:paraId="3F08AFAD" w14:textId="77777777" w:rsidTr="00CA0394">
        <w:trPr>
          <w:trHeight w:val="20"/>
          <w:jc w:val="center"/>
        </w:trPr>
        <w:tc>
          <w:tcPr>
            <w:tcW w:w="278" w:type="pct"/>
            <w:tcBorders>
              <w:left w:val="single" w:sz="18" w:space="0" w:color="auto"/>
              <w:right w:val="single" w:sz="18" w:space="0" w:color="auto"/>
            </w:tcBorders>
            <w:vAlign w:val="center"/>
          </w:tcPr>
          <w:p w14:paraId="40B626CC" w14:textId="77777777" w:rsidR="009725D0" w:rsidRPr="00CA0394" w:rsidRDefault="009725D0" w:rsidP="00F46A12">
            <w:pPr>
              <w:jc w:val="center"/>
              <w:rPr>
                <w:rFonts w:cstheme="minorHAnsi"/>
                <w:b/>
                <w:sz w:val="22"/>
                <w:szCs w:val="22"/>
              </w:rPr>
            </w:pPr>
            <w:r w:rsidRPr="00CA0394">
              <w:rPr>
                <w:rFonts w:cstheme="minorHAnsi"/>
                <w:b/>
                <w:sz w:val="22"/>
                <w:szCs w:val="22"/>
              </w:rPr>
              <w:t>SS07</w:t>
            </w:r>
          </w:p>
        </w:tc>
        <w:tc>
          <w:tcPr>
            <w:tcW w:w="192" w:type="pct"/>
            <w:tcBorders>
              <w:left w:val="single" w:sz="18" w:space="0" w:color="auto"/>
            </w:tcBorders>
            <w:tcMar>
              <w:top w:w="100" w:type="dxa"/>
              <w:left w:w="100" w:type="dxa"/>
              <w:bottom w:w="100" w:type="dxa"/>
              <w:right w:w="100" w:type="dxa"/>
            </w:tcMar>
            <w:vAlign w:val="center"/>
          </w:tcPr>
          <w:p w14:paraId="26FB2CCD" w14:textId="6ABF7764"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M</w:t>
            </w:r>
          </w:p>
        </w:tc>
        <w:tc>
          <w:tcPr>
            <w:tcW w:w="224" w:type="pct"/>
            <w:tcMar>
              <w:top w:w="100" w:type="dxa"/>
              <w:left w:w="100" w:type="dxa"/>
              <w:bottom w:w="100" w:type="dxa"/>
              <w:right w:w="100" w:type="dxa"/>
            </w:tcMar>
            <w:vAlign w:val="center"/>
          </w:tcPr>
          <w:p w14:paraId="0CF2779D" w14:textId="0D58B754"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59</w:t>
            </w:r>
          </w:p>
        </w:tc>
        <w:tc>
          <w:tcPr>
            <w:tcW w:w="255" w:type="pct"/>
            <w:vAlign w:val="center"/>
          </w:tcPr>
          <w:p w14:paraId="4CE36BEB" w14:textId="5ED214E1"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ISC</w:t>
            </w:r>
          </w:p>
        </w:tc>
        <w:tc>
          <w:tcPr>
            <w:tcW w:w="510" w:type="pct"/>
            <w:vAlign w:val="center"/>
          </w:tcPr>
          <w:p w14:paraId="4BB004D1" w14:textId="042DCF77"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52</w:t>
            </w:r>
          </w:p>
        </w:tc>
        <w:tc>
          <w:tcPr>
            <w:tcW w:w="351" w:type="pct"/>
            <w:tcBorders>
              <w:right w:val="single" w:sz="18" w:space="0" w:color="auto"/>
            </w:tcBorders>
            <w:vAlign w:val="center"/>
          </w:tcPr>
          <w:p w14:paraId="3AB595BA" w14:textId="7ADD8331"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35</w:t>
            </w:r>
          </w:p>
        </w:tc>
        <w:tc>
          <w:tcPr>
            <w:tcW w:w="287" w:type="pct"/>
            <w:tcBorders>
              <w:left w:val="single" w:sz="18" w:space="0" w:color="auto"/>
            </w:tcBorders>
            <w:vAlign w:val="center"/>
          </w:tcPr>
          <w:p w14:paraId="633DC534" w14:textId="3A4748F3"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179</w:t>
            </w:r>
          </w:p>
        </w:tc>
        <w:tc>
          <w:tcPr>
            <w:tcW w:w="383" w:type="pct"/>
            <w:vAlign w:val="center"/>
          </w:tcPr>
          <w:p w14:paraId="53C3446A" w14:textId="362F992F"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19" w:type="pct"/>
            <w:vAlign w:val="center"/>
          </w:tcPr>
          <w:p w14:paraId="05247F43" w14:textId="5F3CCC35"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7" w:type="pct"/>
            <w:tcBorders>
              <w:right w:val="single" w:sz="18" w:space="0" w:color="auto"/>
            </w:tcBorders>
            <w:vAlign w:val="center"/>
          </w:tcPr>
          <w:p w14:paraId="29E8311C" w14:textId="77777777" w:rsidR="006D7F70" w:rsidRPr="00CA0394" w:rsidRDefault="00DD5649" w:rsidP="00F46A12">
            <w:pPr>
              <w:jc w:val="center"/>
              <w:rPr>
                <w:rFonts w:eastAsia="Times New Roman" w:cstheme="minorHAnsi"/>
                <w:sz w:val="22"/>
                <w:szCs w:val="22"/>
              </w:rPr>
            </w:pPr>
            <w:r w:rsidRPr="00CA0394">
              <w:rPr>
                <w:rFonts w:eastAsia="Times New Roman" w:cstheme="minorHAnsi"/>
                <w:sz w:val="22"/>
                <w:szCs w:val="22"/>
              </w:rPr>
              <w:t>Soft, bite sized solid;</w:t>
            </w:r>
          </w:p>
          <w:p w14:paraId="6432DE44" w14:textId="3804F632"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Mildly thick liquid</w:t>
            </w:r>
          </w:p>
        </w:tc>
        <w:tc>
          <w:tcPr>
            <w:tcW w:w="286" w:type="pct"/>
            <w:tcBorders>
              <w:left w:val="single" w:sz="18" w:space="0" w:color="auto"/>
            </w:tcBorders>
            <w:vAlign w:val="center"/>
          </w:tcPr>
          <w:p w14:paraId="0E85C7FF" w14:textId="020F1C0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189</w:t>
            </w:r>
          </w:p>
        </w:tc>
        <w:tc>
          <w:tcPr>
            <w:tcW w:w="383" w:type="pct"/>
            <w:vAlign w:val="center"/>
          </w:tcPr>
          <w:p w14:paraId="3D564DB0" w14:textId="198752C8"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20" w:type="pct"/>
            <w:vAlign w:val="center"/>
          </w:tcPr>
          <w:p w14:paraId="32EF40CA" w14:textId="58B7228A"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5" w:type="pct"/>
            <w:tcBorders>
              <w:right w:val="single" w:sz="18" w:space="0" w:color="auto"/>
            </w:tcBorders>
            <w:vAlign w:val="center"/>
          </w:tcPr>
          <w:p w14:paraId="2F1498DF" w14:textId="77777777" w:rsidR="00DD5649" w:rsidRPr="00CA0394" w:rsidRDefault="00DD5649" w:rsidP="00F46A12">
            <w:pPr>
              <w:jc w:val="center"/>
              <w:rPr>
                <w:rFonts w:eastAsia="Times New Roman" w:cstheme="minorHAnsi"/>
                <w:sz w:val="22"/>
                <w:szCs w:val="22"/>
              </w:rPr>
            </w:pPr>
            <w:r w:rsidRPr="00CA0394">
              <w:rPr>
                <w:rFonts w:eastAsia="Times New Roman" w:cstheme="minorHAnsi"/>
                <w:sz w:val="22"/>
                <w:szCs w:val="22"/>
              </w:rPr>
              <w:t xml:space="preserve">Regular solid; </w:t>
            </w:r>
          </w:p>
          <w:p w14:paraId="1F9555C8" w14:textId="081880DF"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r>
      <w:tr w:rsidR="00CA0394" w:rsidRPr="00CA0394" w14:paraId="4BF44B87" w14:textId="77777777" w:rsidTr="00CA0394">
        <w:trPr>
          <w:trHeight w:val="20"/>
          <w:jc w:val="center"/>
        </w:trPr>
        <w:tc>
          <w:tcPr>
            <w:tcW w:w="278" w:type="pct"/>
            <w:tcBorders>
              <w:left w:val="single" w:sz="18" w:space="0" w:color="auto"/>
              <w:right w:val="single" w:sz="18" w:space="0" w:color="auto"/>
            </w:tcBorders>
            <w:vAlign w:val="center"/>
          </w:tcPr>
          <w:p w14:paraId="4B484767" w14:textId="77777777" w:rsidR="009725D0" w:rsidRPr="00CA0394" w:rsidRDefault="009725D0" w:rsidP="00F46A12">
            <w:pPr>
              <w:jc w:val="center"/>
              <w:rPr>
                <w:rFonts w:cstheme="minorHAnsi"/>
                <w:b/>
                <w:sz w:val="22"/>
                <w:szCs w:val="22"/>
              </w:rPr>
            </w:pPr>
            <w:r w:rsidRPr="00CA0394">
              <w:rPr>
                <w:rFonts w:cstheme="minorHAnsi"/>
                <w:b/>
                <w:sz w:val="22"/>
                <w:szCs w:val="22"/>
              </w:rPr>
              <w:t>SS08</w:t>
            </w:r>
          </w:p>
        </w:tc>
        <w:tc>
          <w:tcPr>
            <w:tcW w:w="192" w:type="pct"/>
            <w:tcBorders>
              <w:left w:val="single" w:sz="18" w:space="0" w:color="auto"/>
            </w:tcBorders>
            <w:tcMar>
              <w:top w:w="100" w:type="dxa"/>
              <w:left w:w="100" w:type="dxa"/>
              <w:bottom w:w="100" w:type="dxa"/>
              <w:right w:w="100" w:type="dxa"/>
            </w:tcMar>
            <w:vAlign w:val="center"/>
          </w:tcPr>
          <w:p w14:paraId="2EE8262B" w14:textId="4E543488"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F</w:t>
            </w:r>
          </w:p>
        </w:tc>
        <w:tc>
          <w:tcPr>
            <w:tcW w:w="224" w:type="pct"/>
            <w:tcMar>
              <w:top w:w="100" w:type="dxa"/>
              <w:left w:w="100" w:type="dxa"/>
              <w:bottom w:w="100" w:type="dxa"/>
              <w:right w:w="100" w:type="dxa"/>
            </w:tcMar>
            <w:vAlign w:val="center"/>
          </w:tcPr>
          <w:p w14:paraId="1B0CFABE" w14:textId="396AD9E2"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43</w:t>
            </w:r>
          </w:p>
        </w:tc>
        <w:tc>
          <w:tcPr>
            <w:tcW w:w="255" w:type="pct"/>
            <w:vAlign w:val="center"/>
          </w:tcPr>
          <w:p w14:paraId="5BFC0A90" w14:textId="4C120EC4"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ISC</w:t>
            </w:r>
          </w:p>
        </w:tc>
        <w:tc>
          <w:tcPr>
            <w:tcW w:w="510" w:type="pct"/>
            <w:vAlign w:val="center"/>
          </w:tcPr>
          <w:p w14:paraId="6F2E1159" w14:textId="0822E177"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16</w:t>
            </w:r>
          </w:p>
        </w:tc>
        <w:tc>
          <w:tcPr>
            <w:tcW w:w="351" w:type="pct"/>
            <w:tcBorders>
              <w:right w:val="single" w:sz="18" w:space="0" w:color="auto"/>
            </w:tcBorders>
            <w:vAlign w:val="center"/>
          </w:tcPr>
          <w:p w14:paraId="555C77C5" w14:textId="35E74251"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37</w:t>
            </w:r>
          </w:p>
        </w:tc>
        <w:tc>
          <w:tcPr>
            <w:tcW w:w="287" w:type="pct"/>
            <w:tcBorders>
              <w:left w:val="single" w:sz="18" w:space="0" w:color="auto"/>
            </w:tcBorders>
            <w:vAlign w:val="center"/>
          </w:tcPr>
          <w:p w14:paraId="576BA4E5" w14:textId="63117CD5"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168</w:t>
            </w:r>
          </w:p>
        </w:tc>
        <w:tc>
          <w:tcPr>
            <w:tcW w:w="383" w:type="pct"/>
            <w:vAlign w:val="center"/>
          </w:tcPr>
          <w:p w14:paraId="57A1C759" w14:textId="5972176D"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Mild</w:t>
            </w:r>
          </w:p>
        </w:tc>
        <w:tc>
          <w:tcPr>
            <w:tcW w:w="319" w:type="pct"/>
            <w:vAlign w:val="center"/>
          </w:tcPr>
          <w:p w14:paraId="74697938" w14:textId="48C10564"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Possible</w:t>
            </w:r>
          </w:p>
        </w:tc>
        <w:tc>
          <w:tcPr>
            <w:tcW w:w="607" w:type="pct"/>
            <w:tcBorders>
              <w:right w:val="single" w:sz="18" w:space="0" w:color="auto"/>
            </w:tcBorders>
            <w:vAlign w:val="center"/>
          </w:tcPr>
          <w:p w14:paraId="333272FC" w14:textId="7777777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Pureed solid;</w:t>
            </w:r>
          </w:p>
          <w:p w14:paraId="0D5C5C06" w14:textId="0EACC184" w:rsidR="00DD5649" w:rsidRPr="00CA0394" w:rsidRDefault="00DD5649" w:rsidP="00861798">
            <w:pPr>
              <w:jc w:val="center"/>
              <w:rPr>
                <w:rFonts w:eastAsia="Times New Roman" w:cstheme="minorHAnsi"/>
                <w:sz w:val="22"/>
                <w:szCs w:val="22"/>
              </w:rPr>
            </w:pPr>
            <w:r w:rsidRPr="00CA0394">
              <w:rPr>
                <w:rFonts w:eastAsia="Times New Roman" w:cstheme="minorHAnsi"/>
                <w:sz w:val="22"/>
                <w:szCs w:val="22"/>
              </w:rPr>
              <w:t>Mildly th</w:t>
            </w:r>
            <w:r w:rsidR="00861798" w:rsidRPr="00CA0394">
              <w:rPr>
                <w:rFonts w:eastAsia="Times New Roman" w:cstheme="minorHAnsi"/>
                <w:sz w:val="22"/>
                <w:szCs w:val="22"/>
              </w:rPr>
              <w:t>ick</w:t>
            </w:r>
            <w:r w:rsidRPr="00CA0394">
              <w:rPr>
                <w:rFonts w:eastAsia="Times New Roman" w:cstheme="minorHAnsi"/>
                <w:sz w:val="22"/>
                <w:szCs w:val="22"/>
              </w:rPr>
              <w:t xml:space="preserve"> liquid</w:t>
            </w:r>
          </w:p>
        </w:tc>
        <w:tc>
          <w:tcPr>
            <w:tcW w:w="286" w:type="pct"/>
            <w:tcBorders>
              <w:left w:val="single" w:sz="18" w:space="0" w:color="auto"/>
            </w:tcBorders>
            <w:vAlign w:val="center"/>
          </w:tcPr>
          <w:p w14:paraId="2B42FD44" w14:textId="12EC8E38"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191</w:t>
            </w:r>
          </w:p>
        </w:tc>
        <w:tc>
          <w:tcPr>
            <w:tcW w:w="383" w:type="pct"/>
            <w:vAlign w:val="center"/>
          </w:tcPr>
          <w:p w14:paraId="43FADE30" w14:textId="27DA4F86"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20" w:type="pct"/>
            <w:vAlign w:val="center"/>
          </w:tcPr>
          <w:p w14:paraId="0A2AB208" w14:textId="017436BF"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5" w:type="pct"/>
            <w:tcBorders>
              <w:right w:val="single" w:sz="18" w:space="0" w:color="auto"/>
            </w:tcBorders>
            <w:vAlign w:val="center"/>
          </w:tcPr>
          <w:p w14:paraId="2B19DFA1" w14:textId="7777777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 xml:space="preserve">Regular solid; </w:t>
            </w:r>
          </w:p>
          <w:p w14:paraId="22FC812C" w14:textId="7AEC22F3" w:rsidR="00DD5649"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r>
      <w:tr w:rsidR="00CA0394" w:rsidRPr="00CA0394" w14:paraId="00EBCB2E" w14:textId="77777777" w:rsidTr="00CA0394">
        <w:trPr>
          <w:trHeight w:val="20"/>
          <w:jc w:val="center"/>
        </w:trPr>
        <w:tc>
          <w:tcPr>
            <w:tcW w:w="278" w:type="pct"/>
            <w:tcBorders>
              <w:left w:val="single" w:sz="18" w:space="0" w:color="auto"/>
              <w:right w:val="single" w:sz="18" w:space="0" w:color="auto"/>
            </w:tcBorders>
            <w:vAlign w:val="center"/>
          </w:tcPr>
          <w:p w14:paraId="76024C03" w14:textId="61B3438B" w:rsidR="009725D0" w:rsidRPr="00CA0394" w:rsidRDefault="009725D0" w:rsidP="00F46A12">
            <w:pPr>
              <w:jc w:val="center"/>
              <w:rPr>
                <w:rFonts w:cstheme="minorHAnsi"/>
                <w:b/>
                <w:sz w:val="22"/>
                <w:szCs w:val="22"/>
              </w:rPr>
            </w:pPr>
            <w:r w:rsidRPr="00CA0394">
              <w:rPr>
                <w:rFonts w:cstheme="minorHAnsi"/>
                <w:b/>
                <w:sz w:val="22"/>
                <w:szCs w:val="22"/>
              </w:rPr>
              <w:t>SS09</w:t>
            </w:r>
            <w:r w:rsidR="00041BEF" w:rsidRPr="00CA0394">
              <w:rPr>
                <w:rFonts w:cstheme="minorHAnsi"/>
                <w:b/>
                <w:sz w:val="22"/>
                <w:szCs w:val="22"/>
              </w:rPr>
              <w:t>*</w:t>
            </w:r>
          </w:p>
        </w:tc>
        <w:tc>
          <w:tcPr>
            <w:tcW w:w="192" w:type="pct"/>
            <w:tcBorders>
              <w:left w:val="single" w:sz="18" w:space="0" w:color="auto"/>
            </w:tcBorders>
            <w:tcMar>
              <w:top w:w="100" w:type="dxa"/>
              <w:left w:w="100" w:type="dxa"/>
              <w:bottom w:w="100" w:type="dxa"/>
              <w:right w:w="100" w:type="dxa"/>
            </w:tcMar>
            <w:vAlign w:val="center"/>
          </w:tcPr>
          <w:p w14:paraId="512B045A" w14:textId="0F703341"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F</w:t>
            </w:r>
          </w:p>
        </w:tc>
        <w:tc>
          <w:tcPr>
            <w:tcW w:w="224" w:type="pct"/>
            <w:tcMar>
              <w:top w:w="100" w:type="dxa"/>
              <w:left w:w="100" w:type="dxa"/>
              <w:bottom w:w="100" w:type="dxa"/>
              <w:right w:w="100" w:type="dxa"/>
            </w:tcMar>
            <w:vAlign w:val="center"/>
          </w:tcPr>
          <w:p w14:paraId="7A52D4DF" w14:textId="46928090"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45</w:t>
            </w:r>
          </w:p>
        </w:tc>
        <w:tc>
          <w:tcPr>
            <w:tcW w:w="255" w:type="pct"/>
            <w:vAlign w:val="center"/>
          </w:tcPr>
          <w:p w14:paraId="56BD6998" w14:textId="23E53DFA"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ISC</w:t>
            </w:r>
          </w:p>
        </w:tc>
        <w:tc>
          <w:tcPr>
            <w:tcW w:w="510" w:type="pct"/>
            <w:vAlign w:val="center"/>
          </w:tcPr>
          <w:p w14:paraId="3B88CC5A" w14:textId="7F148C40"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18</w:t>
            </w:r>
          </w:p>
        </w:tc>
        <w:tc>
          <w:tcPr>
            <w:tcW w:w="351" w:type="pct"/>
            <w:tcBorders>
              <w:right w:val="single" w:sz="18" w:space="0" w:color="auto"/>
            </w:tcBorders>
            <w:vAlign w:val="center"/>
          </w:tcPr>
          <w:p w14:paraId="0A147443" w14:textId="3F445ACF"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w:t>
            </w:r>
          </w:p>
        </w:tc>
        <w:tc>
          <w:tcPr>
            <w:tcW w:w="287" w:type="pct"/>
            <w:tcBorders>
              <w:left w:val="single" w:sz="18" w:space="0" w:color="auto"/>
            </w:tcBorders>
            <w:vAlign w:val="center"/>
          </w:tcPr>
          <w:p w14:paraId="4DBCE077" w14:textId="50378FF9"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166</w:t>
            </w:r>
          </w:p>
        </w:tc>
        <w:tc>
          <w:tcPr>
            <w:tcW w:w="383" w:type="pct"/>
            <w:vAlign w:val="center"/>
          </w:tcPr>
          <w:p w14:paraId="61FC22EC" w14:textId="3546CC5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Moderate</w:t>
            </w:r>
          </w:p>
        </w:tc>
        <w:tc>
          <w:tcPr>
            <w:tcW w:w="319" w:type="pct"/>
            <w:vAlign w:val="center"/>
          </w:tcPr>
          <w:p w14:paraId="20D4B4F1" w14:textId="6337B495"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Possible</w:t>
            </w:r>
          </w:p>
        </w:tc>
        <w:tc>
          <w:tcPr>
            <w:tcW w:w="607" w:type="pct"/>
            <w:tcBorders>
              <w:right w:val="single" w:sz="18" w:space="0" w:color="auto"/>
            </w:tcBorders>
            <w:vAlign w:val="center"/>
          </w:tcPr>
          <w:p w14:paraId="34427A59" w14:textId="77777777" w:rsidR="006D7F70" w:rsidRPr="00CA0394" w:rsidRDefault="00DD5649" w:rsidP="00F46A12">
            <w:pPr>
              <w:jc w:val="center"/>
              <w:rPr>
                <w:rFonts w:eastAsia="Times New Roman" w:cstheme="minorHAnsi"/>
                <w:sz w:val="22"/>
                <w:szCs w:val="22"/>
              </w:rPr>
            </w:pPr>
            <w:r w:rsidRPr="00CA0394">
              <w:rPr>
                <w:rFonts w:eastAsia="Times New Roman" w:cstheme="minorHAnsi"/>
                <w:sz w:val="22"/>
                <w:szCs w:val="22"/>
              </w:rPr>
              <w:t>Regular solid;</w:t>
            </w:r>
          </w:p>
          <w:p w14:paraId="1B2E4909" w14:textId="3165B21C"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c>
          <w:tcPr>
            <w:tcW w:w="1594" w:type="pct"/>
            <w:gridSpan w:val="4"/>
            <w:tcBorders>
              <w:left w:val="single" w:sz="18" w:space="0" w:color="auto"/>
              <w:right w:val="single" w:sz="18" w:space="0" w:color="auto"/>
            </w:tcBorders>
            <w:vAlign w:val="center"/>
          </w:tcPr>
          <w:p w14:paraId="59B49CAF" w14:textId="474D8236" w:rsidR="009725D0" w:rsidRPr="00CA0394" w:rsidRDefault="00A42912" w:rsidP="00F46A12">
            <w:pPr>
              <w:jc w:val="center"/>
              <w:rPr>
                <w:rFonts w:eastAsia="Times New Roman" w:cstheme="minorHAnsi"/>
                <w:sz w:val="22"/>
                <w:szCs w:val="22"/>
              </w:rPr>
            </w:pPr>
            <w:r w:rsidRPr="00CA0394">
              <w:rPr>
                <w:rFonts w:eastAsia="Times New Roman" w:cstheme="minorHAnsi"/>
                <w:i/>
                <w:sz w:val="22"/>
                <w:szCs w:val="22"/>
              </w:rPr>
              <w:t>Change in medical status</w:t>
            </w:r>
          </w:p>
        </w:tc>
      </w:tr>
      <w:tr w:rsidR="00CA0394" w:rsidRPr="00CA0394" w14:paraId="4CB5C5B1" w14:textId="77777777" w:rsidTr="00CA0394">
        <w:trPr>
          <w:trHeight w:val="20"/>
          <w:jc w:val="center"/>
        </w:trPr>
        <w:tc>
          <w:tcPr>
            <w:tcW w:w="278" w:type="pct"/>
            <w:tcBorders>
              <w:left w:val="single" w:sz="18" w:space="0" w:color="auto"/>
              <w:right w:val="single" w:sz="18" w:space="0" w:color="auto"/>
            </w:tcBorders>
            <w:vAlign w:val="center"/>
          </w:tcPr>
          <w:p w14:paraId="70DE62DF" w14:textId="77777777" w:rsidR="009725D0" w:rsidRPr="00CA0394" w:rsidRDefault="009725D0" w:rsidP="00F46A12">
            <w:pPr>
              <w:jc w:val="center"/>
              <w:rPr>
                <w:rFonts w:cstheme="minorHAnsi"/>
                <w:b/>
                <w:sz w:val="22"/>
                <w:szCs w:val="22"/>
              </w:rPr>
            </w:pPr>
            <w:r w:rsidRPr="00CA0394">
              <w:rPr>
                <w:rFonts w:cstheme="minorHAnsi"/>
                <w:b/>
                <w:sz w:val="22"/>
                <w:szCs w:val="22"/>
              </w:rPr>
              <w:t>SS10</w:t>
            </w:r>
          </w:p>
        </w:tc>
        <w:tc>
          <w:tcPr>
            <w:tcW w:w="192" w:type="pct"/>
            <w:tcBorders>
              <w:left w:val="single" w:sz="18" w:space="0" w:color="auto"/>
            </w:tcBorders>
            <w:tcMar>
              <w:top w:w="100" w:type="dxa"/>
              <w:left w:w="100" w:type="dxa"/>
              <w:bottom w:w="100" w:type="dxa"/>
              <w:right w:w="100" w:type="dxa"/>
            </w:tcMar>
            <w:vAlign w:val="center"/>
          </w:tcPr>
          <w:p w14:paraId="1E8409F0" w14:textId="5E6B0307"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F</w:t>
            </w:r>
          </w:p>
        </w:tc>
        <w:tc>
          <w:tcPr>
            <w:tcW w:w="224" w:type="pct"/>
            <w:tcMar>
              <w:top w:w="100" w:type="dxa"/>
              <w:left w:w="100" w:type="dxa"/>
              <w:bottom w:w="100" w:type="dxa"/>
              <w:right w:w="100" w:type="dxa"/>
            </w:tcMar>
            <w:vAlign w:val="center"/>
          </w:tcPr>
          <w:p w14:paraId="4A7E040B" w14:textId="22C892DA"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76</w:t>
            </w:r>
          </w:p>
        </w:tc>
        <w:tc>
          <w:tcPr>
            <w:tcW w:w="255" w:type="pct"/>
            <w:vAlign w:val="center"/>
          </w:tcPr>
          <w:p w14:paraId="5F6DFB40" w14:textId="30526DBB"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ISC</w:t>
            </w:r>
          </w:p>
        </w:tc>
        <w:tc>
          <w:tcPr>
            <w:tcW w:w="510" w:type="pct"/>
            <w:vAlign w:val="center"/>
          </w:tcPr>
          <w:p w14:paraId="194CBD9D" w14:textId="5255794C"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8</w:t>
            </w:r>
          </w:p>
        </w:tc>
        <w:tc>
          <w:tcPr>
            <w:tcW w:w="351" w:type="pct"/>
            <w:tcBorders>
              <w:right w:val="single" w:sz="18" w:space="0" w:color="auto"/>
            </w:tcBorders>
            <w:vAlign w:val="center"/>
          </w:tcPr>
          <w:p w14:paraId="3012F113" w14:textId="46577CC1"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73</w:t>
            </w:r>
          </w:p>
        </w:tc>
        <w:tc>
          <w:tcPr>
            <w:tcW w:w="287" w:type="pct"/>
            <w:tcBorders>
              <w:left w:val="single" w:sz="18" w:space="0" w:color="auto"/>
            </w:tcBorders>
            <w:vAlign w:val="center"/>
          </w:tcPr>
          <w:p w14:paraId="61B732DA" w14:textId="7BB0DD9F"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153</w:t>
            </w:r>
          </w:p>
        </w:tc>
        <w:tc>
          <w:tcPr>
            <w:tcW w:w="383" w:type="pct"/>
            <w:vAlign w:val="center"/>
          </w:tcPr>
          <w:p w14:paraId="4C26C3F0" w14:textId="0A6D9E5E"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Moderate</w:t>
            </w:r>
          </w:p>
        </w:tc>
        <w:tc>
          <w:tcPr>
            <w:tcW w:w="319" w:type="pct"/>
            <w:vAlign w:val="center"/>
          </w:tcPr>
          <w:p w14:paraId="0637B9DD" w14:textId="4C603B0B"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Possible</w:t>
            </w:r>
          </w:p>
        </w:tc>
        <w:tc>
          <w:tcPr>
            <w:tcW w:w="607" w:type="pct"/>
            <w:tcBorders>
              <w:right w:val="single" w:sz="18" w:space="0" w:color="auto"/>
            </w:tcBorders>
            <w:vAlign w:val="center"/>
          </w:tcPr>
          <w:p w14:paraId="56F5C2A1" w14:textId="77777777" w:rsidR="006D7F70" w:rsidRPr="00CA0394" w:rsidRDefault="00DD5649" w:rsidP="00F46A12">
            <w:pPr>
              <w:jc w:val="center"/>
              <w:rPr>
                <w:rFonts w:eastAsia="Times New Roman" w:cstheme="minorHAnsi"/>
                <w:sz w:val="22"/>
                <w:szCs w:val="22"/>
              </w:rPr>
            </w:pPr>
            <w:r w:rsidRPr="00CA0394">
              <w:rPr>
                <w:rFonts w:eastAsia="Times New Roman" w:cstheme="minorHAnsi"/>
                <w:sz w:val="22"/>
                <w:szCs w:val="22"/>
              </w:rPr>
              <w:t>Pureed solid;</w:t>
            </w:r>
          </w:p>
          <w:p w14:paraId="22E20770" w14:textId="256E9CC3"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Mildly thick liquid</w:t>
            </w:r>
          </w:p>
        </w:tc>
        <w:tc>
          <w:tcPr>
            <w:tcW w:w="286" w:type="pct"/>
            <w:tcBorders>
              <w:left w:val="single" w:sz="18" w:space="0" w:color="auto"/>
            </w:tcBorders>
            <w:vAlign w:val="center"/>
          </w:tcPr>
          <w:p w14:paraId="54441759" w14:textId="23BF6EB1"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162</w:t>
            </w:r>
          </w:p>
        </w:tc>
        <w:tc>
          <w:tcPr>
            <w:tcW w:w="383" w:type="pct"/>
            <w:vAlign w:val="center"/>
          </w:tcPr>
          <w:p w14:paraId="53408BFF" w14:textId="1230E559"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Moderate</w:t>
            </w:r>
          </w:p>
        </w:tc>
        <w:tc>
          <w:tcPr>
            <w:tcW w:w="320" w:type="pct"/>
            <w:vAlign w:val="center"/>
          </w:tcPr>
          <w:p w14:paraId="6E47873B" w14:textId="369D1AF8"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Possible</w:t>
            </w:r>
          </w:p>
        </w:tc>
        <w:tc>
          <w:tcPr>
            <w:tcW w:w="605" w:type="pct"/>
            <w:tcBorders>
              <w:right w:val="single" w:sz="18" w:space="0" w:color="auto"/>
            </w:tcBorders>
            <w:vAlign w:val="center"/>
          </w:tcPr>
          <w:p w14:paraId="491BDB38" w14:textId="44205FFB"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_</w:t>
            </w:r>
          </w:p>
        </w:tc>
      </w:tr>
      <w:tr w:rsidR="00CA0394" w:rsidRPr="00CA0394" w14:paraId="3CD44980" w14:textId="77777777" w:rsidTr="00CA0394">
        <w:trPr>
          <w:trHeight w:val="20"/>
          <w:jc w:val="center"/>
        </w:trPr>
        <w:tc>
          <w:tcPr>
            <w:tcW w:w="278" w:type="pct"/>
            <w:tcBorders>
              <w:left w:val="single" w:sz="18" w:space="0" w:color="auto"/>
              <w:right w:val="single" w:sz="18" w:space="0" w:color="auto"/>
            </w:tcBorders>
            <w:vAlign w:val="center"/>
          </w:tcPr>
          <w:p w14:paraId="746DE2AD" w14:textId="77777777" w:rsidR="009725D0" w:rsidRPr="00CA0394" w:rsidRDefault="009725D0" w:rsidP="00F46A12">
            <w:pPr>
              <w:jc w:val="center"/>
              <w:rPr>
                <w:rFonts w:cstheme="minorHAnsi"/>
                <w:b/>
                <w:sz w:val="22"/>
                <w:szCs w:val="22"/>
              </w:rPr>
            </w:pPr>
            <w:r w:rsidRPr="00CA0394">
              <w:rPr>
                <w:rFonts w:cstheme="minorHAnsi"/>
                <w:b/>
                <w:sz w:val="22"/>
                <w:szCs w:val="22"/>
              </w:rPr>
              <w:t>SS11</w:t>
            </w:r>
          </w:p>
        </w:tc>
        <w:tc>
          <w:tcPr>
            <w:tcW w:w="192" w:type="pct"/>
            <w:tcBorders>
              <w:left w:val="single" w:sz="18" w:space="0" w:color="auto"/>
            </w:tcBorders>
            <w:tcMar>
              <w:top w:w="100" w:type="dxa"/>
              <w:left w:w="100" w:type="dxa"/>
              <w:bottom w:w="100" w:type="dxa"/>
              <w:right w:w="100" w:type="dxa"/>
            </w:tcMar>
            <w:vAlign w:val="center"/>
          </w:tcPr>
          <w:p w14:paraId="369DFCB6" w14:textId="4A600925"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M</w:t>
            </w:r>
          </w:p>
        </w:tc>
        <w:tc>
          <w:tcPr>
            <w:tcW w:w="224" w:type="pct"/>
            <w:tcMar>
              <w:top w:w="100" w:type="dxa"/>
              <w:left w:w="100" w:type="dxa"/>
              <w:bottom w:w="100" w:type="dxa"/>
              <w:right w:w="100" w:type="dxa"/>
            </w:tcMar>
            <w:vAlign w:val="center"/>
          </w:tcPr>
          <w:p w14:paraId="65F4A150" w14:textId="0C582C6E"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52</w:t>
            </w:r>
          </w:p>
        </w:tc>
        <w:tc>
          <w:tcPr>
            <w:tcW w:w="255" w:type="pct"/>
            <w:vAlign w:val="center"/>
          </w:tcPr>
          <w:p w14:paraId="74DD7A0A" w14:textId="2DB5F024"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ISC</w:t>
            </w:r>
          </w:p>
        </w:tc>
        <w:tc>
          <w:tcPr>
            <w:tcW w:w="510" w:type="pct"/>
            <w:vAlign w:val="center"/>
          </w:tcPr>
          <w:p w14:paraId="6F9FB4C3" w14:textId="122BFA4C"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18</w:t>
            </w:r>
          </w:p>
        </w:tc>
        <w:tc>
          <w:tcPr>
            <w:tcW w:w="351" w:type="pct"/>
            <w:tcBorders>
              <w:right w:val="single" w:sz="18" w:space="0" w:color="auto"/>
            </w:tcBorders>
            <w:vAlign w:val="center"/>
          </w:tcPr>
          <w:p w14:paraId="5CE682AA" w14:textId="001DA33C"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34</w:t>
            </w:r>
          </w:p>
        </w:tc>
        <w:tc>
          <w:tcPr>
            <w:tcW w:w="287" w:type="pct"/>
            <w:tcBorders>
              <w:left w:val="single" w:sz="18" w:space="0" w:color="auto"/>
            </w:tcBorders>
            <w:vAlign w:val="center"/>
          </w:tcPr>
          <w:p w14:paraId="122FAE45" w14:textId="289775DC"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178</w:t>
            </w:r>
          </w:p>
        </w:tc>
        <w:tc>
          <w:tcPr>
            <w:tcW w:w="383" w:type="pct"/>
            <w:vAlign w:val="center"/>
          </w:tcPr>
          <w:p w14:paraId="4A3D3FDE" w14:textId="4A8DB08B"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19" w:type="pct"/>
            <w:vAlign w:val="center"/>
          </w:tcPr>
          <w:p w14:paraId="2AC80755" w14:textId="62744512"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7" w:type="pct"/>
            <w:tcBorders>
              <w:right w:val="single" w:sz="18" w:space="0" w:color="auto"/>
            </w:tcBorders>
            <w:vAlign w:val="center"/>
          </w:tcPr>
          <w:p w14:paraId="6971D095" w14:textId="77777777" w:rsidR="006D7F70" w:rsidRPr="00CA0394" w:rsidRDefault="00DD5649" w:rsidP="00F46A12">
            <w:pPr>
              <w:jc w:val="center"/>
              <w:rPr>
                <w:rFonts w:eastAsia="Times New Roman" w:cstheme="minorHAnsi"/>
                <w:sz w:val="22"/>
                <w:szCs w:val="22"/>
              </w:rPr>
            </w:pPr>
            <w:r w:rsidRPr="00CA0394">
              <w:rPr>
                <w:rFonts w:eastAsia="Times New Roman" w:cstheme="minorHAnsi"/>
                <w:sz w:val="22"/>
                <w:szCs w:val="22"/>
              </w:rPr>
              <w:t>Regular solid;</w:t>
            </w:r>
          </w:p>
          <w:p w14:paraId="56CE1FFE" w14:textId="1F80AE59"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c>
          <w:tcPr>
            <w:tcW w:w="286" w:type="pct"/>
            <w:tcBorders>
              <w:left w:val="single" w:sz="18" w:space="0" w:color="auto"/>
            </w:tcBorders>
            <w:vAlign w:val="center"/>
          </w:tcPr>
          <w:p w14:paraId="3CAE447E" w14:textId="4F665EB6"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169</w:t>
            </w:r>
          </w:p>
        </w:tc>
        <w:tc>
          <w:tcPr>
            <w:tcW w:w="383" w:type="pct"/>
            <w:vAlign w:val="center"/>
          </w:tcPr>
          <w:p w14:paraId="04865ADC" w14:textId="1EE00F1F"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Mild</w:t>
            </w:r>
          </w:p>
        </w:tc>
        <w:tc>
          <w:tcPr>
            <w:tcW w:w="320" w:type="pct"/>
            <w:vAlign w:val="center"/>
          </w:tcPr>
          <w:p w14:paraId="31586F88" w14:textId="3C67E025"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Possible</w:t>
            </w:r>
          </w:p>
        </w:tc>
        <w:tc>
          <w:tcPr>
            <w:tcW w:w="605" w:type="pct"/>
            <w:tcBorders>
              <w:right w:val="single" w:sz="18" w:space="0" w:color="auto"/>
            </w:tcBorders>
            <w:vAlign w:val="center"/>
          </w:tcPr>
          <w:p w14:paraId="484D516B" w14:textId="7777777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 xml:space="preserve">Regular solid; </w:t>
            </w:r>
          </w:p>
          <w:p w14:paraId="28BB846E" w14:textId="4D87DC0B" w:rsidR="00DD5649"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r>
      <w:tr w:rsidR="00CA0394" w:rsidRPr="00CA0394" w14:paraId="36971FFB" w14:textId="77777777" w:rsidTr="00CA0394">
        <w:trPr>
          <w:trHeight w:val="20"/>
          <w:jc w:val="center"/>
        </w:trPr>
        <w:tc>
          <w:tcPr>
            <w:tcW w:w="278" w:type="pct"/>
            <w:tcBorders>
              <w:left w:val="single" w:sz="18" w:space="0" w:color="auto"/>
              <w:bottom w:val="single" w:sz="18" w:space="0" w:color="auto"/>
              <w:right w:val="single" w:sz="18" w:space="0" w:color="auto"/>
            </w:tcBorders>
            <w:vAlign w:val="center"/>
          </w:tcPr>
          <w:p w14:paraId="37148FAA" w14:textId="77777777" w:rsidR="009725D0" w:rsidRPr="00CA0394" w:rsidRDefault="009725D0" w:rsidP="00F46A12">
            <w:pPr>
              <w:jc w:val="center"/>
              <w:rPr>
                <w:rFonts w:cstheme="minorHAnsi"/>
                <w:b/>
                <w:sz w:val="22"/>
                <w:szCs w:val="22"/>
              </w:rPr>
            </w:pPr>
            <w:r w:rsidRPr="00CA0394">
              <w:rPr>
                <w:rFonts w:cstheme="minorHAnsi"/>
                <w:b/>
                <w:sz w:val="22"/>
                <w:szCs w:val="22"/>
              </w:rPr>
              <w:t>SS12</w:t>
            </w:r>
          </w:p>
        </w:tc>
        <w:tc>
          <w:tcPr>
            <w:tcW w:w="192" w:type="pct"/>
            <w:tcBorders>
              <w:left w:val="single" w:sz="18" w:space="0" w:color="auto"/>
              <w:bottom w:val="single" w:sz="18" w:space="0" w:color="auto"/>
            </w:tcBorders>
            <w:tcMar>
              <w:top w:w="100" w:type="dxa"/>
              <w:left w:w="100" w:type="dxa"/>
              <w:bottom w:w="100" w:type="dxa"/>
              <w:right w:w="100" w:type="dxa"/>
            </w:tcMar>
            <w:vAlign w:val="center"/>
          </w:tcPr>
          <w:p w14:paraId="2AD83045" w14:textId="37A0890B"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M</w:t>
            </w:r>
          </w:p>
        </w:tc>
        <w:tc>
          <w:tcPr>
            <w:tcW w:w="224" w:type="pct"/>
            <w:tcBorders>
              <w:bottom w:val="single" w:sz="18" w:space="0" w:color="auto"/>
            </w:tcBorders>
            <w:tcMar>
              <w:top w:w="100" w:type="dxa"/>
              <w:left w:w="100" w:type="dxa"/>
              <w:bottom w:w="100" w:type="dxa"/>
              <w:right w:w="100" w:type="dxa"/>
            </w:tcMar>
            <w:vAlign w:val="center"/>
          </w:tcPr>
          <w:p w14:paraId="42C093CB" w14:textId="6784F810"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58</w:t>
            </w:r>
          </w:p>
        </w:tc>
        <w:tc>
          <w:tcPr>
            <w:tcW w:w="255" w:type="pct"/>
            <w:tcBorders>
              <w:bottom w:val="single" w:sz="18" w:space="0" w:color="auto"/>
            </w:tcBorders>
            <w:vAlign w:val="center"/>
          </w:tcPr>
          <w:p w14:paraId="70F2AC95" w14:textId="78737E63"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ISC</w:t>
            </w:r>
          </w:p>
        </w:tc>
        <w:tc>
          <w:tcPr>
            <w:tcW w:w="510" w:type="pct"/>
            <w:tcBorders>
              <w:bottom w:val="single" w:sz="18" w:space="0" w:color="auto"/>
            </w:tcBorders>
            <w:vAlign w:val="center"/>
          </w:tcPr>
          <w:p w14:paraId="28D3C82A" w14:textId="4A592B63"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15</w:t>
            </w:r>
          </w:p>
        </w:tc>
        <w:tc>
          <w:tcPr>
            <w:tcW w:w="351" w:type="pct"/>
            <w:tcBorders>
              <w:bottom w:val="single" w:sz="18" w:space="0" w:color="auto"/>
              <w:right w:val="single" w:sz="18" w:space="0" w:color="auto"/>
            </w:tcBorders>
            <w:vAlign w:val="center"/>
          </w:tcPr>
          <w:p w14:paraId="5FB2CCCC" w14:textId="3D28B624" w:rsidR="009725D0" w:rsidRPr="00CA0394" w:rsidRDefault="000C21D9" w:rsidP="00F46A12">
            <w:pPr>
              <w:jc w:val="center"/>
              <w:rPr>
                <w:rFonts w:eastAsia="Times New Roman" w:cstheme="minorHAnsi"/>
                <w:sz w:val="22"/>
                <w:szCs w:val="22"/>
              </w:rPr>
            </w:pPr>
            <w:r w:rsidRPr="00CA0394">
              <w:rPr>
                <w:rFonts w:eastAsia="Times New Roman" w:cstheme="minorHAnsi"/>
                <w:sz w:val="22"/>
                <w:szCs w:val="22"/>
              </w:rPr>
              <w:t>23</w:t>
            </w:r>
          </w:p>
        </w:tc>
        <w:tc>
          <w:tcPr>
            <w:tcW w:w="287" w:type="pct"/>
            <w:tcBorders>
              <w:left w:val="single" w:sz="18" w:space="0" w:color="auto"/>
              <w:bottom w:val="single" w:sz="18" w:space="0" w:color="auto"/>
            </w:tcBorders>
            <w:vAlign w:val="center"/>
          </w:tcPr>
          <w:p w14:paraId="69678A45" w14:textId="4EFB6DEB"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183</w:t>
            </w:r>
          </w:p>
        </w:tc>
        <w:tc>
          <w:tcPr>
            <w:tcW w:w="383" w:type="pct"/>
            <w:tcBorders>
              <w:bottom w:val="single" w:sz="18" w:space="0" w:color="auto"/>
            </w:tcBorders>
            <w:vAlign w:val="center"/>
          </w:tcPr>
          <w:p w14:paraId="443062F1" w14:textId="42BE13C3"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19" w:type="pct"/>
            <w:tcBorders>
              <w:bottom w:val="single" w:sz="18" w:space="0" w:color="auto"/>
            </w:tcBorders>
            <w:vAlign w:val="center"/>
          </w:tcPr>
          <w:p w14:paraId="0F508448" w14:textId="4D84F03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7" w:type="pct"/>
            <w:tcBorders>
              <w:bottom w:val="single" w:sz="18" w:space="0" w:color="auto"/>
              <w:right w:val="single" w:sz="18" w:space="0" w:color="auto"/>
            </w:tcBorders>
            <w:vAlign w:val="center"/>
          </w:tcPr>
          <w:p w14:paraId="1EEF71A2" w14:textId="73D1950E" w:rsidR="009725D0" w:rsidRPr="00CA0394" w:rsidRDefault="00DD5649" w:rsidP="00DD5649">
            <w:pPr>
              <w:jc w:val="center"/>
              <w:rPr>
                <w:rFonts w:eastAsia="Times New Roman" w:cstheme="minorHAnsi"/>
                <w:sz w:val="22"/>
                <w:szCs w:val="22"/>
              </w:rPr>
            </w:pPr>
            <w:r w:rsidRPr="00CA0394">
              <w:rPr>
                <w:rFonts w:eastAsia="Times New Roman" w:cstheme="minorHAnsi"/>
                <w:sz w:val="22"/>
                <w:szCs w:val="22"/>
              </w:rPr>
              <w:t>_</w:t>
            </w:r>
          </w:p>
        </w:tc>
        <w:tc>
          <w:tcPr>
            <w:tcW w:w="286" w:type="pct"/>
            <w:tcBorders>
              <w:left w:val="single" w:sz="18" w:space="0" w:color="auto"/>
              <w:bottom w:val="single" w:sz="18" w:space="0" w:color="auto"/>
            </w:tcBorders>
            <w:vAlign w:val="center"/>
          </w:tcPr>
          <w:p w14:paraId="62E72586" w14:textId="70DF5767"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183</w:t>
            </w:r>
          </w:p>
        </w:tc>
        <w:tc>
          <w:tcPr>
            <w:tcW w:w="383" w:type="pct"/>
            <w:tcBorders>
              <w:bottom w:val="single" w:sz="18" w:space="0" w:color="auto"/>
            </w:tcBorders>
            <w:vAlign w:val="center"/>
          </w:tcPr>
          <w:p w14:paraId="58975F11" w14:textId="62DECB4B"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None</w:t>
            </w:r>
          </w:p>
        </w:tc>
        <w:tc>
          <w:tcPr>
            <w:tcW w:w="320" w:type="pct"/>
            <w:tcBorders>
              <w:bottom w:val="single" w:sz="18" w:space="0" w:color="auto"/>
            </w:tcBorders>
            <w:vAlign w:val="center"/>
          </w:tcPr>
          <w:p w14:paraId="422703C4" w14:textId="042222EB"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Unlikely</w:t>
            </w:r>
          </w:p>
        </w:tc>
        <w:tc>
          <w:tcPr>
            <w:tcW w:w="605" w:type="pct"/>
            <w:tcBorders>
              <w:bottom w:val="single" w:sz="18" w:space="0" w:color="auto"/>
              <w:right w:val="single" w:sz="18" w:space="0" w:color="auto"/>
            </w:tcBorders>
            <w:vAlign w:val="center"/>
          </w:tcPr>
          <w:p w14:paraId="30480DF3" w14:textId="77777777" w:rsidR="00CA0394" w:rsidRDefault="00DD5649" w:rsidP="00F46A12">
            <w:pPr>
              <w:jc w:val="center"/>
              <w:rPr>
                <w:rFonts w:eastAsia="Times New Roman" w:cstheme="minorHAnsi"/>
                <w:sz w:val="22"/>
                <w:szCs w:val="22"/>
              </w:rPr>
            </w:pPr>
            <w:r w:rsidRPr="00CA0394">
              <w:rPr>
                <w:rFonts w:eastAsia="Times New Roman" w:cstheme="minorHAnsi"/>
                <w:sz w:val="22"/>
                <w:szCs w:val="22"/>
              </w:rPr>
              <w:t xml:space="preserve">Regular solid; </w:t>
            </w:r>
          </w:p>
          <w:p w14:paraId="6DC841F4" w14:textId="0DB69392" w:rsidR="009725D0" w:rsidRPr="00CA0394" w:rsidRDefault="00DD5649" w:rsidP="00F46A12">
            <w:pPr>
              <w:jc w:val="center"/>
              <w:rPr>
                <w:rFonts w:eastAsia="Times New Roman" w:cstheme="minorHAnsi"/>
                <w:sz w:val="22"/>
                <w:szCs w:val="22"/>
              </w:rPr>
            </w:pPr>
            <w:r w:rsidRPr="00CA0394">
              <w:rPr>
                <w:rFonts w:eastAsia="Times New Roman" w:cstheme="minorHAnsi"/>
                <w:sz w:val="22"/>
                <w:szCs w:val="22"/>
              </w:rPr>
              <w:t>Thin liquid</w:t>
            </w:r>
          </w:p>
        </w:tc>
      </w:tr>
    </w:tbl>
    <w:p w14:paraId="14DE9FFD" w14:textId="7CF0964F" w:rsidR="00041BEF" w:rsidRPr="00CA0394" w:rsidRDefault="009725D0" w:rsidP="0047125C">
      <w:pPr>
        <w:spacing w:before="120"/>
        <w:ind w:left="1350" w:right="1530"/>
        <w:jc w:val="center"/>
        <w:rPr>
          <w:rFonts w:eastAsia="ヒラギノ角ゴ Pro W3" w:cstheme="minorHAnsi"/>
          <w:sz w:val="22"/>
          <w:szCs w:val="22"/>
        </w:rPr>
      </w:pPr>
      <w:r w:rsidRPr="00CA0394">
        <w:rPr>
          <w:rFonts w:eastAsia="Times New Roman" w:cstheme="minorHAnsi"/>
          <w:sz w:val="22"/>
          <w:szCs w:val="22"/>
        </w:rPr>
        <w:t>ISC = Ischemic; HEM = Hemorrhagic; MASA = Mann Assessment of Swallowing Ability; TNS = Total Numeric Score; ORR = Ordinal Risk</w:t>
      </w:r>
      <w:r w:rsidR="0047125C" w:rsidRPr="00CA0394">
        <w:rPr>
          <w:rFonts w:eastAsia="Times New Roman" w:cstheme="minorHAnsi"/>
          <w:sz w:val="22"/>
          <w:szCs w:val="22"/>
        </w:rPr>
        <w:t xml:space="preserve"> </w:t>
      </w:r>
      <w:r w:rsidRPr="00CA0394">
        <w:rPr>
          <w:rFonts w:eastAsia="Times New Roman" w:cstheme="minorHAnsi"/>
          <w:sz w:val="22"/>
          <w:szCs w:val="22"/>
        </w:rPr>
        <w:t>Rating (i.e. risk of aspiration)</w:t>
      </w:r>
    </w:p>
    <w:p w14:paraId="0AA3B730" w14:textId="39F5A4FF" w:rsidR="002A308C" w:rsidRPr="00CA0394" w:rsidRDefault="00041BEF" w:rsidP="000D54F7">
      <w:pPr>
        <w:spacing w:before="120"/>
        <w:ind w:left="720" w:right="720"/>
        <w:jc w:val="center"/>
        <w:rPr>
          <w:rFonts w:eastAsia="Times New Roman" w:cstheme="minorHAnsi"/>
          <w:sz w:val="22"/>
          <w:szCs w:val="22"/>
        </w:rPr>
        <w:sectPr w:rsidR="002A308C" w:rsidRPr="00CA0394" w:rsidSect="000D54F7">
          <w:pgSz w:w="15840" w:h="12240" w:orient="landscape"/>
          <w:pgMar w:top="720" w:right="1440" w:bottom="720" w:left="1440" w:header="720" w:footer="720" w:gutter="0"/>
          <w:cols w:space="720"/>
          <w:docGrid w:linePitch="360"/>
        </w:sectPr>
      </w:pPr>
      <w:r w:rsidRPr="00CA0394">
        <w:rPr>
          <w:rFonts w:eastAsia="Times New Roman" w:cstheme="minorHAnsi"/>
          <w:sz w:val="22"/>
          <w:szCs w:val="22"/>
        </w:rPr>
        <w:t xml:space="preserve">*Rated as </w:t>
      </w:r>
      <w:r w:rsidRPr="00CA0394">
        <w:rPr>
          <w:rFonts w:eastAsia="Times New Roman" w:cstheme="minorHAnsi"/>
          <w:i/>
          <w:sz w:val="22"/>
          <w:szCs w:val="22"/>
        </w:rPr>
        <w:t xml:space="preserve">moderate </w:t>
      </w:r>
      <w:r w:rsidRPr="00CA0394">
        <w:rPr>
          <w:rFonts w:eastAsia="Times New Roman" w:cstheme="minorHAnsi"/>
          <w:sz w:val="22"/>
          <w:szCs w:val="22"/>
        </w:rPr>
        <w:t>by the MASA but demonstrated clinically safe management of a regular diet as judged by a clinician</w:t>
      </w:r>
    </w:p>
    <w:p w14:paraId="3E57267E" w14:textId="1BE3F25B" w:rsidR="00FD496E" w:rsidRPr="00CA0394" w:rsidRDefault="00C11B47" w:rsidP="002D64A4">
      <w:pPr>
        <w:spacing w:after="160" w:line="259" w:lineRule="auto"/>
        <w:outlineLvl w:val="1"/>
        <w:rPr>
          <w:rFonts w:eastAsia="Times New Roman" w:cstheme="minorHAnsi"/>
          <w:sz w:val="22"/>
          <w:szCs w:val="22"/>
        </w:rPr>
      </w:pPr>
      <w:r w:rsidRPr="00CA0394">
        <w:rPr>
          <w:rFonts w:eastAsia="Times New Roman" w:cstheme="minorHAnsi"/>
          <w:b/>
          <w:bCs/>
          <w:sz w:val="22"/>
          <w:szCs w:val="22"/>
        </w:rPr>
        <w:lastRenderedPageBreak/>
        <w:t xml:space="preserve">Supplementary </w:t>
      </w:r>
      <w:r w:rsidR="00486534" w:rsidRPr="00CA0394">
        <w:rPr>
          <w:rFonts w:eastAsia="Times New Roman" w:cstheme="minorHAnsi"/>
          <w:b/>
          <w:sz w:val="22"/>
          <w:szCs w:val="22"/>
        </w:rPr>
        <w:t xml:space="preserve">Table </w:t>
      </w:r>
      <w:r w:rsidR="00FD496E" w:rsidRPr="00CA0394">
        <w:rPr>
          <w:rFonts w:eastAsia="Times New Roman" w:cstheme="minorHAnsi"/>
          <w:b/>
          <w:sz w:val="22"/>
          <w:szCs w:val="22"/>
        </w:rPr>
        <w:t>2.</w:t>
      </w:r>
      <w:r w:rsidR="00FD496E" w:rsidRPr="00CA0394">
        <w:rPr>
          <w:rFonts w:eastAsia="Times New Roman" w:cstheme="minorHAnsi"/>
          <w:b/>
          <w:bCs/>
          <w:sz w:val="22"/>
          <w:szCs w:val="22"/>
        </w:rPr>
        <w:t xml:space="preserve"> </w:t>
      </w:r>
      <w:r w:rsidR="009725D0" w:rsidRPr="00CA0394">
        <w:rPr>
          <w:rFonts w:eastAsia="Times New Roman" w:cstheme="minorHAnsi"/>
          <w:b/>
          <w:bCs/>
          <w:sz w:val="22"/>
          <w:szCs w:val="22"/>
        </w:rPr>
        <w:t>Swallow f</w:t>
      </w:r>
      <w:r w:rsidR="002C7A16" w:rsidRPr="00CA0394">
        <w:rPr>
          <w:rFonts w:eastAsia="Times New Roman" w:cstheme="minorHAnsi"/>
          <w:b/>
          <w:bCs/>
          <w:sz w:val="22"/>
          <w:szCs w:val="22"/>
        </w:rPr>
        <w:t xml:space="preserve">eatures computed from the Throat sensor </w:t>
      </w:r>
      <w:r w:rsidR="009725D0" w:rsidRPr="00CA0394">
        <w:rPr>
          <w:rFonts w:eastAsia="Times New Roman" w:cstheme="minorHAnsi"/>
          <w:b/>
          <w:bCs/>
          <w:sz w:val="22"/>
          <w:szCs w:val="22"/>
        </w:rPr>
        <w:t>data</w:t>
      </w:r>
      <w:r w:rsidR="00F46A12" w:rsidRPr="00CA0394">
        <w:rPr>
          <w:rFonts w:eastAsia="Times New Roman" w:cstheme="minorHAnsi"/>
          <w:b/>
          <w:bCs/>
          <w:sz w:val="22"/>
          <w:szCs w:val="22"/>
        </w:rPr>
        <w:t xml:space="preserve"> (normalized by average </w:t>
      </w:r>
      <w:r w:rsidR="00A37419" w:rsidRPr="00CA0394">
        <w:rPr>
          <w:rFonts w:eastAsia="Times New Roman" w:cstheme="minorHAnsi"/>
          <w:b/>
          <w:bCs/>
          <w:sz w:val="22"/>
          <w:szCs w:val="22"/>
        </w:rPr>
        <w:t xml:space="preserve">acceleration </w:t>
      </w:r>
      <w:r w:rsidR="00F46A12" w:rsidRPr="00CA0394">
        <w:rPr>
          <w:rFonts w:eastAsia="Times New Roman" w:cstheme="minorHAnsi"/>
          <w:b/>
          <w:bCs/>
          <w:sz w:val="22"/>
          <w:szCs w:val="22"/>
        </w:rPr>
        <w:t>range during dry swallow trials)</w:t>
      </w:r>
      <w:r w:rsidR="002C7A16" w:rsidRPr="00CA0394">
        <w:rPr>
          <w:rFonts w:eastAsia="Times New Roman" w:cstheme="minorHAnsi"/>
          <w:b/>
          <w:bCs/>
          <w:sz w:val="22"/>
          <w:szCs w:val="22"/>
        </w:rPr>
        <w:t>.</w:t>
      </w:r>
    </w:p>
    <w:p w14:paraId="1C497219" w14:textId="77777777" w:rsidR="002C7A16" w:rsidRPr="00CA0394" w:rsidRDefault="002C7A16" w:rsidP="002C7A16">
      <w:pPr>
        <w:rPr>
          <w:rFonts w:eastAsia="Times New Roman" w:cstheme="minorHAnsi"/>
          <w:b/>
          <w:sz w:val="22"/>
          <w:szCs w:val="22"/>
        </w:rPr>
      </w:pPr>
    </w:p>
    <w:tbl>
      <w:tblPr>
        <w:tblW w:w="5153" w:type="pct"/>
        <w:jc w:val="center"/>
        <w:tblCellMar>
          <w:top w:w="15" w:type="dxa"/>
          <w:left w:w="15" w:type="dxa"/>
          <w:bottom w:w="15" w:type="dxa"/>
          <w:right w:w="15" w:type="dxa"/>
        </w:tblCellMar>
        <w:tblLook w:val="04A0" w:firstRow="1" w:lastRow="0" w:firstColumn="1" w:lastColumn="0" w:noHBand="0" w:noVBand="1"/>
      </w:tblPr>
      <w:tblGrid>
        <w:gridCol w:w="2325"/>
        <w:gridCol w:w="5844"/>
        <w:gridCol w:w="1446"/>
      </w:tblGrid>
      <w:tr w:rsidR="003C27B9" w:rsidRPr="00CA0394" w14:paraId="6259ABFF" w14:textId="0F5EDA77"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4278732" w14:textId="77777777" w:rsidR="003C27B9" w:rsidRPr="00CA0394" w:rsidRDefault="003C27B9" w:rsidP="00AA48BD">
            <w:pPr>
              <w:contextualSpacing/>
              <w:jc w:val="center"/>
              <w:rPr>
                <w:rFonts w:eastAsia="Times New Roman" w:cstheme="minorHAnsi"/>
                <w:b/>
                <w:bCs/>
                <w:sz w:val="22"/>
                <w:szCs w:val="22"/>
              </w:rPr>
            </w:pPr>
            <w:r w:rsidRPr="00CA0394">
              <w:rPr>
                <w:rFonts w:eastAsia="Times New Roman" w:cstheme="minorHAnsi"/>
                <w:b/>
                <w:bCs/>
                <w:sz w:val="22"/>
                <w:szCs w:val="22"/>
              </w:rPr>
              <w:t>Feature</w:t>
            </w:r>
          </w:p>
        </w:tc>
        <w:tc>
          <w:tcPr>
            <w:tcW w:w="3039" w:type="pct"/>
            <w:tcBorders>
              <w:top w:val="single" w:sz="12" w:space="0" w:color="auto"/>
              <w:left w:val="single" w:sz="12" w:space="0" w:color="auto"/>
              <w:bottom w:val="single" w:sz="12" w:space="0" w:color="auto"/>
              <w:right w:val="single" w:sz="12" w:space="0" w:color="auto"/>
            </w:tcBorders>
            <w:shd w:val="clear" w:color="auto" w:fill="E7E6E6" w:themeFill="background2"/>
            <w:tcMar>
              <w:top w:w="100" w:type="dxa"/>
              <w:left w:w="100" w:type="dxa"/>
              <w:bottom w:w="100" w:type="dxa"/>
              <w:right w:w="100" w:type="dxa"/>
            </w:tcMar>
            <w:vAlign w:val="center"/>
            <w:hideMark/>
          </w:tcPr>
          <w:p w14:paraId="040C2E52" w14:textId="77777777" w:rsidR="003C27B9" w:rsidRPr="00CA0394" w:rsidRDefault="003C27B9" w:rsidP="00AA48BD">
            <w:pPr>
              <w:contextualSpacing/>
              <w:jc w:val="center"/>
              <w:rPr>
                <w:rFonts w:eastAsia="Times New Roman" w:cstheme="minorHAnsi"/>
                <w:sz w:val="22"/>
                <w:szCs w:val="22"/>
              </w:rPr>
            </w:pPr>
            <w:r w:rsidRPr="00CA0394">
              <w:rPr>
                <w:rFonts w:eastAsia="Times New Roman" w:cstheme="minorHAnsi"/>
                <w:b/>
                <w:bCs/>
                <w:sz w:val="22"/>
                <w:szCs w:val="22"/>
              </w:rPr>
              <w:t>Description</w:t>
            </w:r>
          </w:p>
        </w:tc>
        <w:tc>
          <w:tcPr>
            <w:tcW w:w="752"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4EFCDE3" w14:textId="5EDC23C1" w:rsidR="003C27B9" w:rsidRPr="00CA0394" w:rsidRDefault="00CA0394" w:rsidP="00AA48BD">
            <w:pPr>
              <w:contextualSpacing/>
              <w:jc w:val="center"/>
              <w:rPr>
                <w:rFonts w:eastAsia="Times New Roman" w:cstheme="minorHAnsi"/>
                <w:b/>
                <w:bCs/>
                <w:sz w:val="22"/>
                <w:szCs w:val="22"/>
              </w:rPr>
            </w:pPr>
            <w:r>
              <w:rPr>
                <w:rFonts w:eastAsia="Times New Roman" w:cstheme="minorHAnsi"/>
                <w:b/>
                <w:bCs/>
                <w:sz w:val="22"/>
                <w:szCs w:val="22"/>
              </w:rPr>
              <w:t xml:space="preserve">Included in Final </w:t>
            </w:r>
            <w:r w:rsidR="004865D8" w:rsidRPr="00CA0394">
              <w:rPr>
                <w:rFonts w:eastAsia="Times New Roman" w:cstheme="minorHAnsi"/>
                <w:b/>
                <w:bCs/>
                <w:sz w:val="22"/>
                <w:szCs w:val="22"/>
              </w:rPr>
              <w:t>Model</w:t>
            </w:r>
            <w:r w:rsidR="00644D88" w:rsidRPr="00CA0394">
              <w:rPr>
                <w:rFonts w:eastAsia="Times New Roman" w:cstheme="minorHAnsi"/>
                <w:b/>
                <w:bCs/>
                <w:sz w:val="22"/>
                <w:szCs w:val="22"/>
              </w:rPr>
              <w:t xml:space="preserve"> (*</w:t>
            </w:r>
            <w:r w:rsidR="00E12F45" w:rsidRPr="00CA0394">
              <w:rPr>
                <w:rFonts w:eastAsia="Times New Roman" w:cstheme="minorHAnsi"/>
                <w:b/>
                <w:bCs/>
                <w:sz w:val="22"/>
                <w:szCs w:val="22"/>
              </w:rPr>
              <w:t>)</w:t>
            </w:r>
          </w:p>
        </w:tc>
      </w:tr>
      <w:tr w:rsidR="00E12F45" w:rsidRPr="00CA0394" w14:paraId="6A3E6A6B" w14:textId="3EBA6252" w:rsidTr="00CA0394">
        <w:trPr>
          <w:trHeight w:val="207"/>
          <w:jc w:val="center"/>
        </w:trPr>
        <w:tc>
          <w:tcPr>
            <w:tcW w:w="1209" w:type="pct"/>
            <w:tcBorders>
              <w:top w:val="single" w:sz="12" w:space="0" w:color="auto"/>
              <w:left w:val="single" w:sz="12" w:space="0" w:color="auto"/>
              <w:bottom w:val="single" w:sz="8" w:space="0" w:color="000000"/>
              <w:right w:val="single" w:sz="12" w:space="0" w:color="auto"/>
            </w:tcBorders>
            <w:vAlign w:val="center"/>
          </w:tcPr>
          <w:p w14:paraId="252835EC" w14:textId="712A38B6" w:rsidR="00E12F45" w:rsidRPr="00CA0394" w:rsidRDefault="00E12F45" w:rsidP="00AA48BD">
            <w:pPr>
              <w:contextualSpacing/>
              <w:jc w:val="center"/>
              <w:rPr>
                <w:rFonts w:cstheme="minorHAnsi"/>
                <w:sz w:val="22"/>
                <w:szCs w:val="22"/>
              </w:rPr>
            </w:pPr>
            <w:r w:rsidRPr="00CA0394">
              <w:rPr>
                <w:rFonts w:cstheme="minorHAnsi"/>
                <w:sz w:val="22"/>
                <w:szCs w:val="22"/>
              </w:rPr>
              <w:t>Min</w:t>
            </w:r>
          </w:p>
        </w:tc>
        <w:tc>
          <w:tcPr>
            <w:tcW w:w="3039" w:type="pct"/>
            <w:vMerge w:val="restart"/>
            <w:tcBorders>
              <w:top w:val="single" w:sz="12" w:space="0" w:color="auto"/>
              <w:left w:val="single" w:sz="12" w:space="0" w:color="auto"/>
              <w:right w:val="single" w:sz="12" w:space="0" w:color="auto"/>
            </w:tcBorders>
            <w:tcMar>
              <w:top w:w="100" w:type="dxa"/>
              <w:left w:w="100" w:type="dxa"/>
              <w:bottom w:w="100" w:type="dxa"/>
              <w:right w:w="100" w:type="dxa"/>
            </w:tcMar>
            <w:vAlign w:val="center"/>
          </w:tcPr>
          <w:p w14:paraId="071C7844" w14:textId="3CF6BF13" w:rsidR="00E12F45" w:rsidRPr="00CA0394" w:rsidRDefault="00E12F45" w:rsidP="00B9144E">
            <w:pPr>
              <w:contextualSpacing/>
              <w:rPr>
                <w:rFonts w:eastAsia="Times New Roman" w:cstheme="minorHAnsi"/>
                <w:i/>
                <w:sz w:val="22"/>
                <w:szCs w:val="22"/>
              </w:rPr>
            </w:pPr>
            <w:r w:rsidRPr="00CA0394">
              <w:rPr>
                <w:rFonts w:cstheme="minorHAnsi"/>
                <w:sz w:val="22"/>
                <w:szCs w:val="22"/>
              </w:rPr>
              <w:t xml:space="preserve">Minimum, maximum, median, mean, and interquartile range of the </w:t>
            </w:r>
            <w:r w:rsidR="00F46A12" w:rsidRPr="00CA0394">
              <w:rPr>
                <w:rFonts w:cstheme="minorHAnsi"/>
                <w:sz w:val="22"/>
                <w:szCs w:val="22"/>
              </w:rPr>
              <w:t>swallow signal</w:t>
            </w:r>
            <w:r w:rsidR="004B2B25" w:rsidRPr="00CA0394">
              <w:rPr>
                <w:rFonts w:cstheme="minorHAnsi"/>
                <w:sz w:val="22"/>
                <w:szCs w:val="22"/>
              </w:rPr>
              <w:t xml:space="preserve"> </w:t>
            </w:r>
            <w:r w:rsidRPr="00CA0394">
              <w:rPr>
                <w:rFonts w:cstheme="minorHAnsi"/>
                <w:sz w:val="22"/>
                <w:szCs w:val="22"/>
              </w:rPr>
              <w:fldChar w:fldCharType="begin" w:fldLock="1"/>
            </w:r>
            <w:r w:rsidR="008A4EF6">
              <w:rPr>
                <w:rFonts w:cstheme="minorHAnsi"/>
                <w:sz w:val="22"/>
                <w:szCs w:val="22"/>
              </w:rPr>
              <w:instrText>ADDIN CSL_CITATION {"citationItems":[{"id":"ITEM-1","itemData":{"DOI":"10.1186/1475-925X-10-100","ISSN":"1475925X","abstract":"Background: Swallowing accelerometry has been suggested as a potential non-invasive tool for bedside dysphagia screening. Various vibratory signal features and complementary measurement modalities have been put forth in the literature for the potential discrimination between safe and unsafe swallowing. To date, automatic classification of swallowing accelerometry has exclusively involved a single-axis of vibration although a second axis is known to contain additional information about the nature of the swallow. Furthermore, the only published attempt at automatic classification in adult patients has been based on a small sample of swallowing vibrations.Methods: In this paper, a large corpus of dual-axis accelerometric signals were collected from 30 older adults (aged 65.47 ± 13.4 years, 15 male) referred to videofluoroscopic examination on the suspicion of dysphagia. We invoked a reputation-based classifier combination to automatically categorize the dual-axis accelerometric signals into safe and unsafe swallows, as labeled via videofluoroscopic review. From these participants, a total of 224 swallowing samples were obtained, 164 of which were labeled as unsafe swallows (swallows where the bolus entered the airway) and 60 as safe swallows. Three separate support vector machine (SVM) classifiers and eight different features were selected for classification.Results: With selected time, frequency and information theoretic features, the reputation-based algorithm distinguished between safe and unsafe swallowing with promising accuracy (80.48 ± 5.0%), high sensitivity (97.1 ± 2%) and modest specificity (64 ± 8.8%). Interpretation of the most discriminatory features revealed that in general, unsafe swallows had lower mean vibration amplitude and faster autocorrelation decay, suggestive of decreased hyoid excursion and compromised coordination, respectively. Further, owing to its performance-based weighting of component classifiers, the static reputation-based algorithm outperformed the democratic majority voting algorithm on this clinical data set.Conclusion: Given its computational efficiency and high sensitivity, reputation-based classification of dual-axis accelerometry ought to be considered in future developments of a point-of-care swallow assessment where clinical informatics are desired. © 2011 Nikjoo et al; licensee BioMed Central Ltd.","author":[{"dropping-particle":"","family":"Nikjoo","given":"Mohammad S.","non-dropping-particle":"","parse-names":false,"suffix":""},{"dropping-particle":"","family":"Steele","given":"Catriona M.","non-dropping-particle":"","parse-names":false,"suffix":""},{"dropping-particle":"","family":"Sejdić","given":"Ervin","non-dropping-particle":"","parse-names":false,"suffix":""},{"dropping-particle":"","family":"Chau","given":"Tom","non-dropping-particle":"","parse-names":false,"suffix":""}],"container-title":"BioMedical Engineering Online","id":"ITEM-1","issue":"1","issued":{"date-parts":[["2011","11"]]},"page":"100","publisher":"BioMed Central","title":"Automatic discrimination between safe and unsafe swallowing using a reputation-based classifier","type":"article-journal","volume":"10"},"uris":["http://www.mendeley.com/documents/?uuid=9aa918a4-21ba-339d-a917-4ad3f6e6432c","http://www.mendeley.com/documents/?uuid=c53c8f62-e9ff-48c0-9ddf-4483b7873274"]},{"id":"ITEM-2","itemData":{"DOI":"10.1186/1743-0003-9-34","ISSN":"1743-0003","author":[{"dropping-particle":"","family":"Celeste","given":"Merey","non-dropping-particle":"","parse-names":false,"suffix":""},{"dropping-particle":"","family":"Azadeh","given":"Kushki","non-dropping-particle":"","parse-names":false,"suffix":""},{"dropping-particle":"","family":"Sejdić","given":"Ervin","non-dropping-particle":"","parse-names":false,"suffix":""},{"dropping-particle":"","family":"Berall","given":"Glenn","non-dropping-particle":"","parse-names":false,"suffix":""},{"dropping-particle":"","family":"Chau","given":"Tom","non-dropping-particle":"","parse-names":false,"suffix":""}],"container-title":"Journal of NeuroEngineering and Rehabilitation","id":"ITEM-2","issue":"1","issued":{"date-parts":[["2012"]]},"page":"34","title":"Quantitative classification of pediatric swallowing through accelerometry","type":"article-journal","volume":"9"},"uris":["http://www.mendeley.com/documents/?uuid=0f94d3fe-6160-3b6b-9144-5b92b32ae54e","http://www.mendeley.com/documents/?uuid=1b445bbd-e35e-4f02-bed4-327f9adec1b7"]},{"id":"ITEM-3","itemData":{"abstract":"Background: Cervical auscultation (CA) is an affordable, non-invasive technique used to observe sounds occurring during swallowing. CA involves swallowing characterization via stethoscopes or microphones, while accelerometers can detect other vibratory signals. While the effects of fluid viscosity on swallowing accelerometry signals is well understood, there are still open questions about these effects on swallowing sounds. Therefore, this study investigated the influence of fluids with increasing thickness on swallowing sound characteristics. Method: We collected swallowing sounds and swallowing accelerometry signals from 56 healthy participants. Each participant completed five water swallows, five swallows of nectar-thick apple juice, and five swallows of honey-thick apple juice. These swallows were completed in neutral head and chin-tuck head positions. After pre-processing of collected signals, a number of features in time, frequency and time-frequency domains were extracted. Results: Our numerical analysis demonstrated that significant influence of viscosity was found in most of the features. In general, features extracted from swallows in the neutral head position were affected more than swallows from the chin-tuck position. Furthermore, most of the differences were found between water and fluids with higher viscosity. Almost no significant differences were found between swallows involving nectar-thick and honey-thick apple juices. Our results also showed that thicker fluids had higher acoustic regularity and predictability as demonstrated by the information-theoretic features, and a lower frequency content as demonstrated by features in the frequency domain. Conclusions: According to these results, we can conclude that viscosity of fluids should be considered in future investigations involving swallowing sounds.","author":[{"dropping-particle":"","family":"Jestrovi´c","given":"Iva Jestrovi´c","non-dropping-particle":"","parse-names":false,"suffix":""},{"dropping-particle":"","family":"Dudik","given":"Joshua M","non-dropping-particle":"","parse-names":false,"suffix":""},{"dropping-particle":"","family":"Luan","given":"Bo","non-dropping-particle":"","parse-names":false,"suffix":""},{"dropping-particle":"","family":"Coyle","given":"James L","non-dropping-particle":"","parse-names":false,"suffix":""},{"dropping-particle":"","family":"Sejdi´c","given":"Ervin Sejdi´c","non-dropping-particle":"","parse-names":false,"suffix":""}],"container-title":"BioMedical Engineering OnLine","id":"ITEM-3","issued":{"date-parts":[["2013"]]},"number-of-pages":"90","title":"The effects of increased fluid viscosity on swallowing sounds in healthy adults","type":"report","volume":"12"},"uris":["http://www.mendeley.com/documents/?uuid=79106fa8-3141-3881-9f26-819101972a0c","http://www.mendeley.com/documents/?uuid=9cb42cd4-fd80-41d0-93bb-d514133cecb7"]}],"mendeley":{"formattedCitation":"[24–26]","plainTextFormattedCitation":"[24–26]","previouslyFormattedCitation":"[24–26]"},"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[24–26]</w:t>
            </w:r>
            <w:r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4" w:space="0" w:color="auto"/>
              <w:right w:val="single" w:sz="12" w:space="0" w:color="auto"/>
            </w:tcBorders>
          </w:tcPr>
          <w:p w14:paraId="0F5AAA00" w14:textId="0C2697AD" w:rsidR="00E12F45" w:rsidRPr="00CA0394" w:rsidRDefault="00E12F45" w:rsidP="00AA48BD">
            <w:pPr>
              <w:contextualSpacing/>
              <w:jc w:val="center"/>
              <w:rPr>
                <w:rFonts w:cstheme="minorHAnsi"/>
                <w:sz w:val="22"/>
                <w:szCs w:val="22"/>
              </w:rPr>
            </w:pPr>
          </w:p>
        </w:tc>
      </w:tr>
      <w:tr w:rsidR="00E12F45" w:rsidRPr="00CA0394" w14:paraId="5502D503" w14:textId="77777777" w:rsidTr="00CA0394">
        <w:trPr>
          <w:trHeight w:val="205"/>
          <w:jc w:val="center"/>
        </w:trPr>
        <w:tc>
          <w:tcPr>
            <w:tcW w:w="1209" w:type="pct"/>
            <w:tcBorders>
              <w:top w:val="single" w:sz="8" w:space="0" w:color="000000"/>
              <w:left w:val="single" w:sz="12" w:space="0" w:color="auto"/>
              <w:bottom w:val="single" w:sz="8" w:space="0" w:color="000000"/>
              <w:right w:val="single" w:sz="12" w:space="0" w:color="auto"/>
            </w:tcBorders>
            <w:vAlign w:val="center"/>
          </w:tcPr>
          <w:p w14:paraId="69A30116" w14:textId="63D9E22F" w:rsidR="00E12F45" w:rsidRPr="00CA0394" w:rsidRDefault="00E12F45" w:rsidP="00AA48BD">
            <w:pPr>
              <w:contextualSpacing/>
              <w:jc w:val="center"/>
              <w:rPr>
                <w:rFonts w:cstheme="minorHAnsi"/>
                <w:sz w:val="22"/>
                <w:szCs w:val="22"/>
              </w:rPr>
            </w:pPr>
            <w:r w:rsidRPr="00CA0394">
              <w:rPr>
                <w:rFonts w:cstheme="minorHAnsi"/>
                <w:sz w:val="22"/>
                <w:szCs w:val="22"/>
              </w:rPr>
              <w:t>Max</w:t>
            </w:r>
          </w:p>
        </w:tc>
        <w:tc>
          <w:tcPr>
            <w:tcW w:w="3039" w:type="pct"/>
            <w:vMerge/>
            <w:tcBorders>
              <w:left w:val="single" w:sz="12" w:space="0" w:color="auto"/>
              <w:right w:val="single" w:sz="12" w:space="0" w:color="auto"/>
            </w:tcBorders>
            <w:tcMar>
              <w:top w:w="100" w:type="dxa"/>
              <w:left w:w="100" w:type="dxa"/>
              <w:bottom w:w="100" w:type="dxa"/>
              <w:right w:w="100" w:type="dxa"/>
            </w:tcMar>
            <w:vAlign w:val="center"/>
          </w:tcPr>
          <w:p w14:paraId="2D6D9617" w14:textId="77777777" w:rsidR="00E12F45" w:rsidRPr="00CA0394" w:rsidRDefault="00E12F45" w:rsidP="00AA48BD">
            <w:pPr>
              <w:contextualSpacing/>
              <w:rPr>
                <w:rFonts w:cstheme="minorHAnsi"/>
                <w:sz w:val="22"/>
                <w:szCs w:val="22"/>
              </w:rPr>
            </w:pPr>
          </w:p>
        </w:tc>
        <w:tc>
          <w:tcPr>
            <w:tcW w:w="752" w:type="pct"/>
            <w:tcBorders>
              <w:top w:val="single" w:sz="4" w:space="0" w:color="auto"/>
              <w:left w:val="single" w:sz="12" w:space="0" w:color="auto"/>
              <w:bottom w:val="single" w:sz="4" w:space="0" w:color="auto"/>
              <w:right w:val="single" w:sz="12" w:space="0" w:color="auto"/>
            </w:tcBorders>
          </w:tcPr>
          <w:p w14:paraId="6023B5D0" w14:textId="2AACC326" w:rsidR="00E12F45" w:rsidRPr="00CA0394" w:rsidRDefault="00E12F45" w:rsidP="00AA48BD">
            <w:pPr>
              <w:contextualSpacing/>
              <w:jc w:val="center"/>
              <w:rPr>
                <w:rFonts w:cstheme="minorHAnsi"/>
                <w:sz w:val="22"/>
                <w:szCs w:val="22"/>
              </w:rPr>
            </w:pPr>
          </w:p>
        </w:tc>
      </w:tr>
      <w:tr w:rsidR="00E12F45" w:rsidRPr="00CA0394" w14:paraId="5A4FC6BE" w14:textId="77777777" w:rsidTr="00CA0394">
        <w:trPr>
          <w:trHeight w:val="205"/>
          <w:jc w:val="center"/>
        </w:trPr>
        <w:tc>
          <w:tcPr>
            <w:tcW w:w="1209" w:type="pct"/>
            <w:tcBorders>
              <w:top w:val="single" w:sz="8" w:space="0" w:color="000000"/>
              <w:left w:val="single" w:sz="12" w:space="0" w:color="auto"/>
              <w:bottom w:val="single" w:sz="8" w:space="0" w:color="000000"/>
              <w:right w:val="single" w:sz="12" w:space="0" w:color="auto"/>
            </w:tcBorders>
            <w:vAlign w:val="center"/>
          </w:tcPr>
          <w:p w14:paraId="68B2B5DE" w14:textId="6B4EF3D1" w:rsidR="00E12F45" w:rsidRPr="00CA0394" w:rsidRDefault="00E12F45" w:rsidP="00AA48BD">
            <w:pPr>
              <w:contextualSpacing/>
              <w:jc w:val="center"/>
              <w:rPr>
                <w:rFonts w:cstheme="minorHAnsi"/>
                <w:sz w:val="22"/>
                <w:szCs w:val="22"/>
              </w:rPr>
            </w:pPr>
            <w:r w:rsidRPr="00CA0394">
              <w:rPr>
                <w:rFonts w:cstheme="minorHAnsi"/>
                <w:sz w:val="22"/>
                <w:szCs w:val="22"/>
              </w:rPr>
              <w:t>Median</w:t>
            </w:r>
          </w:p>
        </w:tc>
        <w:tc>
          <w:tcPr>
            <w:tcW w:w="3039" w:type="pct"/>
            <w:vMerge/>
            <w:tcBorders>
              <w:left w:val="single" w:sz="12" w:space="0" w:color="auto"/>
              <w:right w:val="single" w:sz="12" w:space="0" w:color="auto"/>
            </w:tcBorders>
            <w:tcMar>
              <w:top w:w="100" w:type="dxa"/>
              <w:left w:w="100" w:type="dxa"/>
              <w:bottom w:w="100" w:type="dxa"/>
              <w:right w:w="100" w:type="dxa"/>
            </w:tcMar>
            <w:vAlign w:val="center"/>
          </w:tcPr>
          <w:p w14:paraId="2AF8076D" w14:textId="77777777" w:rsidR="00E12F45" w:rsidRPr="00CA0394" w:rsidRDefault="00E12F45" w:rsidP="00AA48BD">
            <w:pPr>
              <w:contextualSpacing/>
              <w:rPr>
                <w:rFonts w:cstheme="minorHAnsi"/>
                <w:sz w:val="22"/>
                <w:szCs w:val="22"/>
              </w:rPr>
            </w:pPr>
          </w:p>
        </w:tc>
        <w:tc>
          <w:tcPr>
            <w:tcW w:w="752" w:type="pct"/>
            <w:tcBorders>
              <w:top w:val="single" w:sz="4" w:space="0" w:color="auto"/>
              <w:left w:val="single" w:sz="12" w:space="0" w:color="auto"/>
              <w:bottom w:val="single" w:sz="4" w:space="0" w:color="auto"/>
              <w:right w:val="single" w:sz="12" w:space="0" w:color="auto"/>
            </w:tcBorders>
          </w:tcPr>
          <w:p w14:paraId="0841AB28" w14:textId="5EE11C3E" w:rsidR="00E12F45" w:rsidRPr="00CA0394" w:rsidRDefault="00E12F45" w:rsidP="00AA48BD">
            <w:pPr>
              <w:contextualSpacing/>
              <w:jc w:val="center"/>
              <w:rPr>
                <w:rFonts w:cstheme="minorHAnsi"/>
                <w:sz w:val="22"/>
                <w:szCs w:val="22"/>
              </w:rPr>
            </w:pPr>
          </w:p>
        </w:tc>
      </w:tr>
      <w:tr w:rsidR="00E12F45" w:rsidRPr="00CA0394" w14:paraId="3DC27DC7" w14:textId="77777777" w:rsidTr="00CA0394">
        <w:trPr>
          <w:trHeight w:val="205"/>
          <w:jc w:val="center"/>
        </w:trPr>
        <w:tc>
          <w:tcPr>
            <w:tcW w:w="1209" w:type="pct"/>
            <w:tcBorders>
              <w:top w:val="single" w:sz="8" w:space="0" w:color="000000"/>
              <w:left w:val="single" w:sz="12" w:space="0" w:color="auto"/>
              <w:bottom w:val="single" w:sz="8" w:space="0" w:color="000000"/>
              <w:right w:val="single" w:sz="12" w:space="0" w:color="auto"/>
            </w:tcBorders>
            <w:vAlign w:val="center"/>
          </w:tcPr>
          <w:p w14:paraId="41883D1E" w14:textId="19BB7B8D" w:rsidR="00E12F45" w:rsidRPr="00CA0394" w:rsidRDefault="00E12F45" w:rsidP="00AA48BD">
            <w:pPr>
              <w:contextualSpacing/>
              <w:jc w:val="center"/>
              <w:rPr>
                <w:rFonts w:cstheme="minorHAnsi"/>
                <w:sz w:val="22"/>
                <w:szCs w:val="22"/>
              </w:rPr>
            </w:pPr>
            <w:r w:rsidRPr="00CA0394">
              <w:rPr>
                <w:rFonts w:cstheme="minorHAnsi"/>
                <w:sz w:val="22"/>
                <w:szCs w:val="22"/>
              </w:rPr>
              <w:t>Mean</w:t>
            </w:r>
          </w:p>
        </w:tc>
        <w:tc>
          <w:tcPr>
            <w:tcW w:w="3039" w:type="pct"/>
            <w:vMerge/>
            <w:tcBorders>
              <w:left w:val="single" w:sz="12" w:space="0" w:color="auto"/>
              <w:right w:val="single" w:sz="12" w:space="0" w:color="auto"/>
            </w:tcBorders>
            <w:tcMar>
              <w:top w:w="100" w:type="dxa"/>
              <w:left w:w="100" w:type="dxa"/>
              <w:bottom w:w="100" w:type="dxa"/>
              <w:right w:w="100" w:type="dxa"/>
            </w:tcMar>
            <w:vAlign w:val="center"/>
          </w:tcPr>
          <w:p w14:paraId="229D766D" w14:textId="77777777" w:rsidR="00E12F45" w:rsidRPr="00CA0394" w:rsidRDefault="00E12F45" w:rsidP="00AA48BD">
            <w:pPr>
              <w:contextualSpacing/>
              <w:rPr>
                <w:rFonts w:cstheme="minorHAnsi"/>
                <w:sz w:val="22"/>
                <w:szCs w:val="22"/>
              </w:rPr>
            </w:pPr>
          </w:p>
        </w:tc>
        <w:tc>
          <w:tcPr>
            <w:tcW w:w="752" w:type="pct"/>
            <w:tcBorders>
              <w:top w:val="single" w:sz="4" w:space="0" w:color="auto"/>
              <w:left w:val="single" w:sz="12" w:space="0" w:color="auto"/>
              <w:bottom w:val="single" w:sz="4" w:space="0" w:color="auto"/>
              <w:right w:val="single" w:sz="12" w:space="0" w:color="auto"/>
            </w:tcBorders>
          </w:tcPr>
          <w:p w14:paraId="0DD4F4DD" w14:textId="367DE3CB" w:rsidR="00E12F45" w:rsidRPr="00CA0394" w:rsidRDefault="00E12F45" w:rsidP="00AA48BD">
            <w:pPr>
              <w:contextualSpacing/>
              <w:jc w:val="center"/>
              <w:rPr>
                <w:rFonts w:cstheme="minorHAnsi"/>
                <w:sz w:val="22"/>
                <w:szCs w:val="22"/>
              </w:rPr>
            </w:pPr>
          </w:p>
        </w:tc>
      </w:tr>
      <w:tr w:rsidR="00E12F45" w:rsidRPr="00CA0394" w14:paraId="7091EC60" w14:textId="77777777" w:rsidTr="00CA0394">
        <w:trPr>
          <w:trHeight w:val="205"/>
          <w:jc w:val="center"/>
        </w:trPr>
        <w:tc>
          <w:tcPr>
            <w:tcW w:w="1209" w:type="pct"/>
            <w:tcBorders>
              <w:top w:val="single" w:sz="8" w:space="0" w:color="000000"/>
              <w:left w:val="single" w:sz="12" w:space="0" w:color="auto"/>
              <w:bottom w:val="single" w:sz="12" w:space="0" w:color="auto"/>
              <w:right w:val="single" w:sz="12" w:space="0" w:color="auto"/>
            </w:tcBorders>
            <w:vAlign w:val="center"/>
          </w:tcPr>
          <w:p w14:paraId="69601DAC" w14:textId="05D17BF2" w:rsidR="00E12F45" w:rsidRPr="00CA0394" w:rsidRDefault="00E12F45" w:rsidP="00AA48BD">
            <w:pPr>
              <w:contextualSpacing/>
              <w:jc w:val="center"/>
              <w:rPr>
                <w:rFonts w:cstheme="minorHAnsi"/>
                <w:sz w:val="22"/>
                <w:szCs w:val="22"/>
              </w:rPr>
            </w:pPr>
            <w:r w:rsidRPr="00CA0394">
              <w:rPr>
                <w:rFonts w:cstheme="minorHAnsi"/>
                <w:sz w:val="22"/>
                <w:szCs w:val="22"/>
              </w:rPr>
              <w:t>IQR</w:t>
            </w:r>
          </w:p>
        </w:tc>
        <w:tc>
          <w:tcPr>
            <w:tcW w:w="3039" w:type="pct"/>
            <w:vMerge/>
            <w:tcBorders>
              <w:left w:val="single" w:sz="12" w:space="0" w:color="auto"/>
              <w:bottom w:val="single" w:sz="12" w:space="0" w:color="auto"/>
              <w:right w:val="single" w:sz="12" w:space="0" w:color="auto"/>
            </w:tcBorders>
            <w:tcMar>
              <w:top w:w="100" w:type="dxa"/>
              <w:left w:w="100" w:type="dxa"/>
              <w:bottom w:w="100" w:type="dxa"/>
              <w:right w:w="100" w:type="dxa"/>
            </w:tcMar>
            <w:vAlign w:val="center"/>
          </w:tcPr>
          <w:p w14:paraId="275F3C48" w14:textId="77777777" w:rsidR="00E12F45" w:rsidRPr="00CA0394" w:rsidRDefault="00E12F45" w:rsidP="00AA48BD">
            <w:pPr>
              <w:contextualSpacing/>
              <w:rPr>
                <w:rFonts w:cstheme="minorHAnsi"/>
                <w:sz w:val="22"/>
                <w:szCs w:val="22"/>
              </w:rPr>
            </w:pPr>
          </w:p>
        </w:tc>
        <w:tc>
          <w:tcPr>
            <w:tcW w:w="752" w:type="pct"/>
            <w:tcBorders>
              <w:top w:val="single" w:sz="4" w:space="0" w:color="auto"/>
              <w:left w:val="single" w:sz="12" w:space="0" w:color="auto"/>
              <w:bottom w:val="single" w:sz="12" w:space="0" w:color="auto"/>
              <w:right w:val="single" w:sz="12" w:space="0" w:color="auto"/>
            </w:tcBorders>
          </w:tcPr>
          <w:p w14:paraId="0B98661C" w14:textId="4405596E" w:rsidR="00E12F45" w:rsidRPr="00CA0394" w:rsidRDefault="00E12F45" w:rsidP="00AA48BD">
            <w:pPr>
              <w:contextualSpacing/>
              <w:jc w:val="center"/>
              <w:rPr>
                <w:rFonts w:cstheme="minorHAnsi"/>
                <w:sz w:val="22"/>
                <w:szCs w:val="22"/>
              </w:rPr>
            </w:pPr>
          </w:p>
        </w:tc>
      </w:tr>
      <w:tr w:rsidR="00996057" w:rsidRPr="00CA0394" w14:paraId="4B26CFCD" w14:textId="24387D0C" w:rsidTr="00CA0394">
        <w:trPr>
          <w:trHeight w:val="262"/>
          <w:jc w:val="center"/>
        </w:trPr>
        <w:tc>
          <w:tcPr>
            <w:tcW w:w="1209" w:type="pct"/>
            <w:tcBorders>
              <w:top w:val="single" w:sz="12" w:space="0" w:color="auto"/>
              <w:left w:val="single" w:sz="12" w:space="0" w:color="auto"/>
              <w:bottom w:val="single" w:sz="4" w:space="0" w:color="auto"/>
              <w:right w:val="single" w:sz="12" w:space="0" w:color="auto"/>
            </w:tcBorders>
            <w:vAlign w:val="center"/>
          </w:tcPr>
          <w:p w14:paraId="77858108" w14:textId="02ABA1EB" w:rsidR="00996057" w:rsidRPr="00CA0394" w:rsidRDefault="00996057" w:rsidP="00AA48BD">
            <w:pPr>
              <w:contextualSpacing/>
              <w:jc w:val="center"/>
              <w:rPr>
                <w:rFonts w:cstheme="minorHAnsi"/>
                <w:sz w:val="22"/>
                <w:szCs w:val="22"/>
              </w:rPr>
            </w:pPr>
            <w:r w:rsidRPr="00CA0394">
              <w:rPr>
                <w:rFonts w:cstheme="minorHAnsi"/>
                <w:sz w:val="22"/>
                <w:szCs w:val="22"/>
              </w:rPr>
              <w:t>Standard Deviation</w:t>
            </w:r>
          </w:p>
        </w:tc>
        <w:tc>
          <w:tcPr>
            <w:tcW w:w="3039" w:type="pct"/>
            <w:vMerge w:val="restart"/>
            <w:tcBorders>
              <w:top w:val="single" w:sz="12" w:space="0" w:color="auto"/>
              <w:left w:val="single" w:sz="12" w:space="0" w:color="auto"/>
              <w:right w:val="single" w:sz="12" w:space="0" w:color="auto"/>
            </w:tcBorders>
            <w:tcMar>
              <w:top w:w="100" w:type="dxa"/>
              <w:left w:w="100" w:type="dxa"/>
              <w:bottom w:w="100" w:type="dxa"/>
              <w:right w:w="100" w:type="dxa"/>
            </w:tcMar>
            <w:vAlign w:val="center"/>
          </w:tcPr>
          <w:p w14:paraId="2EAD5872" w14:textId="2E96256F" w:rsidR="00996057" w:rsidRPr="00CA0394" w:rsidRDefault="00996057" w:rsidP="00B9144E">
            <w:pPr>
              <w:contextualSpacing/>
              <w:rPr>
                <w:rFonts w:cstheme="minorHAnsi"/>
                <w:sz w:val="22"/>
                <w:szCs w:val="22"/>
              </w:rPr>
            </w:pPr>
            <w:r w:rsidRPr="00CA0394">
              <w:rPr>
                <w:rFonts w:cstheme="minorHAnsi"/>
                <w:sz w:val="22"/>
                <w:szCs w:val="22"/>
              </w:rPr>
              <w:t xml:space="preserve">Measures of the spread, symmetry, and sharpness of the </w:t>
            </w:r>
            <w:r w:rsidR="00F46A12" w:rsidRPr="00CA0394">
              <w:rPr>
                <w:rFonts w:cstheme="minorHAnsi"/>
                <w:sz w:val="22"/>
                <w:szCs w:val="22"/>
              </w:rPr>
              <w:t xml:space="preserve">signal </w:t>
            </w:r>
            <w:r w:rsidR="004B2B25" w:rsidRPr="00CA0394">
              <w:rPr>
                <w:rFonts w:cstheme="minorHAnsi"/>
                <w:sz w:val="22"/>
                <w:szCs w:val="22"/>
              </w:rPr>
              <w:t xml:space="preserve">distribution </w:t>
            </w:r>
            <w:r w:rsidRPr="00CA0394">
              <w:rPr>
                <w:rFonts w:cstheme="minorHAnsi"/>
                <w:sz w:val="22"/>
                <w:szCs w:val="22"/>
              </w:rPr>
              <w:fldChar w:fldCharType="begin" w:fldLock="1"/>
            </w:r>
            <w:r w:rsidR="008A4EF6">
              <w:rPr>
                <w:rFonts w:cstheme="minorHAnsi"/>
                <w:sz w:val="22"/>
                <w:szCs w:val="22"/>
              </w:rPr>
              <w:instrText>ADDIN CSL_CITATION {"citationItems":[{"id":"ITEM-1","itemData":{"DOI":"10.1016/j.apmr.2018.05.038","ISSN":"1532821X","abstract":"Objective: To examine whether there were any associations between high-resolution cervical auscultation (HRCA) acoustic signals recorded by a contact microphone and swallowing kinematic events during pharyngeal swallow as assessed by a videofluoroscopic (VF) examination. Design: Prospective pilot study. Setting: University teaching hospital, university research laboratories. Participants: Patients (N=35) with stroke who have suspected dysphagia (26 men + 9 women; age = 65.8±11.2). Methods: VF recordings of 100 liquid swallows from 35 stroke patients were analyzed, and a variety of HRCA signal features to characterize each swallow were calculated. Main Outcome Measures: Percent of signal feature maxima (peak) occurring within 0.1 seconds of swallow kinematic event identified from VF recording. Results: Maxima of HRCA signal features, such as standard deviation, skewness, kurtosis, centroid frequency, bandwidth, and wave entropy, were associated with hyoid elevation, laryngeal vestibule closure, and upper esophageal sphincter opening, and the contact of the base of the tongue and posterior pharyngeal wall. Conclusions: Although the kinematic source of HRCA acoustic signals has yet to be fully elucidated, these results indicate a strong relationship between these HRCA signals and several swallow kinematic events. There is a potential for HRCA to be developed for diagnostic and rehabilitative clinical management of dysphagia.","author":[{"dropping-particle":"","family":"Kurosu","given":"Atsuko","non-dropping-particle":"","parse-names":false,"suffix":""},{"dropping-particle":"","family":"Coyle","given":"James L.","non-dropping-particle":"","parse-names":false,"suffix":""},{"dropping-particle":"","family":"Dudik","given":"Joshua M.","non-dropping-particle":"","parse-names":false,"suffix":""},{"dropping-particle":"","family":"Sejdic","given":"Ervin","non-dropping-particle":"","parse-names":false,"suffix":""}],"container-title":"Archives of Physical Medicine and Rehabilitation","id":"ITEM-1","issue":"3","issued":{"date-parts":[["2019","3"]]},"page":"501-508","publisher":"W.B. Saunders","title":"Detection of Swallow Kinematic Events From Acoustic High-Resolution Cervical Auscultation Signals in Patients With Stroke","type":"article-journal","volume":"100"},"uris":["http://www.mendeley.com/documents/?uuid=e72c2119-5145-35fc-a059-ad4f14951acb","http://www.mendeley.com/documents/?uuid=0756dc05-ee93-4a78-ab3d-f0ab2c45c37d"]},{"id":"ITEM-2","itemData":{"DOI":"10.1109/THMS.2015.2408615","ISSN":"21682291","abstract":"Cervical auscultation is the recording of sounds and vibrations caused by the human body from the throat during swallowing. While traditionally done by a trained clinician with a stethoscope, much work has been put toward developing more sensitive and clinically useful methods to characterize the data obtained with this technique. The eventual goal of the field is to improve the effectiveness of screening algorithms designed to predict the risk that swallowing disorders pose to individual patients' health and safety. This paper provides an overview of these signal-processing techniques and summarizes recent advances made with digital transducers in hopes of organizing the highly varied research on cervical auscultation. It investigates where on the body these transducers are placed in order to record a signal as well as the collection of analog and digital filtering techniques used to further improve the signal quality. It also presents the wide array of methods and features used to characterize these signals, ranging from simply counting the number of swallows that occur over a period of time to calculating various descriptive features in the time, frequency, and phase space domains. Finally, this paper presents the algorithms that have been used to classify these data into \"normal\" and \"abnormal\" categories. Both linear as well as nonlinear techniques are presented in this regard.","author":[{"dropping-particle":"","family":"Dudik","given":"Joshua M.","non-dropping-particle":"","parse-names":false,"suffix":""},{"dropping-particle":"","family":"Coyle","given":"James L.","non-dropping-particle":"","parse-names":false,"suffix":""},{"dropping-particle":"","family":"Sejdic","given":"Ervin","non-dropping-particle":"","parse-names":false,"suffix":""}],"container-title":"IEEE Transactions on Human-Machine Systems","id":"ITEM-2","issue":"4","issued":{"date-parts":[["2015","8","1"]]},"page":"465-477","publisher":"Institute of Electrical and Electronics Engineers Inc.","title":"Dysphagia Screening: Contributions of Cervical Auscultation Signals and Modern Signal-Processing Techniques","type":"article-journal","volume":"45"},"uris":["http://www.mendeley.com/documents/?uuid=57165cf8-0c21-3c12-a5ce-0441afd99b5e"]},{"id":"ITEM-3","itemData":{"DOI":"10.1007/s00455-020-10124-z","ISSN":"14320460","PMID":"32419103","abstract":"Identifying physiological impairments of swallowing is essential for determining accurate diagnosis and appropriate treatment for patients with dysphagia. The hyoid bone is an anatomical landmark commonly monitored during analysis of videofluoroscopic swallow studies (VFSSs). Its displacement is predictive of penetration/aspiration and is associated with other swallow kinematic events. However, VFSSs are not always readily available/feasible and expose patients to radiation. High-resolution cervical auscultation (HRCA), which uses acoustic and vibratory signals from a microphone and tri-axial accelerometer, is under investigation as a non-invasive dysphagia screening method and potential adjunct to VFSS when it is unavailable or not feasible. We investigated the ability of HRCA to independently track hyoid bone displacement during swallowing with similar accuracy to VFSS, by analyzing vibratory signals from a tri-axial accelerometer using machine learning techniques. We hypothesized HRCA would track hyoid bone displacement with a high degree of accuracy compared to humans. Trained judges completed frame-by-frame analysis of hyoid bone displacement on 400 swallows from 114 patients and 48 swallows from 16 age-matched healthy adults. Extracted features from vibratory signals were used to train the predictive algorithm to generate a bounding box surrounding the hyoid body on each frame. A metric of relative overlapped percentage (ROP) compared human and machine ratings. The mean ROP for all swallows analyzed was 50.75%, indicating &gt; 50% of the bounding box containing the hyoid bone was accurately predicted in every frame. This provides evidence of the feasibility of accurate, automated hyoid bone displacement tracking using HRCA signals without use of VFSS images.","author":[{"dropping-particle":"","family":"Donohue","given":"Cara","non-dropping-particle":"","parse-names":false,"suffix":""},{"dropping-particle":"","family":"Mao","given":"Shitong","non-dropping-particle":"","parse-names":false,"suffix":""},{"dropping-particle":"","family":"Sejdić","given":"Ervin","non-dropping-particle":"","parse-names":false,"suffix":""},{"dropping-particle":"","family":"Coyle","given":"James L.","non-dropping-particle":"","parse-names":false,"suffix":""}],"container-title":"Dysphagia","id":"ITEM-3","issued":{"date-parts":[["2020","5"]]},"page":"3","publisher":"Springer","title":"Tracking Hyoid Bone Displacement During Swallowing Without Videofluoroscopy Using Machine Learning of Vibratory Signals","type":"article-journal","volume":"1"},"uris":["http://www.mendeley.com/documents/?uuid=827722a8-8f01-3286-a8e4-4a3b2e147f48","http://www.mendeley.com/documents/?uuid=a5793382-ac10-47cb-8cc2-e2c63d97ae46"]},{"id":"ITEM-4","itemData":{"DOI":"10.1186/1475-925X-10-100","ISSN":"1475925X","abstract":"Background: Swallowing accelerometry has been suggested as a potential non-invasive tool for bedside dysphagia screening. Various vibratory signal features and complementary measurement modalities have been put forth in the literature for the potential discrimination between safe and unsafe swallowing. To date, automatic classification of swallowing accelerometry has exclusively involved a single-axis of vibration although a second axis is known to contain additional information about the nature of the swallow. Furthermore, the only published attempt at automatic classification in adult patients has been based on a small sample of swallowing vibrations.Methods: In this paper, a large corpus of dual-axis accelerometric signals were collected from 30 older adults (aged 65.47 ± 13.4 years, 15 male) referred to videofluoroscopic examination on the suspicion of dysphagia. We invoked a reputation-based classifier combination to automatically categorize the dual-axis accelerometric signals into safe and unsafe swallows, as labeled via videofluoroscopic review. From these participants, a total of 224 swallowing samples were obtained, 164 of which were labeled as unsafe swallows (swallows where the bolus entered the airway) and 60 as safe swallows. Three separate support vector machine (SVM) classifiers and eight different features were selected for classification.Results: With selected time, frequency and information theoretic features, the reputation-based algorithm distinguished between safe and unsafe swallowing with promising accuracy (80.48 ± 5.0%), high sensitivity (97.1 ± 2%) and modest specificity (64 ± 8.8%). Interpretation of the most discriminatory features revealed that in general, unsafe swallows had lower mean vibration amplitude and faster autocorrelation decay, suggestive of decreased hyoid excursion and compromised coordination, respectively. Further, owing to its performance-based weighting of component classifiers, the static reputation-based algorithm outperformed the democratic majority voting algorithm on this clinical data set.Conclusion: Given its computational efficiency and high sensitivity, reputation-based classification of dual-axis accelerometry ought to be considered in future developments of a point-of-care swallow assessment where clinical informatics are desired. © 2011 Nikjoo et al; licensee BioMed Central Ltd.","author":[{"dropping-particle":"","family":"Nikjoo","given":"Mohammad S.","non-dropping-particle":"","parse-names":false,"suffix":""},{"dropping-particle":"","family":"Steele","given":"Catriona M.","non-dropping-particle":"","parse-names":false,"suffix":""},{"dropping-particle":"","family":"Sejdić","given":"Ervin","non-dropping-particle":"","parse-names":false,"suffix":""},{"dropping-particle":"","family":"Chau","given":"Tom","non-dropping-particle":"","parse-names":false,"suffix":""}],"container-title":"BioMedical Engineering Online","id":"ITEM-4","issue":"1","issued":{"date-parts":[["2011","11"]]},"page":"100","publisher":"BioMed Central","title":"Automatic discrimination between safe and unsafe swallowing using a reputation-based classifier","type":"article-journal","volume":"10"},"uris":["http://www.mendeley.com/documents/?uuid=c53c8f62-e9ff-48c0-9ddf-4483b7873274","http://www.mendeley.com/documents/?uuid=9aa918a4-21ba-339d-a917-4ad3f6e6432c"]},{"id":"ITEM-5","itemData":{"DOI":"10.1186/1743-0003-9-34","ISSN":"1743-0003","author":[{"dropping-particle":"","family":"Celeste","given":"Merey","non-dropping-particle":"","parse-names":false,"suffix":""},{"dropping-particle":"","family":"Azadeh","given":"Kushki","non-dropping-particle":"","parse-names":false,"suffix":""},{"dropping-particle":"","family":"Sejdić","given":"Ervin","non-dropping-particle":"","parse-names":false,"suffix":""},{"dropping-particle":"","family":"Berall","given":"Glenn","non-dropping-particle":"","parse-names":false,"suffix":""},{"dropping-particle":"","family":"Chau","given":"Tom","non-dropping-particle":"","parse-names":false,"suffix":""}],"container-title":"Journal of NeuroEngineering and Rehabilitation","id":"ITEM-5","issue":"1","issued":{"date-parts":[["2012"]]},"page":"34","title":"Quantitative classification of pediatric swallowing through accelerometry","type":"article-journal","volume":"9"},"uris":["http://www.mendeley.com/documents/?uuid=1b445bbd-e35e-4f02-bed4-327f9adec1b7","http://www.mendeley.com/documents/?uuid=0f94d3fe-6160-3b6b-9144-5b92b32ae54e","http://www.mendeley.com/documents/?uuid=6332e7b8-6c8b-467a-92c9-dd7b524c8851"]},{"id":"ITEM-6","itemData":{"abstract":"Background: Cervical auscultation (CA) is an affordable, non-invasive technique used to observe sounds occurring during swallowing. CA involves swallowing characterization via stethoscopes or microphones, while accelerometers can detect other vibratory signals. While the effects of fluid viscosity on swallowing accelerometry signals is well understood, there are still open questions about these effects on swallowing sounds. Therefore, this study investigated the influence of fluids with increasing thickness on swallowing sound characteristics. Method: We collected swallowing sounds and swallowing accelerometry signals from 56 healthy participants. Each participant completed five water swallows, five swallows of nectar-thick apple juice, and five swallows of honey-thick apple juice. These swallows were completed in neutral head and chin-tuck head positions. After pre-processing of collected signals, a number of features in time, frequency and time-frequency domains were extracted. Results: Our numerical analysis demonstrated that significant influence of viscosity was found in most of the features. In general, features extracted from swallows in the neutral head position were affected more than swallows from the chin-tuck position. Furthermore, most of the differences were found between water and fluids with higher viscosity. Almost no significant differences were found between swallows involving nectar-thick and honey-thick apple juices. Our results also showed that thicker fluids had higher acoustic regularity and predictability as demonstrated by the information-theoretic features, and a lower frequency content as demonstrated by features in the frequency domain. Conclusions: According to these results, we can conclude that viscosity of fluids should be considered in future investigations involving swallowing sounds.","author":[{"dropping-particle":"","family":"Jestrovi´c","given":"Iva Jestrovi´c","non-dropping-particle":"","parse-names":false,"suffix":""},{"dropping-particle":"","family":"Dudik","given":"Joshua M","non-dropping-particle":"","parse-names":false,"suffix":""},{"dropping-particle":"","family":"Luan","given":"Bo","non-dropping-particle":"","parse-names":false,"suffix":""},{"dropping-particle":"","family":"Coyle","given":"James L","non-dropping-particle":"","parse-names":false,"suffix":""},{"dropping-particle":"","family":"Sejdi´c","given":"Ervin Sejdi´c","non-dropping-particle":"","parse-names":false,"suffix":""}],"container-title":"BioMedical Engineering OnLine","id":"ITEM-6","issued":{"date-parts":[["2013"]]},"number-of-pages":"90","title":"The effects of increased fluid viscosity on swallowing sounds in healthy adults","type":"report","volume":"12"},"uris":["http://www.mendeley.com/documents/?uuid=9cb42cd4-fd80-41d0-93bb-d514133cecb7","http://www.mendeley.com/documents/?uuid=79106fa8-3141-3881-9f26-819101972a0c","http://www.mendeley.com/documents/?uuid=821c723d-c8f3-492d-a6a4-8e8dd594d60f"]}],"mendeley":{"formattedCitation":"[24–29]","plainTextFormattedCitation":"[24–29]","previouslyFormattedCitation":"[24–29]"},"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[24–29]</w:t>
            </w:r>
            <w:r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4" w:space="0" w:color="auto"/>
              <w:right w:val="single" w:sz="12" w:space="0" w:color="auto"/>
            </w:tcBorders>
          </w:tcPr>
          <w:p w14:paraId="2621EDEF" w14:textId="27905861" w:rsidR="00996057" w:rsidRPr="00CA0394" w:rsidRDefault="00996057" w:rsidP="00AA48BD">
            <w:pPr>
              <w:contextualSpacing/>
              <w:jc w:val="center"/>
              <w:rPr>
                <w:rFonts w:cstheme="minorHAnsi"/>
                <w:sz w:val="22"/>
                <w:szCs w:val="22"/>
              </w:rPr>
            </w:pPr>
          </w:p>
        </w:tc>
      </w:tr>
      <w:tr w:rsidR="00996057" w:rsidRPr="00CA0394" w14:paraId="00492196" w14:textId="77777777" w:rsidTr="00CA0394">
        <w:trPr>
          <w:trHeight w:val="261"/>
          <w:jc w:val="center"/>
        </w:trPr>
        <w:tc>
          <w:tcPr>
            <w:tcW w:w="1209" w:type="pct"/>
            <w:tcBorders>
              <w:top w:val="single" w:sz="4" w:space="0" w:color="auto"/>
              <w:left w:val="single" w:sz="12" w:space="0" w:color="auto"/>
              <w:bottom w:val="single" w:sz="4" w:space="0" w:color="auto"/>
              <w:right w:val="single" w:sz="12" w:space="0" w:color="auto"/>
            </w:tcBorders>
            <w:vAlign w:val="center"/>
          </w:tcPr>
          <w:p w14:paraId="0A4A8E34" w14:textId="18C5CF3D" w:rsidR="00996057" w:rsidRPr="00CA0394" w:rsidRDefault="00996057" w:rsidP="00AA48BD">
            <w:pPr>
              <w:contextualSpacing/>
              <w:jc w:val="center"/>
              <w:rPr>
                <w:rFonts w:cstheme="minorHAnsi"/>
                <w:sz w:val="22"/>
                <w:szCs w:val="22"/>
              </w:rPr>
            </w:pPr>
            <w:r w:rsidRPr="00CA0394">
              <w:rPr>
                <w:rFonts w:cstheme="minorHAnsi"/>
                <w:sz w:val="22"/>
                <w:szCs w:val="22"/>
              </w:rPr>
              <w:t>Skewness</w:t>
            </w:r>
          </w:p>
        </w:tc>
        <w:tc>
          <w:tcPr>
            <w:tcW w:w="3039" w:type="pct"/>
            <w:vMerge/>
            <w:tcBorders>
              <w:left w:val="single" w:sz="12" w:space="0" w:color="auto"/>
              <w:right w:val="single" w:sz="12" w:space="0" w:color="auto"/>
            </w:tcBorders>
            <w:tcMar>
              <w:top w:w="100" w:type="dxa"/>
              <w:left w:w="100" w:type="dxa"/>
              <w:bottom w:w="100" w:type="dxa"/>
              <w:right w:w="100" w:type="dxa"/>
            </w:tcMar>
            <w:vAlign w:val="center"/>
          </w:tcPr>
          <w:p w14:paraId="693E0B86" w14:textId="77777777" w:rsidR="00996057" w:rsidRPr="00CA0394" w:rsidRDefault="00996057" w:rsidP="00AA48BD">
            <w:pPr>
              <w:contextualSpacing/>
              <w:rPr>
                <w:rFonts w:cstheme="minorHAnsi"/>
                <w:sz w:val="22"/>
                <w:szCs w:val="22"/>
              </w:rPr>
            </w:pPr>
          </w:p>
        </w:tc>
        <w:tc>
          <w:tcPr>
            <w:tcW w:w="752" w:type="pct"/>
            <w:tcBorders>
              <w:top w:val="single" w:sz="4" w:space="0" w:color="auto"/>
              <w:left w:val="single" w:sz="12" w:space="0" w:color="auto"/>
              <w:bottom w:val="single" w:sz="4" w:space="0" w:color="auto"/>
              <w:right w:val="single" w:sz="12" w:space="0" w:color="auto"/>
            </w:tcBorders>
          </w:tcPr>
          <w:p w14:paraId="0C4CFB16" w14:textId="0D7381C9" w:rsidR="00996057" w:rsidRPr="00CA0394" w:rsidRDefault="00996057" w:rsidP="00AA48BD">
            <w:pPr>
              <w:contextualSpacing/>
              <w:jc w:val="center"/>
              <w:rPr>
                <w:rFonts w:cstheme="minorHAnsi"/>
                <w:sz w:val="22"/>
                <w:szCs w:val="22"/>
              </w:rPr>
            </w:pPr>
          </w:p>
        </w:tc>
      </w:tr>
      <w:tr w:rsidR="00996057" w:rsidRPr="00CA0394" w14:paraId="26DC0268" w14:textId="77777777" w:rsidTr="00CA0394">
        <w:trPr>
          <w:trHeight w:val="261"/>
          <w:jc w:val="center"/>
        </w:trPr>
        <w:tc>
          <w:tcPr>
            <w:tcW w:w="1209" w:type="pct"/>
            <w:tcBorders>
              <w:top w:val="single" w:sz="4" w:space="0" w:color="auto"/>
              <w:left w:val="single" w:sz="12" w:space="0" w:color="auto"/>
              <w:bottom w:val="single" w:sz="12" w:space="0" w:color="auto"/>
              <w:right w:val="single" w:sz="12" w:space="0" w:color="auto"/>
            </w:tcBorders>
            <w:vAlign w:val="center"/>
          </w:tcPr>
          <w:p w14:paraId="109A1983" w14:textId="6F31361F" w:rsidR="00996057" w:rsidRPr="00CA0394" w:rsidRDefault="00996057" w:rsidP="00AA48BD">
            <w:pPr>
              <w:contextualSpacing/>
              <w:jc w:val="center"/>
              <w:rPr>
                <w:rFonts w:cstheme="minorHAnsi"/>
                <w:sz w:val="22"/>
                <w:szCs w:val="22"/>
              </w:rPr>
            </w:pPr>
            <w:r w:rsidRPr="00CA0394">
              <w:rPr>
                <w:rFonts w:cstheme="minorHAnsi"/>
                <w:sz w:val="22"/>
                <w:szCs w:val="22"/>
              </w:rPr>
              <w:t>Kurtosis</w:t>
            </w:r>
          </w:p>
        </w:tc>
        <w:tc>
          <w:tcPr>
            <w:tcW w:w="3039" w:type="pct"/>
            <w:vMerge/>
            <w:tcBorders>
              <w:left w:val="single" w:sz="12" w:space="0" w:color="auto"/>
              <w:bottom w:val="single" w:sz="12" w:space="0" w:color="auto"/>
              <w:right w:val="single" w:sz="12" w:space="0" w:color="auto"/>
            </w:tcBorders>
            <w:tcMar>
              <w:top w:w="100" w:type="dxa"/>
              <w:left w:w="100" w:type="dxa"/>
              <w:bottom w:w="100" w:type="dxa"/>
              <w:right w:w="100" w:type="dxa"/>
            </w:tcMar>
            <w:vAlign w:val="center"/>
          </w:tcPr>
          <w:p w14:paraId="02D17BE7" w14:textId="77777777" w:rsidR="00996057" w:rsidRPr="00CA0394" w:rsidRDefault="00996057" w:rsidP="00AA48BD">
            <w:pPr>
              <w:contextualSpacing/>
              <w:rPr>
                <w:rFonts w:cstheme="minorHAnsi"/>
                <w:sz w:val="22"/>
                <w:szCs w:val="22"/>
              </w:rPr>
            </w:pPr>
          </w:p>
        </w:tc>
        <w:tc>
          <w:tcPr>
            <w:tcW w:w="752" w:type="pct"/>
            <w:tcBorders>
              <w:top w:val="single" w:sz="4" w:space="0" w:color="auto"/>
              <w:left w:val="single" w:sz="12" w:space="0" w:color="auto"/>
              <w:bottom w:val="single" w:sz="12" w:space="0" w:color="auto"/>
              <w:right w:val="single" w:sz="12" w:space="0" w:color="auto"/>
            </w:tcBorders>
          </w:tcPr>
          <w:p w14:paraId="398B0F70" w14:textId="1CE27399" w:rsidR="00996057" w:rsidRPr="00CA0394" w:rsidRDefault="002B6233" w:rsidP="00AA48BD">
            <w:pPr>
              <w:contextualSpacing/>
              <w:jc w:val="center"/>
              <w:rPr>
                <w:rFonts w:cstheme="minorHAnsi"/>
                <w:sz w:val="22"/>
                <w:szCs w:val="22"/>
              </w:rPr>
            </w:pPr>
            <w:r w:rsidRPr="00CA0394">
              <w:rPr>
                <w:rFonts w:cstheme="minorHAnsi"/>
                <w:sz w:val="22"/>
                <w:szCs w:val="22"/>
              </w:rPr>
              <w:t>*</w:t>
            </w:r>
          </w:p>
        </w:tc>
      </w:tr>
      <w:tr w:rsidR="003C27B9" w:rsidRPr="00CA0394" w14:paraId="281AEF45" w14:textId="7EB1A29E"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2AFEC2C4" w14:textId="77777777" w:rsidR="003C27B9" w:rsidRPr="00CA0394" w:rsidRDefault="003C27B9" w:rsidP="00AA48BD">
            <w:pPr>
              <w:contextualSpacing/>
              <w:jc w:val="center"/>
              <w:rPr>
                <w:rFonts w:cstheme="minorHAnsi"/>
                <w:sz w:val="22"/>
                <w:szCs w:val="22"/>
              </w:rPr>
            </w:pPr>
            <w:r w:rsidRPr="00CA0394">
              <w:rPr>
                <w:rFonts w:cstheme="minorHAnsi"/>
                <w:sz w:val="22"/>
                <w:szCs w:val="22"/>
              </w:rPr>
              <w:t xml:space="preserve">Peak width at half maximum </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50DF7867" w14:textId="51C9F144" w:rsidR="003C27B9" w:rsidRPr="00CA0394" w:rsidRDefault="003C27B9" w:rsidP="00AA48BD">
            <w:pPr>
              <w:contextualSpacing/>
              <w:rPr>
                <w:rFonts w:cstheme="minorHAnsi"/>
                <w:sz w:val="22"/>
                <w:szCs w:val="22"/>
              </w:rPr>
            </w:pPr>
            <w:r w:rsidRPr="00CA0394">
              <w:rPr>
                <w:rFonts w:cstheme="minorHAnsi"/>
                <w:sz w:val="22"/>
                <w:szCs w:val="22"/>
              </w:rPr>
              <w:t>Width of the swallow signal measured at 50</w:t>
            </w:r>
            <w:r w:rsidR="004B2B25" w:rsidRPr="00CA0394">
              <w:rPr>
                <w:rFonts w:cstheme="minorHAnsi"/>
                <w:sz w:val="22"/>
                <w:szCs w:val="22"/>
              </w:rPr>
              <w:t>% of the peak prominence height</w:t>
            </w:r>
            <w:r w:rsidRPr="00CA0394">
              <w:rPr>
                <w:rFonts w:cstheme="minorHAnsi"/>
                <w:sz w:val="22"/>
                <w:szCs w:val="22"/>
              </w:rPr>
              <w:t xml:space="preserve"> </w:t>
            </w:r>
            <m:oMath>
              <m:d>
                <m:dPr>
                  <m:begChr m:val="["/>
                  <m:endChr m:val="]"/>
                  <m:ctrlPr>
                    <w:rPr>
                      <w:rFonts w:ascii="Cambria Math" w:hAnsi="Cambria Math" w:cstheme="minorHAnsi"/>
                      <w:i/>
                      <w:sz w:val="22"/>
                      <w:szCs w:val="22"/>
                    </w:rPr>
                  </m:ctrlPr>
                </m:dPr>
                <m:e>
                  <m:r>
                    <w:rPr>
                      <w:rFonts w:ascii="Cambria Math" w:hAnsi="Cambria Math" w:cstheme="minorHAnsi"/>
                      <w:sz w:val="22"/>
                      <w:szCs w:val="22"/>
                    </w:rPr>
                    <m:t>s</m:t>
                  </m:r>
                </m:e>
              </m:d>
              <m:r>
                <w:rPr>
                  <w:rFonts w:ascii="Cambria Math" w:hAnsi="Cambria Math" w:cstheme="minorHAnsi"/>
                  <w:sz w:val="22"/>
                  <w:szCs w:val="22"/>
                </w:rPr>
                <m:t>.</m:t>
              </m:r>
            </m:oMath>
          </w:p>
        </w:tc>
        <w:tc>
          <w:tcPr>
            <w:tcW w:w="752" w:type="pct"/>
            <w:tcBorders>
              <w:top w:val="single" w:sz="12" w:space="0" w:color="auto"/>
              <w:left w:val="single" w:sz="12" w:space="0" w:color="auto"/>
              <w:bottom w:val="single" w:sz="12" w:space="0" w:color="auto"/>
              <w:right w:val="single" w:sz="12" w:space="0" w:color="auto"/>
            </w:tcBorders>
          </w:tcPr>
          <w:p w14:paraId="7FB87B75" w14:textId="506595FC"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7FA51594" w14:textId="636545A4"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2C59FA77" w14:textId="77777777" w:rsidR="003C27B9" w:rsidRPr="00CA0394" w:rsidRDefault="003C27B9" w:rsidP="00AA48BD">
            <w:pPr>
              <w:contextualSpacing/>
              <w:jc w:val="center"/>
              <w:rPr>
                <w:rFonts w:cstheme="minorHAnsi"/>
                <w:sz w:val="22"/>
                <w:szCs w:val="22"/>
              </w:rPr>
            </w:pPr>
            <w:r w:rsidRPr="00CA0394">
              <w:rPr>
                <w:rFonts w:cstheme="minorHAnsi"/>
                <w:sz w:val="22"/>
                <w:szCs w:val="22"/>
              </w:rPr>
              <w:t>Absolute difference</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48D3C7CE" w14:textId="355716A8" w:rsidR="003C27B9" w:rsidRPr="00CA0394" w:rsidRDefault="00F46A12" w:rsidP="00B9144E">
            <w:pPr>
              <w:contextualSpacing/>
              <w:rPr>
                <w:rFonts w:cstheme="minorHAnsi"/>
                <w:sz w:val="22"/>
                <w:szCs w:val="22"/>
              </w:rPr>
            </w:pPr>
            <w:r w:rsidRPr="00CA0394">
              <w:rPr>
                <w:rFonts w:cstheme="minorHAnsi"/>
                <w:sz w:val="22"/>
                <w:szCs w:val="22"/>
              </w:rPr>
              <w:t>A</w:t>
            </w:r>
            <w:r w:rsidR="003C27B9" w:rsidRPr="00CA0394">
              <w:rPr>
                <w:rFonts w:cstheme="minorHAnsi"/>
                <w:sz w:val="22"/>
                <w:szCs w:val="22"/>
              </w:rPr>
              <w:t>bsolute value of the difference between t</w:t>
            </w:r>
            <w:r w:rsidR="004B2B25" w:rsidRPr="00CA0394">
              <w:rPr>
                <w:rFonts w:cstheme="minorHAnsi"/>
                <w:sz w:val="22"/>
                <w:szCs w:val="22"/>
              </w:rPr>
              <w:t xml:space="preserve">he mean and median acceleration </w:t>
            </w:r>
            <w:r w:rsidR="003C27B9" w:rsidRPr="00CA0394">
              <w:rPr>
                <w:rFonts w:cstheme="minorHAnsi"/>
                <w:sz w:val="22"/>
                <w:szCs w:val="22"/>
              </w:rPr>
              <w:fldChar w:fldCharType="begin" w:fldLock="1"/>
            </w:r>
            <w:r w:rsidR="008A4EF6">
              <w:rPr>
                <w:rFonts w:cstheme="minorHAnsi"/>
                <w:sz w:val="22"/>
                <w:szCs w:val="22"/>
              </w:rPr>
              <w:instrText>ADDIN CSL_CITATION {"citationItems":[{"id":"ITEM-1","itemData":{"DOI":"10.1186/1743-0003-9-34","ISSN":"1743-0003","author":[{"dropping-particle":"","family":"Celeste","given":"Merey","non-dropping-particle":"","parse-names":false,"suffix":""},{"dropping-particle":"","family":"Azadeh","given":"Kushki","non-dropping-particle":"","parse-names":false,"suffix":""},{"dropping-particle":"","family":"Sejdić","given":"Ervin","non-dropping-particle":"","parse-names":false,"suffix":""},{"dropping-particle":"","family":"Berall","given":"Glenn","non-dropping-particle":"","parse-names":false,"suffix":""},{"dropping-particle":"","family":"Chau","given":"Tom","non-dropping-particle":"","parse-names":false,"suffix":""}],"container-title":"Journal of NeuroEngineering and Rehabilitation","id":"ITEM-1","issue":"1","issued":{"date-parts":[["2012"]]},"page":"34","title":"Quantitative classification of pediatric swallowing through accelerometry","type":"article-journal","volume":"9"},"uris":["http://www.mendeley.com/documents/?uuid=1b445bbd-e35e-4f02-bed4-327f9adec1b7","http://www.mendeley.com/documents/?uuid=0f94d3fe-6160-3b6b-9144-5b92b32ae54e"]}],"mendeley":{"formattedCitation":"[25]","plainTextFormattedCitation":"[25]","previouslyFormattedCitation":"[25]"},"properties":{"noteIndex":0},"schema":"https://github.com/citation-style-language/schema/raw/master/csl-citation.json"}</w:instrText>
            </w:r>
            <w:r w:rsidR="003C27B9" w:rsidRPr="00CA0394">
              <w:rPr>
                <w:rFonts w:cstheme="minorHAnsi"/>
                <w:sz w:val="22"/>
                <w:szCs w:val="22"/>
              </w:rPr>
              <w:fldChar w:fldCharType="separate"/>
            </w:r>
            <w:r w:rsidR="008A4EF6" w:rsidRPr="008A4EF6">
              <w:rPr>
                <w:rFonts w:cstheme="minorHAnsi"/>
                <w:noProof/>
                <w:sz w:val="22"/>
                <w:szCs w:val="22"/>
              </w:rPr>
              <w:t>[25]</w:t>
            </w:r>
            <w:r w:rsidR="003C27B9"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3F2D9472" w14:textId="655E51C3" w:rsidR="003C27B9" w:rsidRPr="00CA0394" w:rsidRDefault="003C27B9" w:rsidP="00AA48BD">
            <w:pPr>
              <w:contextualSpacing/>
              <w:jc w:val="center"/>
              <w:rPr>
                <w:rFonts w:cstheme="minorHAnsi"/>
                <w:sz w:val="22"/>
                <w:szCs w:val="22"/>
              </w:rPr>
            </w:pPr>
          </w:p>
        </w:tc>
      </w:tr>
      <w:tr w:rsidR="003C27B9" w:rsidRPr="00CA0394" w14:paraId="5D1944F6" w14:textId="52A4BA85"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7B39D69B" w14:textId="77777777" w:rsidR="003C27B9" w:rsidRPr="00CA0394" w:rsidRDefault="003C27B9" w:rsidP="00AA48BD">
            <w:pPr>
              <w:contextualSpacing/>
              <w:jc w:val="center"/>
              <w:rPr>
                <w:rFonts w:cstheme="minorHAnsi"/>
                <w:sz w:val="22"/>
                <w:szCs w:val="22"/>
              </w:rPr>
            </w:pPr>
            <w:r w:rsidRPr="00CA0394">
              <w:rPr>
                <w:rFonts w:cstheme="minorHAnsi"/>
                <w:sz w:val="22"/>
                <w:szCs w:val="22"/>
              </w:rPr>
              <w:t>Root mean square</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771E3662" w14:textId="2938C70D" w:rsidR="003C27B9" w:rsidRPr="00CA0394" w:rsidRDefault="00F46A12">
            <w:pPr>
              <w:contextualSpacing/>
              <w:rPr>
                <w:rFonts w:cstheme="minorHAnsi"/>
                <w:sz w:val="22"/>
                <w:szCs w:val="22"/>
              </w:rPr>
            </w:pPr>
            <w:r w:rsidRPr="00CA0394">
              <w:rPr>
                <w:rFonts w:cstheme="minorHAnsi"/>
                <w:sz w:val="22"/>
                <w:szCs w:val="22"/>
              </w:rPr>
              <w:t>S</w:t>
            </w:r>
            <w:r w:rsidR="003C27B9" w:rsidRPr="00CA0394">
              <w:rPr>
                <w:rFonts w:cstheme="minorHAnsi"/>
                <w:sz w:val="22"/>
                <w:szCs w:val="22"/>
              </w:rPr>
              <w:t>quare root of the mean</w:t>
            </w:r>
            <w:r w:rsidRPr="00CA0394">
              <w:rPr>
                <w:rFonts w:cstheme="minorHAnsi"/>
                <w:sz w:val="22"/>
                <w:szCs w:val="22"/>
              </w:rPr>
              <w:t xml:space="preserve"> </w:t>
            </w:r>
            <w:r w:rsidR="003C27B9" w:rsidRPr="00CA0394">
              <w:rPr>
                <w:rFonts w:cstheme="minorHAnsi"/>
                <w:sz w:val="22"/>
                <w:szCs w:val="22"/>
              </w:rPr>
              <w:t>square</w:t>
            </w:r>
            <w:r w:rsidRPr="00CA0394">
              <w:rPr>
                <w:rFonts w:cstheme="minorHAnsi"/>
                <w:sz w:val="22"/>
                <w:szCs w:val="22"/>
              </w:rPr>
              <w:t xml:space="preserve"> </w:t>
            </w:r>
            <w:r w:rsidR="00A37419" w:rsidRPr="00CA0394">
              <w:rPr>
                <w:rFonts w:cstheme="minorHAnsi"/>
                <w:sz w:val="22"/>
                <w:szCs w:val="22"/>
              </w:rPr>
              <w:t>signal</w:t>
            </w:r>
            <w:r w:rsidR="003C27B9"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149469BE" w14:textId="12E67DD2" w:rsidR="003C27B9" w:rsidRPr="00CA0394" w:rsidRDefault="003C27B9" w:rsidP="00AA48BD">
            <w:pPr>
              <w:contextualSpacing/>
              <w:jc w:val="center"/>
              <w:rPr>
                <w:rFonts w:cstheme="minorHAnsi"/>
                <w:sz w:val="22"/>
                <w:szCs w:val="22"/>
              </w:rPr>
            </w:pPr>
          </w:p>
        </w:tc>
      </w:tr>
      <w:tr w:rsidR="003C27B9" w:rsidRPr="00CA0394" w14:paraId="3633C08A" w14:textId="1CA9674E"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2D7778D8" w14:textId="77777777" w:rsidR="003C27B9" w:rsidRPr="00CA0394" w:rsidRDefault="003C27B9" w:rsidP="00AA48BD">
            <w:pPr>
              <w:contextualSpacing/>
              <w:jc w:val="center"/>
              <w:rPr>
                <w:rFonts w:cstheme="minorHAnsi"/>
                <w:sz w:val="22"/>
                <w:szCs w:val="22"/>
              </w:rPr>
            </w:pPr>
            <w:r w:rsidRPr="00CA0394">
              <w:rPr>
                <w:rFonts w:cstheme="minorHAnsi"/>
                <w:sz w:val="22"/>
                <w:szCs w:val="22"/>
              </w:rPr>
              <w:t>Sample entropy</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1E582297" w14:textId="044C67E3" w:rsidR="003C27B9" w:rsidRPr="00CA0394" w:rsidRDefault="00F46A12">
            <w:pPr>
              <w:contextualSpacing/>
              <w:rPr>
                <w:rFonts w:cstheme="minorHAnsi"/>
                <w:sz w:val="22"/>
                <w:szCs w:val="22"/>
              </w:rPr>
            </w:pPr>
            <w:r w:rsidRPr="00CA0394">
              <w:rPr>
                <w:rFonts w:cstheme="minorHAnsi"/>
                <w:sz w:val="22"/>
                <w:szCs w:val="22"/>
              </w:rPr>
              <w:t xml:space="preserve">Measure of signal </w:t>
            </w:r>
            <w:r w:rsidR="003C27B9" w:rsidRPr="00CA0394">
              <w:rPr>
                <w:rFonts w:cstheme="minorHAnsi"/>
                <w:sz w:val="22"/>
                <w:szCs w:val="22"/>
              </w:rPr>
              <w:t>regularity</w:t>
            </w:r>
            <w:r w:rsidRPr="00CA0394">
              <w:rPr>
                <w:rFonts w:cstheme="minorHAnsi"/>
                <w:sz w:val="22"/>
                <w:szCs w:val="22"/>
              </w:rPr>
              <w:t>,</w:t>
            </w:r>
            <w:r w:rsidR="003C27B9" w:rsidRPr="00CA0394">
              <w:rPr>
                <w:rFonts w:cstheme="minorHAnsi"/>
                <w:sz w:val="22"/>
                <w:szCs w:val="22"/>
              </w:rPr>
              <w:t xml:space="preserve"> independent of data length</w:t>
            </w:r>
            <w:r w:rsidR="00A37419"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29ECE78A" w14:textId="6437B41E"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637643D5" w14:textId="007B6890"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7A6E451F" w14:textId="77777777" w:rsidR="003C27B9" w:rsidRPr="00CA0394" w:rsidRDefault="003C27B9" w:rsidP="00AA48BD">
            <w:pPr>
              <w:contextualSpacing/>
              <w:jc w:val="center"/>
              <w:rPr>
                <w:rFonts w:cstheme="minorHAnsi"/>
                <w:sz w:val="22"/>
                <w:szCs w:val="22"/>
              </w:rPr>
            </w:pPr>
            <w:r w:rsidRPr="00CA0394">
              <w:rPr>
                <w:rFonts w:cstheme="minorHAnsi"/>
                <w:sz w:val="22"/>
                <w:szCs w:val="22"/>
              </w:rPr>
              <w:t>Lempel-Ziv complexity</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12E12C89" w14:textId="4CD1E870" w:rsidR="003C27B9" w:rsidRPr="00CA0394" w:rsidRDefault="00F46A12" w:rsidP="00B9144E">
            <w:pPr>
              <w:contextualSpacing/>
              <w:rPr>
                <w:rFonts w:cstheme="minorHAnsi"/>
                <w:sz w:val="22"/>
                <w:szCs w:val="22"/>
              </w:rPr>
            </w:pPr>
            <w:r w:rsidRPr="00CA0394">
              <w:rPr>
                <w:rFonts w:cstheme="minorHAnsi"/>
                <w:sz w:val="22"/>
                <w:szCs w:val="22"/>
              </w:rPr>
              <w:t xml:space="preserve">Measure of </w:t>
            </w:r>
            <w:r w:rsidR="00A37419" w:rsidRPr="00CA0394">
              <w:rPr>
                <w:rFonts w:cstheme="minorHAnsi"/>
                <w:sz w:val="22"/>
                <w:szCs w:val="22"/>
              </w:rPr>
              <w:t xml:space="preserve">signal </w:t>
            </w:r>
            <w:r w:rsidR="003C27B9" w:rsidRPr="00CA0394">
              <w:rPr>
                <w:rFonts w:cstheme="minorHAnsi"/>
                <w:sz w:val="22"/>
                <w:szCs w:val="22"/>
              </w:rPr>
              <w:t>complexity or randomness, recursively identifying new substrings and their re</w:t>
            </w:r>
            <w:r w:rsidR="004B2B25" w:rsidRPr="00CA0394">
              <w:rPr>
                <w:rFonts w:cstheme="minorHAnsi"/>
                <w:sz w:val="22"/>
                <w:szCs w:val="22"/>
              </w:rPr>
              <w:t xml:space="preserve">occurrence in the data sequence </w:t>
            </w:r>
            <w:r w:rsidR="003C27B9" w:rsidRPr="00CA0394">
              <w:rPr>
                <w:rFonts w:cstheme="minorHAnsi"/>
                <w:sz w:val="22"/>
                <w:szCs w:val="22"/>
              </w:rPr>
              <w:fldChar w:fldCharType="begin" w:fldLock="1"/>
            </w:r>
            <w:r w:rsidR="008A4EF6">
              <w:rPr>
                <w:rFonts w:cstheme="minorHAnsi"/>
                <w:sz w:val="22"/>
                <w:szCs w:val="22"/>
              </w:rPr>
              <w:instrText>ADDIN CSL_CITATION {"citationItems":[{"id":"ITEM-1","itemData":{"DOI":"10.1186/1475-925X-10-100","ISSN":"1475925X","abstract":"Background: Swallowing accelerometry has been suggested as a potential non-invasive tool for bedside dysphagia screening. Various vibratory signal features and complementary measurement modalities have been put forth in the literature for the potential discrimination between safe and unsafe swallowing. To date, automatic classification of swallowing accelerometry has exclusively involved a single-axis of vibration although a second axis is known to contain additional information about the nature of the swallow. Furthermore, the only published attempt at automatic classification in adult patients has been based on a small sample of swallowing vibrations.Methods: In this paper, a large corpus of dual-axis accelerometric signals were collected from 30 older adults (aged 65.47 ± 13.4 years, 15 male) referred to videofluoroscopic examination on the suspicion of dysphagia. We invoked a reputation-based classifier combination to automatically categorize the dual-axis accelerometric signals into safe and unsafe swallows, as labeled via videofluoroscopic review. From these participants, a total of 224 swallowing samples were obtained, 164 of which were labeled as unsafe swallows (swallows where the bolus entered the airway) and 60 as safe swallows. Three separate support vector machine (SVM) classifiers and eight different features were selected for classification.Results: With selected time, frequency and information theoretic features, the reputation-based algorithm distinguished between safe and unsafe swallowing with promising accuracy (80.48 ± 5.0%), high sensitivity (97.1 ± 2%) and modest specificity (64 ± 8.8%). Interpretation of the most discriminatory features revealed that in general, unsafe swallows had lower mean vibration amplitude and faster autocorrelation decay, suggestive of decreased hyoid excursion and compromised coordination, respectively. Further, owing to its performance-based weighting of component classifiers, the static reputation-based algorithm outperformed the democratic majority voting algorithm on this clinical data set.Conclusion: Given its computational efficiency and high sensitivity, reputation-based classification of dual-axis accelerometry ought to be considered in future developments of a point-of-care swallow assessment where clinical informatics are desired. © 2011 Nikjoo et al; licensee BioMed Central Ltd.","author":[{"dropping-particle":"","family":"Nikjoo","given":"Mohammad S.","non-dropping-particle":"","parse-names":false,"suffix":""},{"dropping-particle":"","family":"Steele","given":"Catriona M.","non-dropping-particle":"","parse-names":false,"suffix":""},{"dropping-particle":"","family":"Sejdić","given":"Ervin","non-dropping-particle":"","parse-names":false,"suffix":""},{"dropping-particle":"","family":"Chau","given":"Tom","non-dropping-particle":"","parse-names":false,"suffix":""}],"container-title":"BioMedical Engineering Online","id":"ITEM-1","issue":"1","issued":{"date-parts":[["2011","11"]]},"page":"100","publisher":"BioMed Central","title":"Automatic discrimination between safe and unsafe swallowing using a reputation-based classifier","type":"article-journal","volume":"10"},"uris":["http://www.mendeley.com/documents/?uuid=c53c8f62-e9ff-48c0-9ddf-4483b7873274","http://www.mendeley.com/documents/?uuid=9aa918a4-21ba-339d-a917-4ad3f6e6432c"]},{"id":"ITEM-2","itemData":{"DOI":"10.1186/1743-0003-9-34","ISSN":"1743-0003","author":[{"dropping-particle":"","family":"Celeste","given":"Merey","non-dropping-particle":"","parse-names":false,"suffix":""},{"dropping-particle":"","family":"Azadeh","given":"Kushki","non-dropping-particle":"","parse-names":false,"suffix":""},{"dropping-particle":"","family":"Sejdić","given":"Ervin","non-dropping-particle":"","parse-names":false,"suffix":""},{"dropping-particle":"","family":"Berall","given":"Glenn","non-dropping-particle":"","parse-names":false,"suffix":""},{"dropping-particle":"","family":"Chau","given":"Tom","non-dropping-particle":"","parse-names":false,"suffix":""}],"container-title":"Journal of NeuroEngineering and Rehabilitation","id":"ITEM-2","issue":"1","issued":{"date-parts":[["2012"]]},"page":"34","title":"Quantitative classification of pediatric swallowing through accelerometry","type":"article-journal","volume":"9"},"uris":["http://www.mendeley.com/documents/?uuid=1b445bbd-e35e-4f02-bed4-327f9adec1b7","http://www.mendeley.com/documents/?uuid=0f94d3fe-6160-3b6b-9144-5b92b32ae54e","http://www.mendeley.com/documents/?uuid=7a8e3a14-fa73-4442-8366-ec6ee092e8dd"]},{"id":"ITEM-3","itemData":{"DOI":"10.1016/j.apmr.2018.05.038","ISSN":"1532821X","abstract":"Objective: To examine whether there were any associations between high-resolution cervical auscultation (HRCA) acoustic signals recorded by a contact microphone and swallowing kinematic events during pharyngeal swallow as assessed by a videofluoroscopic (VF) examination. Design: Prospective pilot study. Setting: University teaching hospital, university research laboratories. Participants: Patients (N=35) with stroke who have suspected dysphagia (26 men + 9 women; age = 65.8±11.2). Methods: VF recordings of 100 liquid swallows from 35 stroke patients were analyzed, and a variety of HRCA signal features to characterize each swallow were calculated. Main Outcome Measures: Percent of signal feature maxima (peak) occurring within 0.1 seconds of swallow kinematic event identified from VF recording. Results: Maxima of HRCA signal features, such as standard deviation, skewness, kurtosis, centroid frequency, bandwidth, and wave entropy, were associated with hyoid elevation, laryngeal vestibule closure, and upper esophageal sphincter opening, and the contact of the base of the tongue and posterior pharyngeal wall. Conclusions: Although the kinematic source of HRCA acoustic signals has yet to be fully elucidated, these results indicate a strong relationship between these HRCA signals and several swallow kinematic events. There is a potential for HRCA to be developed for diagnostic and rehabilitative clinical management of dysphagia.","author":[{"dropping-particle":"","family":"Kurosu","given":"Atsuko","non-dropping-particle":"","parse-names":false,"suffix":""},{"dropping-particle":"","family":"Coyle","given":"James L.","non-dropping-particle":"","parse-names":false,"suffix":""},{"dropping-particle":"","family":"Dudik","given":"Joshua M.","non-dropping-particle":"","parse-names":false,"suffix":""},{"dropping-particle":"","family":"Sejdic","given":"Ervin","non-dropping-particle":"","parse-names":false,"suffix":""}],"container-title":"Archives of Physical Medicine and Rehabilitation","id":"ITEM-3","issue":"3","issued":{"date-parts":[["2019","3"]]},"page":"501-508","publisher":"W.B. Saunders","title":"Detection of Swallow Kinematic Events From Acoustic High-Resolution Cervical Auscultation Signals in Patients With Stroke","type":"article-journal","volume":"100"},"uris":["http://www.mendeley.com/documents/?uuid=0756dc05-ee93-4a78-ab3d-f0ab2c45c37d","http://www.mendeley.com/documents/?uuid=e72c2119-5145-35fc-a059-ad4f14951acb","http://www.mendeley.com/documents/?uuid=83fa3274-80b1-4fa5-8e70-3fe3dd42ca08"]},{"id":"ITEM-4","itemData":{"DOI":"10.1109/THMS.2015.2408615","ISSN":"21682291","abstract":"Cervical auscultation is the recording of sounds and vibrations caused by the human body from the throat during swallowing. While traditionally done by a trained clinician with a stethoscope, much work has been put toward developing more sensitive and clinically useful methods to characterize the data obtained with this technique. The eventual goal of the field is to improve the effectiveness of screening algorithms designed to predict the risk that swallowing disorders pose to individual patients' health and safety. This paper provides an overview of these signal-processing techniques and summarizes recent advances made with digital transducers in hopes of organizing the highly varied research on cervical auscultation. It investigates where on the body these transducers are placed in order to record a signal as well as the collection of analog and digital filtering techniques used to further improve the signal quality. It also presents the wide array of methods and features used to characterize these signals, ranging from simply counting the number of swallows that occur over a period of time to calculating various descriptive features in the time, frequency, and phase space domains. Finally, this paper presents the algorithms that have been used to classify these data into \"normal\" and \"abnormal\" categories. Both linear as well as nonlinear techniques are presented in this regard.","author":[{"dropping-particle":"","family":"Dudik","given":"Joshua M.","non-dropping-particle":"","parse-names":false,"suffix":""},{"dropping-particle":"","family":"Coyle","given":"James L.","non-dropping-particle":"","parse-names":false,"suffix":""},{"dropping-particle":"","family":"Sejdic","given":"Ervin","non-dropping-particle":"","parse-names":false,"suffix":""}],"container-title":"IEEE Transactions on Human-Machine Systems","id":"ITEM-4","issue":"4","issued":{"date-parts":[["2015","8","1"]]},"page":"465-477","publisher":"Institute of Electrical and Electronics Engineers Inc.","title":"Dysphagia Screening: Contributions of Cervical Auscultation Signals and Modern Signal-Processing Techniques","type":"article-journal","volume":"45"},"uris":["http://www.mendeley.com/documents/?uuid=57165cf8-0c21-3c12-a5ce-0441afd99b5e"]},{"id":"ITEM-5","itemData":{"abstract":"Background: Cervical auscultation (CA) is an affordable, non-invasive technique used to observe sounds occurring during swallowing. CA involves swallowing characterization via stethoscopes or microphones, while accelerometers can detect other vibratory signals. While the effects of fluid viscosity on swallowing accelerometry signals is well understood, there are still open questions about these effects on swallowing sounds. Therefore, this study investigated the influence of fluids with increasing thickness on swallowing sound characteristics. Method: We collected swallowing sounds and swallowing accelerometry signals from 56 healthy participants. Each participant completed five water swallows, five swallows of nectar-thick apple juice, and five swallows of honey-thick apple juice. These swallows were completed in neutral head and chin-tuck head positions. After pre-processing of collected signals, a number of features in time, frequency and time-frequency domains were extracted. Results: Our numerical analysis demonstrated that significant influence of viscosity was found in most of the features. In general, features extracted from swallows in the neutral head position were affected more than swallows from the chin-tuck position. Furthermore, most of the differences were found between water and fluids with higher viscosity. Almost no significant differences were found between swallows involving nectar-thick and honey-thick apple juices. Our results also showed that thicker fluids had higher acoustic regularity and predictability as demonstrated by the information-theoretic features, and a lower frequency content as demonstrated by features in the frequency domain. Conclusions: According to these results, we can conclude that viscosity of fluids should be considered in future investigations involving swallowing sounds.","author":[{"dropping-particle":"","family":"Jestrovi´c","given":"Iva Jestrovi´c","non-dropping-particle":"","parse-names":false,"suffix":""},{"dropping-particle":"","family":"Dudik","given":"Joshua M","non-dropping-particle":"","parse-names":false,"suffix":""},{"dropping-particle":"","family":"Luan","given":"Bo","non-dropping-particle":"","parse-names":false,"suffix":""},{"dropping-particle":"","family":"Coyle","given":"James L","non-dropping-particle":"","parse-names":false,"suffix":""},{"dropping-particle":"","family":"Sejdi´c","given":"Ervin Sejdi´c","non-dropping-particle":"","parse-names":false,"suffix":""}],"container-title":"BioMedical Engineering OnLine","id":"ITEM-5","issued":{"date-parts":[["2013"]]},"number-of-pages":"90","title":"The effects of increased fluid viscosity on swallowing sounds in healthy adults","type":"report","volume":"12"},"uris":["http://www.mendeley.com/documents/?uuid=9cb42cd4-fd80-41d0-93bb-d514133cecb7","http://www.mendeley.com/documents/?uuid=79106fa8-3141-3881-9f26-819101972a0c","http://www.mendeley.com/documents/?uuid=4e1fc404-6624-4428-95b8-1aea783ed26c"]},{"id":"ITEM-6","itemData":{"DOI":"10.1007/s00455-020-10124-z","ISSN":"14320460","PMID":"32419103","abstract":"Identifying physiological impairments of swallowing is essential for determining accurate diagnosis and appropriate treatment for patients with dysphagia. The hyoid bone is an anatomical landmark commonly monitored during analysis of videofluoroscopic swallow studies (VFSSs). Its displacement is predictive of penetration/aspiration and is associated with other swallow kinematic events. However, VFSSs are not always readily available/feasible and expose patients to radiation. High-resolution cervical auscultation (HRCA), which uses acoustic and vibratory signals from a microphone and tri-axial accelerometer, is under investigation as a non-invasive dysphagia screening method and potential adjunct to VFSS when it is unavailable or not feasible. We investigated the ability of HRCA to independently track hyoid bone displacement during swallowing with similar accuracy to VFSS, by analyzing vibratory signals from a tri-axial accelerometer using machine learning techniques. We hypothesized HRCA would track hyoid bone displacement with a high degree of accuracy compared to humans. Trained judges completed frame-by-frame analysis of hyoid bone displacement on 400 swallows from 114 patients and 48 swallows from 16 age-matched healthy adults. Extracted features from vibratory signals were used to train the predictive algorithm to generate a bounding box surrounding the hyoid body on each frame. A metric of relative overlapped percentage (ROP) compared human and machine ratings. The mean ROP for all swallows analyzed was 50.75%, indicating &gt; 50% of the bounding box containing the hyoid bone was accurately predicted in every frame. This provides evidence of the feasibility of accurate, automated hyoid bone displacement tracking using HRCA signals without use of VFSS images.","author":[{"dropping-particle":"","family":"Donohue","given":"Cara","non-dropping-particle":"","parse-names":false,"suffix":""},{"dropping-particle":"","family":"Mao","given":"Shitong","non-dropping-particle":"","parse-names":false,"suffix":""},{"dropping-particle":"","family":"Sejdić","given":"Ervin","non-dropping-particle":"","parse-names":false,"suffix":""},{"dropping-particle":"","family":"Coyle","given":"James L.","non-dropping-particle":"","parse-names":false,"suffix":""}],"container-title":"Dysphagia","id":"ITEM-6","issued":{"date-parts":[["2020","5"]]},"page":"3","publisher":"Springer","title":"Tracking Hyoid Bone Displacement During Swallowing Without Videofluoroscopy Using Machine Learning of Vibratory Signals","type":"article-journal","volume":"1"},"uris":["http://www.mendeley.com/documents/?uuid=a5793382-ac10-47cb-8cc2-e2c63d97ae46","http://www.mendeley.com/documents/?uuid=827722a8-8f01-3286-a8e4-4a3b2e147f48","http://www.mendeley.com/documents/?uuid=82aaef93-e73d-40da-830d-eba7bd29cbf1"]}],"mendeley":{"formattedCitation":"[24–29]","plainTextFormattedCitation":"[24–29]","previouslyFormattedCitation":"[24–29]"},"properties":{"noteIndex":0},"schema":"https://github.com/citation-style-language/schema/raw/master/csl-citation.json"}</w:instrText>
            </w:r>
            <w:r w:rsidR="003C27B9" w:rsidRPr="00CA0394">
              <w:rPr>
                <w:rFonts w:cstheme="minorHAnsi"/>
                <w:sz w:val="22"/>
                <w:szCs w:val="22"/>
              </w:rPr>
              <w:fldChar w:fldCharType="separate"/>
            </w:r>
            <w:r w:rsidR="008A4EF6" w:rsidRPr="008A4EF6">
              <w:rPr>
                <w:rFonts w:cstheme="minorHAnsi"/>
                <w:noProof/>
                <w:sz w:val="22"/>
                <w:szCs w:val="22"/>
              </w:rPr>
              <w:t>[24–29]</w:t>
            </w:r>
            <w:r w:rsidR="003C27B9"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1966FE1C" w14:textId="4805DF5B"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2CFF1820" w14:textId="1F2F2894"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4B1527D5" w14:textId="21040D61" w:rsidR="003C27B9" w:rsidRPr="00CA0394" w:rsidRDefault="003C27B9">
            <w:pPr>
              <w:contextualSpacing/>
              <w:jc w:val="center"/>
              <w:rPr>
                <w:rFonts w:cstheme="minorHAnsi"/>
                <w:sz w:val="22"/>
                <w:szCs w:val="22"/>
              </w:rPr>
            </w:pPr>
            <w:r w:rsidRPr="00CA0394">
              <w:rPr>
                <w:rFonts w:cstheme="minorHAnsi"/>
                <w:sz w:val="22"/>
                <w:szCs w:val="22"/>
              </w:rPr>
              <w:t xml:space="preserve">Swallow </w:t>
            </w:r>
            <w:r w:rsidR="00287051" w:rsidRPr="00CA0394">
              <w:rPr>
                <w:rFonts w:cstheme="minorHAnsi"/>
                <w:sz w:val="22"/>
                <w:szCs w:val="22"/>
              </w:rPr>
              <w:t>duration</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49A729E5" w14:textId="6F2DA3A0" w:rsidR="003C27B9" w:rsidRPr="00CA0394" w:rsidRDefault="003C27B9" w:rsidP="00B9144E">
            <w:pPr>
              <w:contextualSpacing/>
              <w:rPr>
                <w:rFonts w:cstheme="minorHAnsi"/>
                <w:sz w:val="22"/>
                <w:szCs w:val="22"/>
              </w:rPr>
            </w:pPr>
            <w:r w:rsidRPr="00CA0394">
              <w:rPr>
                <w:rFonts w:cstheme="minorHAnsi"/>
                <w:sz w:val="22"/>
                <w:szCs w:val="22"/>
              </w:rPr>
              <w:t>Full duration</w:t>
            </w:r>
            <w:r w:rsidR="00F46A12" w:rsidRPr="00CA0394">
              <w:rPr>
                <w:rFonts w:cstheme="minorHAnsi"/>
                <w:sz w:val="22"/>
                <w:szCs w:val="22"/>
              </w:rPr>
              <w:t xml:space="preserve"> (</w:t>
            </w:r>
            <w:r w:rsidRPr="00CA0394">
              <w:rPr>
                <w:rFonts w:cstheme="minorHAnsi"/>
                <w:sz w:val="22"/>
                <w:szCs w:val="22"/>
              </w:rPr>
              <w:t>width</w:t>
            </w:r>
            <w:r w:rsidR="00F46A12" w:rsidRPr="00CA0394">
              <w:rPr>
                <w:rFonts w:cstheme="minorHAnsi"/>
                <w:sz w:val="22"/>
                <w:szCs w:val="22"/>
              </w:rPr>
              <w:t>)</w:t>
            </w:r>
            <w:r w:rsidRPr="00CA0394">
              <w:rPr>
                <w:rFonts w:cstheme="minorHAnsi"/>
                <w:sz w:val="22"/>
                <w:szCs w:val="22"/>
              </w:rPr>
              <w:t xml:space="preserve"> of </w:t>
            </w:r>
            <w:r w:rsidR="00A37419" w:rsidRPr="00CA0394">
              <w:rPr>
                <w:rFonts w:cstheme="minorHAnsi"/>
                <w:sz w:val="22"/>
                <w:szCs w:val="22"/>
              </w:rPr>
              <w:t xml:space="preserve">the </w:t>
            </w:r>
            <w:r w:rsidRPr="00CA0394">
              <w:rPr>
                <w:rFonts w:cstheme="minorHAnsi"/>
                <w:sz w:val="22"/>
                <w:szCs w:val="22"/>
              </w:rPr>
              <w:t xml:space="preserve">swallow, measured from the lower contour line of the signal about the peak </w:t>
            </w:r>
            <w:r w:rsidR="00F46A12" w:rsidRPr="00CA0394">
              <w:rPr>
                <w:rFonts w:cstheme="minorHAnsi"/>
                <w:sz w:val="22"/>
                <w:szCs w:val="22"/>
              </w:rPr>
              <w:t xml:space="preserve">swallow </w:t>
            </w:r>
            <w:r w:rsidR="004B2B25" w:rsidRPr="00CA0394">
              <w:rPr>
                <w:rFonts w:cstheme="minorHAnsi"/>
                <w:sz w:val="22"/>
                <w:szCs w:val="22"/>
              </w:rPr>
              <w:t xml:space="preserve">acceleration </w:t>
            </w:r>
            <w:r w:rsidRPr="00CA0394">
              <w:rPr>
                <w:rFonts w:cstheme="minorHAnsi"/>
                <w:sz w:val="22"/>
                <w:szCs w:val="22"/>
              </w:rPr>
              <w:fldChar w:fldCharType="begin" w:fldLock="1"/>
            </w:r>
            <w:r w:rsidR="008A4EF6">
              <w:rPr>
                <w:rFonts w:cstheme="minorHAnsi"/>
                <w:sz w:val="22"/>
                <w:szCs w:val="22"/>
              </w:rPr>
              <w:instrText>ADDIN CSL_CITATION {"citationItems":[{"id":"ITEM-1","itemData":{"DOI":"10.1109/THMS.2015.2408615","ISSN":"21682291","abstract":"Cervical auscultation is the recording of sounds and vibrations caused by the human body from the throat during swallowing. While traditionally done by a trained clinician with a stethoscope, much work has been put toward developing more sensitive and clinically useful methods to characterize the data obtained with this technique. The eventual goal of the field is to improve the effectiveness of screening algorithms designed to predict the risk that swallowing disorders pose to individual patients' health and safety. This paper provides an overview of these signal-processing techniques and summarizes recent advances made with digital transducers in hopes of organizing the highly varied research on cervical auscultation. It investigates where on the body these transducers are placed in order to record a signal as well as the collection of analog and digital filtering techniques used to further improve the signal quality. It also presents the wide array of methods and features used to characterize these signals, ranging from simply counting the number of swallows that occur over a period of time to calculating various descriptive features in the time, frequency, and phase space domains. Finally, this paper presents the algorithms that have been used to classify these data into \"normal\" and \"abnormal\" categories. Both linear as well as nonlinear techniques are presented in this regard.","author":[{"dropping-particle":"","family":"Dudik","given":"Joshua M.","non-dropping-particle":"","parse-names":false,"suffix":""},{"dropping-particle":"","family":"Coyle","given":"James L.","non-dropping-particle":"","parse-names":false,"suffix":""},{"dropping-particle":"","family":"Sejdic","given":"Ervin","non-dropping-particle":"","parse-names":false,"suffix":""}],"container-title":"IEEE Transactions on Human-Machine Systems","id":"ITEM-1","issue":"4","issued":{"date-parts":[["2015","8","1"]]},"page":"465-477","publisher":"Institute of Electrical and Electronics Engineers Inc.","title":"Dysphagia Screening: Contributions of Cervical Auscultation Signals and Modern Signal-Processing Techniques","type":"article-journal","volume":"45"},"uris":["http://www.mendeley.com/documents/?uuid=57165cf8-0c21-3c12-a5ce-0441afd99b5e"]}],"mendeley":{"formattedCitation":"[28]","plainTextFormattedCitation":"[28]","previouslyFormattedCitation":"[28]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[28]</w:t>
            </w:r>
            <w:r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6F3481C7" w14:textId="76149BAE" w:rsidR="003C27B9" w:rsidRPr="00CA0394" w:rsidRDefault="003C27B9" w:rsidP="00AA48BD">
            <w:pPr>
              <w:contextualSpacing/>
              <w:jc w:val="center"/>
              <w:rPr>
                <w:rFonts w:cstheme="minorHAnsi"/>
                <w:sz w:val="22"/>
                <w:szCs w:val="22"/>
              </w:rPr>
            </w:pPr>
          </w:p>
        </w:tc>
      </w:tr>
      <w:tr w:rsidR="003C27B9" w:rsidRPr="00CA0394" w14:paraId="0CDE7916" w14:textId="4C63A6D7"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514D469C" w14:textId="5A05A1BB" w:rsidR="003C27B9" w:rsidRPr="00CA0394" w:rsidRDefault="003C27B9" w:rsidP="00AA48BD">
            <w:pPr>
              <w:contextualSpacing/>
              <w:jc w:val="center"/>
              <w:rPr>
                <w:rFonts w:cstheme="minorHAnsi"/>
                <w:sz w:val="22"/>
                <w:szCs w:val="22"/>
              </w:rPr>
            </w:pPr>
            <w:r w:rsidRPr="00CA0394">
              <w:rPr>
                <w:rFonts w:cstheme="minorHAnsi"/>
                <w:sz w:val="22"/>
                <w:szCs w:val="22"/>
              </w:rPr>
              <w:t>Power spectra:  Standard deviation, Skewness, Kurtosis</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7678A1A7" w14:textId="045A4A87" w:rsidR="003C27B9" w:rsidRPr="00CA0394" w:rsidRDefault="003C27B9" w:rsidP="00B9144E">
            <w:pPr>
              <w:contextualSpacing/>
              <w:rPr>
                <w:rFonts w:cstheme="minorHAnsi"/>
                <w:sz w:val="22"/>
                <w:szCs w:val="22"/>
              </w:rPr>
            </w:pPr>
            <w:r w:rsidRPr="00CA0394">
              <w:rPr>
                <w:rFonts w:cstheme="minorHAnsi"/>
                <w:sz w:val="22"/>
                <w:szCs w:val="22"/>
              </w:rPr>
              <w:t xml:space="preserve">Measures of the spread, symmetry, and sharpness of </w:t>
            </w:r>
            <w:r w:rsidR="004B2B25" w:rsidRPr="00CA0394">
              <w:rPr>
                <w:rFonts w:cstheme="minorHAnsi"/>
                <w:sz w:val="22"/>
                <w:szCs w:val="22"/>
              </w:rPr>
              <w:t xml:space="preserve">the power spectral distribution </w:t>
            </w:r>
            <w:r w:rsidRPr="00CA0394">
              <w:rPr>
                <w:rFonts w:cstheme="minorHAnsi"/>
                <w:sz w:val="22"/>
                <w:szCs w:val="22"/>
              </w:rPr>
              <w:fldChar w:fldCharType="begin" w:fldLock="1"/>
            </w:r>
            <w:r w:rsidR="008A4EF6">
              <w:rPr>
                <w:rFonts w:cstheme="minorHAnsi"/>
                <w:sz w:val="22"/>
                <w:szCs w:val="22"/>
              </w:rPr>
              <w:instrText>ADDIN CSL_CITATION {"citationItems":[{"id":"ITEM-1","itemData":{"DOI":"10.1109/THMS.2015.2408615","ISSN":"21682291","abstract":"Cervical auscultation is the recording of sounds and vibrations caused by the human body from the throat during swallowing. While traditionally done by a trained clinician with a stethoscope, much work has been put toward developing more sensitive and clinically useful methods to characterize the data obtained with this technique. The eventual goal of the field is to improve the effectiveness of screening algorithms designed to predict the risk that swallowing disorders pose to individual patients' health and safety. This paper provides an overview of these signal-processing techniques and summarizes recent advances made with digital transducers in hopes of organizing the highly varied research on cervical auscultation. It investigates where on the body these transducers are placed in order to record a signal as well as the collection of analog and digital filtering techniques used to further improve the signal quality. It also presents the wide array of methods and features used to characterize these signals, ranging from simply counting the number of swallows that occur over a period of time to calculating various descriptive features in the time, frequency, and phase space domains. Finally, this paper presents the algorithms that have been used to classify these data into \"normal\" and \"abnormal\" categories. Both linear as well as nonlinear techniques are presented in this regard.","author":[{"dropping-particle":"","family":"Dudik","given":"Joshua M.","non-dropping-particle":"","parse-names":false,"suffix":""},{"dropping-particle":"","family":"Coyle","given":"James L.","non-dropping-particle":"","parse-names":false,"suffix":""},{"dropping-particle":"","family":"Sejdic","given":"Ervin","non-dropping-particle":"","parse-names":false,"suffix":""}],"container-title":"IEEE Transactions on Human-Machine Systems","id":"ITEM-1","issue":"4","issued":{"date-parts":[["2015","8","1"]]},"page":"465-477","publisher":"Institute of Electrical and Electronics Engineers Inc.","title":"Dysphagia Screening: Contributions of Cervical Auscultation Signals and Modern Signal-Processing Techniques","type":"article-journal","volume":"45"},"uris":["http://www.mendeley.com/documents/?uuid=57165cf8-0c21-3c12-a5ce-0441afd99b5e"]}],"mendeley":{"formattedCitation":"[28]","plainTextFormattedCitation":"[28]","previouslyFormattedCitation":"[28]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[28]</w:t>
            </w:r>
            <w:r w:rsidRPr="00CA0394">
              <w:rPr>
                <w:rFonts w:cstheme="minorHAnsi"/>
                <w:sz w:val="22"/>
                <w:szCs w:val="22"/>
              </w:rPr>
              <w:fldChar w:fldCharType="end"/>
            </w:r>
            <w:r w:rsidR="004B2B25" w:rsidRPr="00CA0394">
              <w:rPr>
                <w:rFonts w:cstheme="minorHAnsi"/>
                <w:sz w:val="22"/>
                <w:szCs w:val="22"/>
              </w:rPr>
              <w:t>.</w:t>
            </w:r>
            <w:r w:rsidRPr="00CA0394">
              <w:rPr>
                <w:rFonts w:cstheme="minorHAnsi"/>
                <w:sz w:val="22"/>
                <w:szCs w:val="22"/>
              </w:rPr>
              <w:t xml:space="preserve"> </w:t>
            </w:r>
          </w:p>
        </w:tc>
        <w:tc>
          <w:tcPr>
            <w:tcW w:w="752" w:type="pct"/>
            <w:tcBorders>
              <w:top w:val="single" w:sz="12" w:space="0" w:color="auto"/>
              <w:left w:val="single" w:sz="12" w:space="0" w:color="auto"/>
              <w:bottom w:val="single" w:sz="12" w:space="0" w:color="auto"/>
              <w:right w:val="single" w:sz="12" w:space="0" w:color="auto"/>
            </w:tcBorders>
          </w:tcPr>
          <w:p w14:paraId="26046BC9" w14:textId="05BE448E" w:rsidR="003C27B9" w:rsidRPr="00CA0394" w:rsidRDefault="003C27B9" w:rsidP="00AA48BD">
            <w:pPr>
              <w:contextualSpacing/>
              <w:jc w:val="center"/>
              <w:rPr>
                <w:rFonts w:cstheme="minorHAnsi"/>
                <w:sz w:val="22"/>
                <w:szCs w:val="22"/>
              </w:rPr>
            </w:pPr>
          </w:p>
        </w:tc>
      </w:tr>
      <w:tr w:rsidR="003C27B9" w:rsidRPr="00CA0394" w14:paraId="453FDBE6" w14:textId="12A7C428"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4DD7E662" w14:textId="77777777" w:rsidR="003C27B9" w:rsidRPr="00CA0394" w:rsidRDefault="003C27B9" w:rsidP="00AA48BD">
            <w:pPr>
              <w:contextualSpacing/>
              <w:jc w:val="center"/>
              <w:rPr>
                <w:rFonts w:cstheme="minorHAnsi"/>
                <w:sz w:val="22"/>
                <w:szCs w:val="22"/>
              </w:rPr>
            </w:pPr>
            <w:r w:rsidRPr="00CA0394">
              <w:rPr>
                <w:rFonts w:cstheme="minorHAnsi"/>
                <w:sz w:val="22"/>
                <w:szCs w:val="22"/>
              </w:rPr>
              <w:t>Power spectra peak frequency</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25B253A6" w14:textId="5B897DAE" w:rsidR="003C27B9" w:rsidRPr="00CA0394" w:rsidRDefault="00F46A12" w:rsidP="00B9144E">
            <w:pPr>
              <w:contextualSpacing/>
              <w:rPr>
                <w:rFonts w:cstheme="minorHAnsi"/>
                <w:sz w:val="22"/>
                <w:szCs w:val="22"/>
              </w:rPr>
            </w:pPr>
            <w:r w:rsidRPr="00CA0394">
              <w:rPr>
                <w:rFonts w:cstheme="minorHAnsi"/>
                <w:sz w:val="22"/>
                <w:szCs w:val="22"/>
              </w:rPr>
              <w:t>F</w:t>
            </w:r>
            <w:r w:rsidR="003C27B9" w:rsidRPr="00CA0394">
              <w:rPr>
                <w:rFonts w:cstheme="minorHAnsi"/>
                <w:sz w:val="22"/>
                <w:szCs w:val="22"/>
              </w:rPr>
              <w:t>requency corresponding to the maxi</w:t>
            </w:r>
            <w:r w:rsidR="004B2B25" w:rsidRPr="00CA0394">
              <w:rPr>
                <w:rFonts w:cstheme="minorHAnsi"/>
                <w:sz w:val="22"/>
                <w:szCs w:val="22"/>
              </w:rPr>
              <w:t xml:space="preserve">mum power density of the signal </w:t>
            </w:r>
            <w:r w:rsidR="003C27B9" w:rsidRPr="00CA0394">
              <w:rPr>
                <w:rFonts w:cstheme="minorHAnsi"/>
                <w:sz w:val="22"/>
                <w:szCs w:val="22"/>
              </w:rPr>
              <w:fldChar w:fldCharType="begin" w:fldLock="1"/>
            </w:r>
            <w:r w:rsidR="008A4EF6">
              <w:rPr>
                <w:rFonts w:cstheme="minorHAnsi"/>
                <w:sz w:val="22"/>
                <w:szCs w:val="22"/>
              </w:rPr>
              <w:instrText>ADDIN CSL_CITATION {"citationItems":[{"id":"ITEM-1","itemData":{"DOI":"10.1186/1743-0003-9-34","ISSN":"1743-0003","author":[{"dropping-particle":"","family":"Celeste","given":"Merey","non-dropping-particle":"","parse-names":false,"suffix":""},{"dropping-particle":"","family":"Azadeh","given":"Kushki","non-dropping-particle":"","parse-names":false,"suffix":""},{"dropping-particle":"","family":"Sejdić","given":"Ervin","non-dropping-particle":"","parse-names":false,"suffix":""},{"dropping-particle":"","family":"Berall","given":"Glenn","non-dropping-particle":"","parse-names":false,"suffix":""},{"dropping-particle":"","family":"Chau","given":"Tom","non-dropping-particle":"","parse-names":false,"suffix":""}],"container-title":"Journal of NeuroEngineering and Rehabilitation","id":"ITEM-1","issue":"1","issued":{"date-parts":[["2012"]]},"page":"34","title":"Quantitative classification of pediatric swallowing through accelerometry","type":"article-journal","volume":"9"},"uris":["http://www.mendeley.com/documents/?uuid=1b445bbd-e35e-4f02-bed4-327f9adec1b7","http://www.mendeley.com/documents/?uuid=0f94d3fe-6160-3b6b-9144-5b92b32ae54e"]},{"id":"ITEM-2","itemData":{"DOI":"10.1016/j.apmr.2018.05.038","ISSN":"1532821X","abstract":"Objective: To examine whether there were any associations between high-resolution cervical auscultation (HRCA) acoustic signals recorded by a contact microphone and swallowing kinematic events during pharyngeal swallow as assessed by a videofluoroscopic (VF) examination. Design: Prospective pilot study. Setting: University teaching hospital, university research laboratories. Participants: Patients (N=35) with stroke who have suspected dysphagia (26 men + 9 women; age = 65.8±11.2). Methods: VF recordings of 100 liquid swallows from 35 stroke patients were analyzed, and a variety of HRCA signal features to characterize each swallow were calculated. Main Outcome Measures: Percent of signal feature maxima (peak) occurring within 0.1 seconds of swallow kinematic event identified from VF recording. Results: Maxima of HRCA signal features, such as standard deviation, skewness, kurtosis, centroid frequency, bandwidth, and wave entropy, were associated with hyoid elevation, laryngeal vestibule closure, and upper esophageal sphincter opening, and the contact of the base of the tongue and posterior pharyngeal wall. Conclusions: Although the kinematic source of HRCA acoustic signals has yet to be fully elucidated, these results indicate a strong relationship between these HRCA signals and several swallow kinematic events. There is a potential for HRCA to be developed for diagnostic and rehabilitative clinical management of dysphagia.","author":[{"dropping-particle":"","family":"Kurosu","given":"Atsuko","non-dropping-particle":"","parse-names":false,"suffix":""},{"dropping-particle":"","family":"Coyle","given":"James L.","non-dropping-particle":"","parse-names":false,"suffix":""},{"dropping-particle":"","family":"Dudik","given":"Joshua M.","non-dropping-particle":"","parse-names":false,"suffix":""},{"dropping-particle":"","family":"Sejdic","given":"Ervin","non-dropping-particle":"","parse-names":false,"suffix":""}],"container-title":"Archives of Physical Medicine and Rehabilitation","id":"ITEM-2","issue":"3","issued":{"date-parts":[["2019","3"]]},"page":"501-508","publisher":"W.B. Saunders","title":"Detection of Swallow Kinematic Events From Acoustic High-Resolution Cervical Auscultation Signals in Patients With Stroke","type":"article-journal","volume":"100"},"uris":["http://www.mendeley.com/documents/?uuid=0756dc05-ee93-4a78-ab3d-f0ab2c45c37d","http://www.mendeley.com/documents/?uuid=e72c2119-5145-35fc-a059-ad4f14951acb","http://www.mendeley.com/documents/?uuid=d534b32e-4434-49d8-90b8-1e5dc866b9f5"]},{"id":"ITEM-3","itemData":{"DOI":"10.1109/THMS.2015.2408615","ISSN":"21682291","abstract":"Cervical auscultation is the recording of sounds and vibrations caused by the human body from the throat during swallowing. While traditionally done by a trained clinician with a stethoscope, much work has been put toward developing more sensitive and clinically useful methods to characterize the data obtained with this technique. The eventual goal of the field is to improve the effectiveness of screening algorithms designed to predict the risk that swallowing disorders pose to individual patients' health and safety. This paper provides an overview of these signal-processing techniques and summarizes recent advances made with digital transducers in hopes of organizing the highly varied research on cervical auscultation. It investigates where on the body these transducers are placed in order to record a signal as well as the collection of analog and digital filtering techniques used to further improve the signal quality. It also presents the wide array of methods and features used to characterize these signals, ranging from simply counting the number of swallows that occur over a period of time to calculating various descriptive features in the time, frequency, and phase space domains. Finally, this paper presents the algorithms that have been used to classify these data into \"normal\" and \"abnormal\" categories. Both linear as well as nonlinear techniques are presented in this regard.","author":[{"dropping-particle":"","family":"Dudik","given":"Joshua M.","non-dropping-particle":"","parse-names":false,"suffix":""},{"dropping-particle":"","family":"Coyle","given":"James L.","non-dropping-particle":"","parse-names":false,"suffix":""},{"dropping-particle":"","family":"Sejdic","given":"Ervin","non-dropping-particle":"","parse-names":false,"suffix":""}],"container-title":"IEEE Transactions on Human-Machine Systems","id":"ITEM-3","issue":"4","issued":{"date-parts":[["2015","8","1"]]},"page":"465-477","publisher":"Institute of Electrical and Electronics Engineers Inc.","title":"Dysphagia Screening: Contributions of Cervical Auscultation Signals and Modern Signal-Processing Techniques","type":"article-journal","volume":"45"},"uris":["http://www.mendeley.com/documents/?uuid=57165cf8-0c21-3c12-a5ce-0441afd99b5e"]},{"id":"ITEM-4","itemData":{"abstract":"Background: Cervical auscultation (CA) is an affordable, non-invasive technique used to observe sounds occurring during swallowing. CA involves swallowing characterization via stethoscopes or microphones, while accelerometers can detect other vibratory signals. While the effects of fluid viscosity on swallowing accelerometry signals is well understood, there are still open questions about these effects on swallowing sounds. Therefore, this study investigated the influence of fluids with increasing thickness on swallowing sound characteristics. Method: We collected swallowing sounds and swallowing accelerometry signals from 56 healthy participants. Each participant completed five water swallows, five swallows of nectar-thick apple juice, and five swallows of honey-thick apple juice. These swallows were completed in neutral head and chin-tuck head positions. After pre-processing of collected signals, a number of features in time, frequency and time-frequency domains were extracted. Results: Our numerical analysis demonstrated that significant influence of viscosity was found in most of the features. In general, features extracted from swallows in the neutral head position were affected more than swallows from the chin-tuck position. Furthermore, most of the differences were found between water and fluids with higher viscosity. Almost no significant differences were found between swallows involving nectar-thick and honey-thick apple juices. Our results also showed that thicker fluids had higher acoustic regularity and predictability as demonstrated by the information-theoretic features, and a lower frequency content as demonstrated by features in the frequency domain. Conclusions: According to these results, we can conclude that viscosity of fluids should be considered in future investigations involving swallowing sounds.","author":[{"dropping-particle":"","family":"Jestrovi´c","given":"Iva Jestrovi´c","non-dropping-particle":"","parse-names":false,"suffix":""},{"dropping-particle":"","family":"Dudik","given":"Joshua M","non-dropping-particle":"","parse-names":false,"suffix":""},{"dropping-particle":"","family":"Luan","given":"Bo","non-dropping-particle":"","parse-names":false,"suffix":""},{"dropping-particle":"","family":"Coyle","given":"James L","non-dropping-particle":"","parse-names":false,"suffix":""},{"dropping-particle":"","family":"Sejdi´c","given":"Ervin Sejdi´c","non-dropping-particle":"","parse-names":false,"suffix":""}],"container-title":"BioMedical Engineering OnLine","id":"ITEM-4","issued":{"date-parts":[["2013"]]},"number-of-pages":"90","title":"The effects of increased fluid viscosity on swallowing sounds in healthy adults","type":"report","volume":"12"},"uris":["http://www.mendeley.com/documents/?uuid=9cb42cd4-fd80-41d0-93bb-d514133cecb7","http://www.mendeley.com/documents/?uuid=79106fa8-3141-3881-9f26-819101972a0c","http://www.mendeley.com/documents/?uuid=055265a3-cc8e-4c25-9cf3-cf7009c9a2d9"]},{"id":"ITEM-5","itemData":{"DOI":"10.1007/s00455-020-10124-z","ISSN":"14320460","PMID":"32419103","abstract":"Identifying physiological impairments of swallowing is essential for determining accurate diagnosis and appropriate treatment for patients with dysphagia. The hyoid bone is an anatomical landmark commonly monitored during analysis of videofluoroscopic swallow studies (VFSSs). Its displacement is predictive of penetration/aspiration and is associated with other swallow kinematic events. However, VFSSs are not always readily available/feasible and expose patients to radiation. High-resolution cervical auscultation (HRCA), which uses acoustic and vibratory signals from a microphone and tri-axial accelerometer, is under investigation as a non-invasive dysphagia screening method and potential adjunct to VFSS when it is unavailable or not feasible. We investigated the ability of HRCA to independently track hyoid bone displacement during swallowing with similar accuracy to VFSS, by analyzing vibratory signals from a tri-axial accelerometer using machine learning techniques. We hypothesized HRCA would track hyoid bone displacement with a high degree of accuracy compared to humans. Trained judges completed frame-by-frame analysis of hyoid bone displacement on 400 swallows from 114 patients and 48 swallows from 16 age-matched healthy adults. Extracted features from vibratory signals were used to train the predictive algorithm to generate a bounding box surrounding the hyoid body on each frame. A metric of relative overlapped percentage (ROP) compared human and machine ratings. The mean ROP for all swallows analyzed was 50.75%, indicating &gt; 50% of the bounding box containing the hyoid bone was accurately predicted in every frame. This provides evidence of the feasibility of accurate, automated hyoid bone displacement tracking using HRCA signals without use of VFSS images.","author":[{"dropping-particle":"","family":"Donohue","given":"Cara","non-dropping-particle":"","parse-names":false,"suffix":""},{"dropping-particle":"","family":"Mao","given":"Shitong","non-dropping-particle":"","parse-names":false,"suffix":""},{"dropping-particle":"","family":"Sejdić","given":"Ervin","non-dropping-particle":"","parse-names":false,"suffix":""},{"dropping-particle":"","family":"Coyle","given":"James L.","non-dropping-particle":"","parse-names":false,"suffix":""}],"container-title":"Dysphagia","id":"ITEM-5","issued":{"date-parts":[["2020","5"]]},"page":"3","publisher":"Springer","title":"Tracking Hyoid Bone Displacement During Swallowing Without Videofluoroscopy Using Machine Learning of Vibratory Signals","type":"article-journal","volume":"1"},"uris":["http://www.mendeley.com/documents/?uuid=a5793382-ac10-47cb-8cc2-e2c63d97ae46","http://www.mendeley.com/documents/?uuid=827722a8-8f01-3286-a8e4-4a3b2e147f48","http://www.mendeley.com/documents/?uuid=37293b1e-bf04-4587-8797-91b9472debd4"]}],"mendeley":{"formattedCitation":"[25–29]","plainTextFormattedCitation":"[25–29]","previouslyFormattedCitation":"[25–29]"},"properties":{"noteIndex":0},"schema":"https://github.com/citation-style-language/schema/raw/master/csl-citation.json"}</w:instrText>
            </w:r>
            <w:r w:rsidR="003C27B9" w:rsidRPr="00CA0394">
              <w:rPr>
                <w:rFonts w:cstheme="minorHAnsi"/>
                <w:sz w:val="22"/>
                <w:szCs w:val="22"/>
              </w:rPr>
              <w:fldChar w:fldCharType="separate"/>
            </w:r>
            <w:r w:rsidR="008A4EF6" w:rsidRPr="008A4EF6">
              <w:rPr>
                <w:rFonts w:cstheme="minorHAnsi"/>
                <w:noProof/>
                <w:sz w:val="22"/>
                <w:szCs w:val="22"/>
              </w:rPr>
              <w:t>[25–29]</w:t>
            </w:r>
            <w:r w:rsidR="003C27B9"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491CE69B" w14:textId="24567496"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3C361D13" w14:textId="74C7AB5C" w:rsidTr="00CA0394">
        <w:trPr>
          <w:trHeight w:val="20"/>
          <w:jc w:val="center"/>
        </w:trPr>
        <w:tc>
          <w:tcPr>
            <w:tcW w:w="1209" w:type="pct"/>
            <w:tcBorders>
              <w:top w:val="single" w:sz="12" w:space="0" w:color="auto"/>
              <w:left w:val="single" w:sz="12" w:space="0" w:color="auto"/>
              <w:bottom w:val="single" w:sz="8" w:space="0" w:color="000000"/>
              <w:right w:val="single" w:sz="12" w:space="0" w:color="auto"/>
            </w:tcBorders>
            <w:vAlign w:val="center"/>
          </w:tcPr>
          <w:p w14:paraId="3DE3E32B" w14:textId="77777777" w:rsidR="003C27B9" w:rsidRPr="00CA0394" w:rsidRDefault="003C27B9" w:rsidP="00AA48BD">
            <w:pPr>
              <w:contextualSpacing/>
              <w:jc w:val="center"/>
              <w:rPr>
                <w:rFonts w:cstheme="minorHAnsi"/>
                <w:sz w:val="22"/>
                <w:szCs w:val="22"/>
              </w:rPr>
            </w:pPr>
            <w:r w:rsidRPr="00CA0394">
              <w:rPr>
                <w:rFonts w:cstheme="minorHAnsi"/>
                <w:sz w:val="22"/>
                <w:szCs w:val="22"/>
              </w:rPr>
              <w:t>Power spectra peak frequency magnitude</w:t>
            </w:r>
          </w:p>
        </w:tc>
        <w:tc>
          <w:tcPr>
            <w:tcW w:w="3039" w:type="pct"/>
            <w:tcBorders>
              <w:top w:val="single" w:sz="12" w:space="0" w:color="auto"/>
              <w:left w:val="single" w:sz="12" w:space="0" w:color="auto"/>
              <w:bottom w:val="single" w:sz="8" w:space="0" w:color="000000"/>
              <w:right w:val="single" w:sz="12" w:space="0" w:color="auto"/>
            </w:tcBorders>
            <w:tcMar>
              <w:top w:w="100" w:type="dxa"/>
              <w:left w:w="100" w:type="dxa"/>
              <w:bottom w:w="100" w:type="dxa"/>
              <w:right w:w="100" w:type="dxa"/>
            </w:tcMar>
            <w:vAlign w:val="center"/>
          </w:tcPr>
          <w:p w14:paraId="7EF29B20" w14:textId="4E223C59" w:rsidR="003C27B9" w:rsidRPr="00CA0394" w:rsidRDefault="00F46A12" w:rsidP="00B9144E">
            <w:pPr>
              <w:contextualSpacing/>
              <w:rPr>
                <w:rFonts w:cstheme="minorHAnsi"/>
                <w:sz w:val="22"/>
                <w:szCs w:val="22"/>
              </w:rPr>
            </w:pPr>
            <w:r w:rsidRPr="00CA0394">
              <w:rPr>
                <w:rFonts w:cstheme="minorHAnsi"/>
                <w:sz w:val="22"/>
                <w:szCs w:val="22"/>
              </w:rPr>
              <w:t xml:space="preserve">Peak magnitude of the </w:t>
            </w:r>
            <w:r w:rsidR="004B2B25" w:rsidRPr="00CA0394">
              <w:rPr>
                <w:rFonts w:cstheme="minorHAnsi"/>
                <w:sz w:val="22"/>
                <w:szCs w:val="22"/>
              </w:rPr>
              <w:t xml:space="preserve">power spectral density </w:t>
            </w:r>
            <w:r w:rsidR="003C27B9" w:rsidRPr="00CA0394">
              <w:rPr>
                <w:rFonts w:cstheme="minorHAnsi"/>
                <w:sz w:val="22"/>
                <w:szCs w:val="22"/>
              </w:rPr>
              <w:fldChar w:fldCharType="begin" w:fldLock="1"/>
            </w:r>
            <w:r w:rsidR="008A4EF6">
              <w:rPr>
                <w:rFonts w:cstheme="minorHAnsi"/>
                <w:sz w:val="22"/>
                <w:szCs w:val="22"/>
              </w:rPr>
              <w:instrText>ADDIN CSL_CITATION {"citationItems":[{"id":"ITEM-1","itemData":{"DOI":"10.1186/1743-0003-9-34","ISSN":"1743-0003","author":[{"dropping-particle":"","family":"Celeste","given":"Merey","non-dropping-particle":"","parse-names":false,"suffix":""},{"dropping-particle":"","family":"Azadeh","given":"Kushki","non-dropping-particle":"","parse-names":false,"suffix":""},{"dropping-particle":"","family":"Sejdić","given":"Ervin","non-dropping-particle":"","parse-names":false,"suffix":""},{"dropping-particle":"","family":"Berall","given":"Glenn","non-dropping-particle":"","parse-names":false,"suffix":""},{"dropping-particle":"","family":"Chau","given":"Tom","non-dropping-particle":"","parse-names":false,"suffix":""}],"container-title":"Journal of NeuroEngineering and Rehabilitation","id":"ITEM-1","issue":"1","issued":{"date-parts":[["2012"]]},"page":"34","title":"Quantitative classification of pediatric swallowing through accelerometry","type":"article-journal","volume":"9"},"uris":["http://www.mendeley.com/documents/?uuid=1b445bbd-e35e-4f02-bed4-327f9adec1b7","http://www.mendeley.com/documents/?uuid=0f94d3fe-6160-3b6b-9144-5b92b32ae54e"]}],"mendeley":{"formattedCitation":"[25]","plainTextFormattedCitation":"[25]","previouslyFormattedCitation":"[25]"},"properties":{"noteIndex":0},"schema":"https://github.com/citation-style-language/schema/raw/master/csl-citation.json"}</w:instrText>
            </w:r>
            <w:r w:rsidR="003C27B9" w:rsidRPr="00CA0394">
              <w:rPr>
                <w:rFonts w:cstheme="minorHAnsi"/>
                <w:sz w:val="22"/>
                <w:szCs w:val="22"/>
              </w:rPr>
              <w:fldChar w:fldCharType="separate"/>
            </w:r>
            <w:r w:rsidR="008A4EF6" w:rsidRPr="008A4EF6">
              <w:rPr>
                <w:rFonts w:cstheme="minorHAnsi"/>
                <w:noProof/>
                <w:sz w:val="22"/>
                <w:szCs w:val="22"/>
              </w:rPr>
              <w:t>[25]</w:t>
            </w:r>
            <w:r w:rsidR="003C27B9"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8" w:space="0" w:color="000000"/>
              <w:right w:val="single" w:sz="12" w:space="0" w:color="auto"/>
            </w:tcBorders>
          </w:tcPr>
          <w:p w14:paraId="2B05ED92" w14:textId="17487AA1" w:rsidR="003C27B9" w:rsidRPr="00CA0394" w:rsidRDefault="003C27B9" w:rsidP="00AA48BD">
            <w:pPr>
              <w:contextualSpacing/>
              <w:jc w:val="center"/>
              <w:rPr>
                <w:rFonts w:cstheme="minorHAnsi"/>
                <w:sz w:val="22"/>
                <w:szCs w:val="22"/>
              </w:rPr>
            </w:pPr>
          </w:p>
        </w:tc>
      </w:tr>
      <w:tr w:rsidR="003C27B9" w:rsidRPr="00CA0394" w14:paraId="7BF1260C" w14:textId="1D77CB57"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030644E3" w14:textId="77777777" w:rsidR="003C27B9" w:rsidRPr="00CA0394" w:rsidRDefault="003C27B9" w:rsidP="00AA48BD">
            <w:pPr>
              <w:contextualSpacing/>
              <w:jc w:val="center"/>
              <w:rPr>
                <w:rFonts w:cstheme="minorHAnsi"/>
                <w:sz w:val="22"/>
                <w:szCs w:val="22"/>
              </w:rPr>
            </w:pPr>
            <w:r w:rsidRPr="00CA0394">
              <w:rPr>
                <w:rFonts w:cstheme="minorHAnsi"/>
                <w:sz w:val="22"/>
                <w:szCs w:val="22"/>
              </w:rPr>
              <w:lastRenderedPageBreak/>
              <w:t>Power spectra normalized peak frequency</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262531B8" w14:textId="2BC1F479" w:rsidR="003C27B9" w:rsidRPr="00CA0394" w:rsidRDefault="00F46A12" w:rsidP="00AA48BD">
            <w:pPr>
              <w:contextualSpacing/>
              <w:rPr>
                <w:rFonts w:cstheme="minorHAnsi"/>
                <w:sz w:val="22"/>
                <w:szCs w:val="22"/>
              </w:rPr>
            </w:pPr>
            <w:r w:rsidRPr="00CA0394">
              <w:rPr>
                <w:rFonts w:cstheme="minorHAnsi"/>
                <w:sz w:val="22"/>
                <w:szCs w:val="22"/>
              </w:rPr>
              <w:t>P</w:t>
            </w:r>
            <w:r w:rsidR="003C27B9" w:rsidRPr="00CA0394">
              <w:rPr>
                <w:rFonts w:cstheme="minorHAnsi"/>
                <w:sz w:val="22"/>
                <w:szCs w:val="22"/>
              </w:rPr>
              <w:t xml:space="preserve">ower of the peak frequency divided by the total power of the signal. </w:t>
            </w:r>
          </w:p>
        </w:tc>
        <w:tc>
          <w:tcPr>
            <w:tcW w:w="752" w:type="pct"/>
            <w:tcBorders>
              <w:top w:val="single" w:sz="12" w:space="0" w:color="auto"/>
              <w:left w:val="single" w:sz="12" w:space="0" w:color="auto"/>
              <w:bottom w:val="single" w:sz="12" w:space="0" w:color="auto"/>
              <w:right w:val="single" w:sz="12" w:space="0" w:color="auto"/>
            </w:tcBorders>
          </w:tcPr>
          <w:p w14:paraId="17C07F28" w14:textId="23C35FC2"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0B4044C4" w14:textId="4EDADDFF"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6D4DA221" w14:textId="77777777" w:rsidR="003C27B9" w:rsidRPr="00CA0394" w:rsidRDefault="003C27B9" w:rsidP="00AA48BD">
            <w:pPr>
              <w:contextualSpacing/>
              <w:jc w:val="center"/>
              <w:rPr>
                <w:rFonts w:cstheme="minorHAnsi"/>
                <w:sz w:val="22"/>
                <w:szCs w:val="22"/>
              </w:rPr>
            </w:pPr>
            <w:r w:rsidRPr="00CA0394">
              <w:rPr>
                <w:rFonts w:cstheme="minorHAnsi"/>
                <w:sz w:val="22"/>
                <w:szCs w:val="22"/>
              </w:rPr>
              <w:t>Power spectra total power</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1616FEF9" w14:textId="3D6D42FF" w:rsidR="003C27B9" w:rsidRPr="00CA0394" w:rsidRDefault="00F46A12" w:rsidP="00B9144E">
            <w:pPr>
              <w:contextualSpacing/>
              <w:rPr>
                <w:rFonts w:cstheme="minorHAnsi"/>
                <w:sz w:val="22"/>
                <w:szCs w:val="22"/>
              </w:rPr>
            </w:pPr>
            <w:r w:rsidRPr="00CA0394">
              <w:rPr>
                <w:rFonts w:cstheme="minorHAnsi"/>
                <w:sz w:val="22"/>
                <w:szCs w:val="22"/>
              </w:rPr>
              <w:t>S</w:t>
            </w:r>
            <w:r w:rsidR="003C27B9" w:rsidRPr="00CA0394">
              <w:rPr>
                <w:rFonts w:cstheme="minorHAnsi"/>
                <w:sz w:val="22"/>
                <w:szCs w:val="22"/>
              </w:rPr>
              <w:t>um of all power</w:t>
            </w:r>
            <w:r w:rsidR="004B2B25" w:rsidRPr="00CA0394">
              <w:rPr>
                <w:rFonts w:cstheme="minorHAnsi"/>
                <w:sz w:val="22"/>
                <w:szCs w:val="22"/>
              </w:rPr>
              <w:t xml:space="preserve"> spectra density values squared </w:t>
            </w:r>
            <w:r w:rsidR="003C27B9" w:rsidRPr="00CA0394">
              <w:rPr>
                <w:rFonts w:cstheme="minorHAnsi"/>
                <w:sz w:val="22"/>
                <w:szCs w:val="22"/>
              </w:rPr>
              <w:fldChar w:fldCharType="begin" w:fldLock="1"/>
            </w:r>
            <w:r w:rsidR="008A4EF6">
              <w:rPr>
                <w:rFonts w:cstheme="minorHAnsi"/>
                <w:sz w:val="22"/>
                <w:szCs w:val="22"/>
              </w:rPr>
              <w:instrText>ADDIN CSL_CITATION {"citationItems":[{"id":"ITEM-1","itemData":{"DOI":"10.1109/THMS.2015.2408615","ISSN":"21682291","abstract":"Cervical auscultation is the recording of sounds and vibrations caused by the human body from the throat during swallowing. While traditionally done by a trained clinician with a stethoscope, much work has been put toward developing more sensitive and clinically useful methods to characterize the data obtained with this technique. The eventual goal of the field is to improve the effectiveness of screening algorithms designed to predict the risk that swallowing disorders pose to individual patients' health and safety. This paper provides an overview of these signal-processing techniques and summarizes recent advances made with digital transducers in hopes of organizing the highly varied research on cervical auscultation. It investigates where on the body these transducers are placed in order to record a signal as well as the collection of analog and digital filtering techniques used to further improve the signal quality. It also presents the wide array of methods and features used to characterize these signals, ranging from simply counting the number of swallows that occur over a period of time to calculating various descriptive features in the time, frequency, and phase space domains. Finally, this paper presents the algorithms that have been used to classify these data into \"normal\" and \"abnormal\" categories. Both linear as well as nonlinear techniques are presented in this regard.","author":[{"dropping-particle":"","family":"Dudik","given":"Joshua M.","non-dropping-particle":"","parse-names":false,"suffix":""},{"dropping-particle":"","family":"Coyle","given":"James L.","non-dropping-particle":"","parse-names":false,"suffix":""},{"dropping-particle":"","family":"Sejdic","given":"Ervin","non-dropping-particle":"","parse-names":false,"suffix":""}],"container-title":"IEEE Transactions on Human-Machine Systems","id":"ITEM-1","issue":"4","issued":{"date-parts":[["2015","8","1"]]},"page":"465-477","publisher":"Institute of Electrical and Electronics Engineers Inc.","title":"Dysphagia Screening: Contributions of Cervical Auscultation Signals and Modern Signal-Processing Techniques","type":"article-journal","volume":"45"},"uris":["http://www.mendeley.com/documents/?uuid=57165cf8-0c21-3c12-a5ce-0441afd99b5e"]}],"mendeley":{"formattedCitation":"[28]","plainTextFormattedCitation":"[28]","previouslyFormattedCitation":"[28]"},"properties":{"noteIndex":0},"schema":"https://github.com/citation-style-language/schema/raw/master/csl-citation.json"}</w:instrText>
            </w:r>
            <w:r w:rsidR="003C27B9" w:rsidRPr="00CA0394">
              <w:rPr>
                <w:rFonts w:cstheme="minorHAnsi"/>
                <w:sz w:val="22"/>
                <w:szCs w:val="22"/>
              </w:rPr>
              <w:fldChar w:fldCharType="separate"/>
            </w:r>
            <w:r w:rsidR="008A4EF6" w:rsidRPr="008A4EF6">
              <w:rPr>
                <w:rFonts w:cstheme="minorHAnsi"/>
                <w:noProof/>
                <w:sz w:val="22"/>
                <w:szCs w:val="22"/>
              </w:rPr>
              <w:t>[28]</w:t>
            </w:r>
            <w:r w:rsidR="003C27B9"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3D836FE1" w14:textId="193D50F9"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0195C75D" w14:textId="7667E852"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3B9AD06C" w14:textId="77777777" w:rsidR="003C27B9" w:rsidRPr="00CA0394" w:rsidRDefault="003C27B9" w:rsidP="00AA48BD">
            <w:pPr>
              <w:contextualSpacing/>
              <w:jc w:val="center"/>
              <w:rPr>
                <w:rFonts w:cstheme="minorHAnsi"/>
                <w:sz w:val="22"/>
                <w:szCs w:val="22"/>
              </w:rPr>
            </w:pPr>
            <w:r w:rsidRPr="00CA0394">
              <w:rPr>
                <w:rFonts w:cstheme="minorHAnsi"/>
                <w:sz w:val="22"/>
                <w:szCs w:val="22"/>
              </w:rPr>
              <w:t>Power spectra mean frequency</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089CC748" w14:textId="78E35D9A" w:rsidR="003C27B9" w:rsidRPr="00CA0394" w:rsidRDefault="00F46A12">
            <w:pPr>
              <w:contextualSpacing/>
              <w:rPr>
                <w:rFonts w:cstheme="minorHAnsi"/>
                <w:sz w:val="22"/>
                <w:szCs w:val="22"/>
              </w:rPr>
            </w:pPr>
            <w:r w:rsidRPr="00CA0394">
              <w:rPr>
                <w:rFonts w:cstheme="minorHAnsi"/>
                <w:sz w:val="22"/>
                <w:szCs w:val="22"/>
              </w:rPr>
              <w:t>M</w:t>
            </w:r>
            <w:r w:rsidR="003C27B9" w:rsidRPr="00CA0394">
              <w:rPr>
                <w:rFonts w:cstheme="minorHAnsi"/>
                <w:sz w:val="22"/>
                <w:szCs w:val="22"/>
              </w:rPr>
              <w:t>ean power spectral density of the frequency domain signal.</w:t>
            </w:r>
          </w:p>
        </w:tc>
        <w:tc>
          <w:tcPr>
            <w:tcW w:w="752" w:type="pct"/>
            <w:tcBorders>
              <w:top w:val="single" w:sz="12" w:space="0" w:color="auto"/>
              <w:left w:val="single" w:sz="12" w:space="0" w:color="auto"/>
              <w:bottom w:val="single" w:sz="12" w:space="0" w:color="auto"/>
              <w:right w:val="single" w:sz="12" w:space="0" w:color="auto"/>
            </w:tcBorders>
          </w:tcPr>
          <w:p w14:paraId="0B488CFA" w14:textId="5FBFFD60" w:rsidR="003C27B9" w:rsidRPr="00CA0394" w:rsidRDefault="003C27B9" w:rsidP="00AA48BD">
            <w:pPr>
              <w:contextualSpacing/>
              <w:jc w:val="center"/>
              <w:rPr>
                <w:rFonts w:cstheme="minorHAnsi"/>
                <w:sz w:val="22"/>
                <w:szCs w:val="22"/>
              </w:rPr>
            </w:pPr>
          </w:p>
        </w:tc>
      </w:tr>
      <w:tr w:rsidR="003C27B9" w:rsidRPr="00CA0394" w14:paraId="559FC7E5" w14:textId="7954F79B"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6A0DE2B8" w14:textId="77777777" w:rsidR="003C27B9" w:rsidRPr="00CA0394" w:rsidRDefault="003C27B9" w:rsidP="00AA48BD">
            <w:pPr>
              <w:contextualSpacing/>
              <w:jc w:val="center"/>
              <w:rPr>
                <w:rFonts w:cstheme="minorHAnsi"/>
                <w:sz w:val="22"/>
                <w:szCs w:val="22"/>
              </w:rPr>
            </w:pPr>
            <w:r w:rsidRPr="00CA0394">
              <w:rPr>
                <w:rFonts w:cstheme="minorHAnsi"/>
                <w:sz w:val="22"/>
                <w:szCs w:val="22"/>
              </w:rPr>
              <w:t>Power spectra centroid</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204D6EC9" w14:textId="23562445" w:rsidR="003C27B9" w:rsidRPr="00CA0394" w:rsidRDefault="00F46A12" w:rsidP="00B9144E">
            <w:pPr>
              <w:contextualSpacing/>
              <w:rPr>
                <w:rFonts w:cstheme="minorHAnsi"/>
                <w:sz w:val="22"/>
                <w:szCs w:val="22"/>
              </w:rPr>
            </w:pPr>
            <w:r w:rsidRPr="00CA0394">
              <w:rPr>
                <w:rFonts w:cstheme="minorHAnsi"/>
                <w:sz w:val="22"/>
                <w:szCs w:val="22"/>
              </w:rPr>
              <w:t>F</w:t>
            </w:r>
            <w:r w:rsidR="003C27B9" w:rsidRPr="00CA0394">
              <w:rPr>
                <w:rFonts w:cstheme="minorHAnsi"/>
                <w:sz w:val="22"/>
                <w:szCs w:val="22"/>
              </w:rPr>
              <w:t xml:space="preserve">requency at which the power spectral density is centered upon, i.e. power </w:t>
            </w:r>
            <w:r w:rsidR="004B2B25" w:rsidRPr="00CA0394">
              <w:rPr>
                <w:rFonts w:cstheme="minorHAnsi"/>
                <w:sz w:val="22"/>
                <w:szCs w:val="22"/>
              </w:rPr>
              <w:t xml:space="preserve">spectra center of mass </w:t>
            </w:r>
            <w:r w:rsidR="003C27B9" w:rsidRPr="00CA0394">
              <w:rPr>
                <w:rFonts w:cstheme="minorHAnsi"/>
                <w:sz w:val="22"/>
                <w:szCs w:val="22"/>
              </w:rPr>
              <w:fldChar w:fldCharType="begin" w:fldLock="1"/>
            </w:r>
            <w:r w:rsidR="008A4EF6">
              <w:rPr>
                <w:rFonts w:cstheme="minorHAnsi"/>
                <w:sz w:val="22"/>
                <w:szCs w:val="22"/>
              </w:rPr>
              <w:instrText>ADDIN CSL_CITATION {"citationItems":[{"id":"ITEM-1","itemData":{"DOI":"10.1016/j.apmr.2018.05.038","ISSN":"1532821X","abstract":"Objective: To examine whether there were any associations between high-resolution cervical auscultation (HRCA) acoustic signals recorded by a contact microphone and swallowing kinematic events during pharyngeal swallow as assessed by a videofluoroscopic (VF) examination. Design: Prospective pilot study. Setting: University teaching hospital, university research laboratories. Participants: Patients (N=35) with stroke who have suspected dysphagia (26 men + 9 women; age = 65.8±11.2). Methods: VF recordings of 100 liquid swallows from 35 stroke patients were analyzed, and a variety of HRCA signal features to characterize each swallow were calculated. Main Outcome Measures: Percent of signal feature maxima (peak) occurring within 0.1 seconds of swallow kinematic event identified from VF recording. Results: Maxima of HRCA signal features, such as standard deviation, skewness, kurtosis, centroid frequency, bandwidth, and wave entropy, were associated with hyoid elevation, laryngeal vestibule closure, and upper esophageal sphincter opening, and the contact of the base of the tongue and posterior pharyngeal wall. Conclusions: Although the kinematic source of HRCA acoustic signals has yet to be fully elucidated, these results indicate a strong relationship between these HRCA signals and several swallow kinematic events. There is a potential for HRCA to be developed for diagnostic and rehabilitative clinical management of dysphagia.","author":[{"dropping-particle":"","family":"Kurosu","given":"Atsuko","non-dropping-particle":"","parse-names":false,"suffix":""},{"dropping-particle":"","family":"Coyle","given":"James L.","non-dropping-particle":"","parse-names":false,"suffix":""},{"dropping-particle":"","family":"Dudik","given":"Joshua M.","non-dropping-particle":"","parse-names":false,"suffix":""},{"dropping-particle":"","family":"Sejdic","given":"Ervin","non-dropping-particle":"","parse-names":false,"suffix":""}],"container-title":"Archives of Physical Medicine and Rehabilitation","id":"ITEM-1","issue":"3","issued":{"date-parts":[["2019","3"]]},"page":"501-508","publisher":"W.B. Saunders","title":"Detection of Swallow Kinematic Events From Acoustic High-Resolution Cervical Auscultation Signals in Patients With Stroke","type":"article-journal","volume":"100"},"uris":["http://www.mendeley.com/documents/?uuid=0756dc05-ee93-4a78-ab3d-f0ab2c45c37d","http://www.mendeley.com/documents/?uuid=e72c2119-5145-35fc-a059-ad4f14951acb"]},{"id":"ITEM-2","itemData":{"abstract":"Background: Cervical auscultation (CA) is an affordable, non-invasive technique used to observe sounds occurring during swallowing. CA involves swallowing characterization via stethoscopes or microphones, while accelerometers can detect other vibratory signals. While the effects of fluid viscosity on swallowing accelerometry signals is well understood, there are still open questions about these effects on swallowing sounds. Therefore, this study investigated the influence of fluids with increasing thickness on swallowing sound characteristics. Method: We collected swallowing sounds and swallowing accelerometry signals from 56 healthy participants. Each participant completed five water swallows, five swallows of nectar-thick apple juice, and five swallows of honey-thick apple juice. These swallows were completed in neutral head and chin-tuck head positions. After pre-processing of collected signals, a number of features in time, frequency and time-frequency domains were extracted. Results: Our numerical analysis demonstrated that significant influence of viscosity was found in most of the features. In general, features extracted from swallows in the neutral head position were affected more than swallows from the chin-tuck position. Furthermore, most of the differences were found between water and fluids with higher viscosity. Almost no significant differences were found between swallows involving nectar-thick and honey-thick apple juices. Our results also showed that thicker fluids had higher acoustic regularity and predictability as demonstrated by the information-theoretic features, and a lower frequency content as demonstrated by features in the frequency domain. Conclusions: According to these results, we can conclude that viscosity of fluids should be considered in future investigations involving swallowing sounds.","author":[{"dropping-particle":"","family":"Jestrovi´c","given":"Iva Jestrovi´c","non-dropping-particle":"","parse-names":false,"suffix":""},{"dropping-particle":"","family":"Dudik","given":"Joshua M","non-dropping-particle":"","parse-names":false,"suffix":""},{"dropping-particle":"","family":"Luan","given":"Bo","non-dropping-particle":"","parse-names":false,"suffix":""},{"dropping-particle":"","family":"Coyle","given":"James L","non-dropping-particle":"","parse-names":false,"suffix":""},{"dropping-particle":"","family":"Sejdi´c","given":"Ervin Sejdi´c","non-dropping-particle":"","parse-names":false,"suffix":""}],"container-title":"BioMedical Engineering OnLine","id":"ITEM-2","issued":{"date-parts":[["2013"]]},"number-of-pages":"90","title":"The effects of increased fluid viscosity on swallowing sounds in healthy adults","type":"report","volume":"12"},"uris":["http://www.mendeley.com/documents/?uuid=9cb42cd4-fd80-41d0-93bb-d514133cecb7","http://www.mendeley.com/documents/?uuid=79106fa8-3141-3881-9f26-819101972a0c","http://www.mendeley.com/documents/?uuid=0b114014-875f-4116-b9d7-9d80eda13d2d"]},{"id":"ITEM-3","itemData":{"DOI":"10.1007/s00455-020-10124-z","ISSN":"14320460","PMID":"32419103","abstract":"Identifying physiological impairments of swallowing is essential for determining accurate diagnosis and appropriate treatment for patients with dysphagia. The hyoid bone is an anatomical landmark commonly monitored during analysis of videofluoroscopic swallow studies (VFSSs). Its displacement is predictive of penetration/aspiration and is associated with other swallow kinematic events. However, VFSSs are not always readily available/feasible and expose patients to radiation. High-resolution cervical auscultation (HRCA), which uses acoustic and vibratory signals from a microphone and tri-axial accelerometer, is under investigation as a non-invasive dysphagia screening method and potential adjunct to VFSS when it is unavailable or not feasible. We investigated the ability of HRCA to independently track hyoid bone displacement during swallowing with similar accuracy to VFSS, by analyzing vibratory signals from a tri-axial accelerometer using machine learning techniques. We hypothesized HRCA would track hyoid bone displacement with a high degree of accuracy compared to humans. Trained judges completed frame-by-frame analysis of hyoid bone displacement on 400 swallows from 114 patients and 48 swallows from 16 age-matched healthy adults. Extracted features from vibratory signals were used to train the predictive algorithm to generate a bounding box surrounding the hyoid body on each frame. A metric of relative overlapped percentage (ROP) compared human and machine ratings. The mean ROP for all swallows analyzed was 50.75%, indicating &gt; 50% of the bounding box containing the hyoid bone was accurately predicted in every frame. This provides evidence of the feasibility of accurate, automated hyoid bone displacement tracking using HRCA signals without use of VFSS images.","author":[{"dropping-particle":"","family":"Donohue","given":"Cara","non-dropping-particle":"","parse-names":false,"suffix":""},{"dropping-particle":"","family":"Mao","given":"Shitong","non-dropping-particle":"","parse-names":false,"suffix":""},{"dropping-particle":"","family":"Sejdić","given":"Ervin","non-dropping-particle":"","parse-names":false,"suffix":""},{"dropping-particle":"","family":"Coyle","given":"James L.","non-dropping-particle":"","parse-names":false,"suffix":""}],"container-title":"Dysphagia","id":"ITEM-3","issued":{"date-parts":[["2020","5"]]},"page":"3","publisher":"Springer","title":"Tracking Hyoid Bone Displacement During Swallowing Without Videofluoroscopy Using Machine Learning of Vibratory Signals","type":"article-journal","volume":"1"},"uris":["http://www.mendeley.com/documents/?uuid=a5793382-ac10-47cb-8cc2-e2c63d97ae46","http://www.mendeley.com/documents/?uuid=827722a8-8f01-3286-a8e4-4a3b2e147f48","http://www.mendeley.com/documents/?uuid=59feb9d2-6872-4c7c-9330-1a3f43332179"]}],"mendeley":{"formattedCitation":"[26,27,29]","plainTextFormattedCitation":"[26,27,29]","previouslyFormattedCitation":"[26,27,29]"},"properties":{"noteIndex":0},"schema":"https://github.com/citation-style-language/schema/raw/master/csl-citation.json"}</w:instrText>
            </w:r>
            <w:r w:rsidR="003C27B9" w:rsidRPr="00CA0394">
              <w:rPr>
                <w:rFonts w:cstheme="minorHAnsi"/>
                <w:sz w:val="22"/>
                <w:szCs w:val="22"/>
              </w:rPr>
              <w:fldChar w:fldCharType="separate"/>
            </w:r>
            <w:r w:rsidR="008A4EF6" w:rsidRPr="008A4EF6">
              <w:rPr>
                <w:rFonts w:cstheme="minorHAnsi"/>
                <w:noProof/>
                <w:sz w:val="22"/>
                <w:szCs w:val="22"/>
              </w:rPr>
              <w:t>[26,27,29]</w:t>
            </w:r>
            <w:r w:rsidR="003C27B9" w:rsidRPr="00CA0394">
              <w:rPr>
                <w:rFonts w:cstheme="minorHAnsi"/>
                <w:sz w:val="22"/>
                <w:szCs w:val="22"/>
              </w:rPr>
              <w:fldChar w:fldCharType="end"/>
            </w:r>
            <w:r w:rsidR="004B2B25" w:rsidRPr="00CA0394">
              <w:rPr>
                <w:rFonts w:cstheme="minorHAnsi"/>
                <w:sz w:val="22"/>
                <w:szCs w:val="22"/>
              </w:rPr>
              <w:t>.</w:t>
            </w:r>
          </w:p>
        </w:tc>
        <w:tc>
          <w:tcPr>
            <w:tcW w:w="752" w:type="pct"/>
            <w:tcBorders>
              <w:top w:val="single" w:sz="12" w:space="0" w:color="auto"/>
              <w:left w:val="single" w:sz="12" w:space="0" w:color="auto"/>
              <w:bottom w:val="single" w:sz="12" w:space="0" w:color="auto"/>
              <w:right w:val="single" w:sz="12" w:space="0" w:color="auto"/>
            </w:tcBorders>
          </w:tcPr>
          <w:p w14:paraId="4BABFCA1" w14:textId="60581C79" w:rsidR="003C27B9" w:rsidRPr="00CA0394" w:rsidRDefault="003C27B9" w:rsidP="00AA48BD">
            <w:pPr>
              <w:contextualSpacing/>
              <w:jc w:val="center"/>
              <w:rPr>
                <w:rFonts w:cstheme="minorHAnsi"/>
                <w:sz w:val="22"/>
                <w:szCs w:val="22"/>
              </w:rPr>
            </w:pPr>
            <w:r w:rsidRPr="00CA0394">
              <w:rPr>
                <w:rFonts w:cstheme="minorHAnsi"/>
                <w:sz w:val="22"/>
                <w:szCs w:val="22"/>
              </w:rPr>
              <w:t>*</w:t>
            </w:r>
          </w:p>
        </w:tc>
      </w:tr>
      <w:tr w:rsidR="003C27B9" w:rsidRPr="00CA0394" w14:paraId="53CE3C4D" w14:textId="20078821" w:rsidTr="00CA0394">
        <w:trPr>
          <w:trHeight w:val="20"/>
          <w:jc w:val="center"/>
        </w:trPr>
        <w:tc>
          <w:tcPr>
            <w:tcW w:w="1209" w:type="pct"/>
            <w:tcBorders>
              <w:top w:val="single" w:sz="12" w:space="0" w:color="auto"/>
              <w:left w:val="single" w:sz="12" w:space="0" w:color="auto"/>
              <w:bottom w:val="single" w:sz="12" w:space="0" w:color="auto"/>
              <w:right w:val="single" w:sz="12" w:space="0" w:color="auto"/>
            </w:tcBorders>
            <w:vAlign w:val="center"/>
          </w:tcPr>
          <w:p w14:paraId="6DC482D7" w14:textId="77777777" w:rsidR="003C27B9" w:rsidRPr="00CA0394" w:rsidRDefault="003C27B9" w:rsidP="00AA48BD">
            <w:pPr>
              <w:contextualSpacing/>
              <w:jc w:val="center"/>
              <w:rPr>
                <w:rFonts w:cstheme="minorHAnsi"/>
                <w:sz w:val="22"/>
                <w:szCs w:val="22"/>
              </w:rPr>
            </w:pPr>
            <w:r w:rsidRPr="00CA0394">
              <w:rPr>
                <w:rFonts w:cstheme="minorHAnsi"/>
                <w:sz w:val="22"/>
                <w:szCs w:val="22"/>
              </w:rPr>
              <w:t>Power spectra entropy</w:t>
            </w:r>
          </w:p>
        </w:tc>
        <w:tc>
          <w:tcPr>
            <w:tcW w:w="3039" w:type="pct"/>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7139DC88" w14:textId="3FC98F6E" w:rsidR="003C27B9" w:rsidRPr="00CA0394" w:rsidRDefault="004865D8" w:rsidP="00AA48BD">
            <w:pPr>
              <w:contextualSpacing/>
              <w:rPr>
                <w:rFonts w:cstheme="minorHAnsi"/>
                <w:sz w:val="22"/>
                <w:szCs w:val="22"/>
              </w:rPr>
            </w:pPr>
            <w:r w:rsidRPr="00CA0394">
              <w:rPr>
                <w:rFonts w:cstheme="minorHAnsi"/>
                <w:sz w:val="22"/>
                <w:szCs w:val="22"/>
              </w:rPr>
              <w:t>Complexity</w:t>
            </w:r>
            <w:r w:rsidR="003C27B9" w:rsidRPr="00CA0394">
              <w:rPr>
                <w:rFonts w:cstheme="minorHAnsi"/>
                <w:sz w:val="22"/>
                <w:szCs w:val="22"/>
              </w:rPr>
              <w:t xml:space="preserve"> measure to convey information contained within the power spectral entropy domain of the swallow signal.</w:t>
            </w:r>
          </w:p>
        </w:tc>
        <w:tc>
          <w:tcPr>
            <w:tcW w:w="752" w:type="pct"/>
            <w:tcBorders>
              <w:top w:val="single" w:sz="12" w:space="0" w:color="auto"/>
              <w:left w:val="single" w:sz="12" w:space="0" w:color="auto"/>
              <w:bottom w:val="single" w:sz="12" w:space="0" w:color="auto"/>
              <w:right w:val="single" w:sz="12" w:space="0" w:color="auto"/>
            </w:tcBorders>
          </w:tcPr>
          <w:p w14:paraId="5BFE1315" w14:textId="7B84FE99" w:rsidR="003C27B9" w:rsidRPr="00CA0394" w:rsidRDefault="003C27B9" w:rsidP="00CA0394">
            <w:pPr>
              <w:contextualSpacing/>
              <w:rPr>
                <w:rFonts w:cstheme="minorHAnsi"/>
                <w:sz w:val="22"/>
                <w:szCs w:val="22"/>
              </w:rPr>
            </w:pPr>
          </w:p>
        </w:tc>
      </w:tr>
    </w:tbl>
    <w:p w14:paraId="6225F127" w14:textId="3EB52DEC" w:rsidR="002C7A16" w:rsidRPr="00CA0394" w:rsidRDefault="002C7A16" w:rsidP="00397688">
      <w:pPr>
        <w:rPr>
          <w:rFonts w:eastAsia="ヒラギノ角ゴ Pro W3" w:cstheme="minorHAnsi"/>
          <w:sz w:val="22"/>
          <w:szCs w:val="22"/>
        </w:rPr>
      </w:pPr>
    </w:p>
    <w:p w14:paraId="6003B07E" w14:textId="6F82D77D" w:rsidR="009725D0" w:rsidRPr="00CA0394" w:rsidRDefault="002C7A16" w:rsidP="004772BE">
      <w:pPr>
        <w:spacing w:after="160" w:line="259" w:lineRule="auto"/>
        <w:outlineLvl w:val="1"/>
        <w:rPr>
          <w:rFonts w:eastAsia="Times New Roman" w:cstheme="minorHAnsi"/>
          <w:sz w:val="22"/>
          <w:szCs w:val="22"/>
        </w:rPr>
      </w:pPr>
      <w:r w:rsidRPr="00CA0394">
        <w:rPr>
          <w:rFonts w:eastAsia="ヒラギノ角ゴ Pro W3" w:cstheme="minorHAnsi"/>
          <w:sz w:val="22"/>
          <w:szCs w:val="22"/>
        </w:rPr>
        <w:br w:type="page"/>
      </w:r>
      <w:r w:rsidR="009725D0" w:rsidRPr="00CA0394">
        <w:rPr>
          <w:rFonts w:eastAsia="Times New Roman" w:cstheme="minorHAnsi"/>
          <w:b/>
          <w:bCs/>
          <w:sz w:val="22"/>
          <w:szCs w:val="22"/>
        </w:rPr>
        <w:lastRenderedPageBreak/>
        <w:t xml:space="preserve">Supplementary </w:t>
      </w:r>
      <w:r w:rsidR="009725D0" w:rsidRPr="00CA0394">
        <w:rPr>
          <w:rFonts w:eastAsia="Times New Roman" w:cstheme="minorHAnsi"/>
          <w:b/>
          <w:sz w:val="22"/>
          <w:szCs w:val="22"/>
        </w:rPr>
        <w:t>Table 3.</w:t>
      </w:r>
      <w:r w:rsidR="009725D0" w:rsidRPr="00CA0394">
        <w:rPr>
          <w:rFonts w:eastAsia="Times New Roman" w:cstheme="minorHAnsi"/>
          <w:b/>
          <w:bCs/>
          <w:sz w:val="22"/>
          <w:szCs w:val="22"/>
        </w:rPr>
        <w:t xml:space="preserve"> Respiratory features computed from the Ribcage sensor data</w:t>
      </w:r>
      <w:r w:rsidR="00956FE3" w:rsidRPr="00CA0394">
        <w:rPr>
          <w:rFonts w:eastAsia="Times New Roman" w:cstheme="minorHAnsi"/>
          <w:b/>
          <w:bCs/>
          <w:sz w:val="22"/>
          <w:szCs w:val="22"/>
        </w:rPr>
        <w:t xml:space="preserve"> </w:t>
      </w:r>
      <w:r w:rsidR="009725D0" w:rsidRPr="00CA0394">
        <w:rPr>
          <w:rFonts w:eastAsia="Times New Roman" w:cstheme="minorHAnsi"/>
          <w:b/>
          <w:bCs/>
          <w:sz w:val="22"/>
          <w:szCs w:val="22"/>
        </w:rPr>
        <w:t>before, during, and after swallow</w:t>
      </w:r>
      <w:r w:rsidR="00A37419" w:rsidRPr="00CA0394">
        <w:rPr>
          <w:rFonts w:eastAsia="Times New Roman" w:cstheme="minorHAnsi"/>
          <w:b/>
          <w:bCs/>
          <w:sz w:val="22"/>
          <w:szCs w:val="22"/>
        </w:rPr>
        <w:t xml:space="preserve"> (normalized by average acceleration range during </w:t>
      </w:r>
      <w:r w:rsidR="0003750E" w:rsidRPr="00CA0394">
        <w:rPr>
          <w:rFonts w:eastAsia="Times New Roman" w:cstheme="minorHAnsi"/>
          <w:b/>
          <w:bCs/>
          <w:sz w:val="22"/>
          <w:szCs w:val="22"/>
        </w:rPr>
        <w:t>quiet sitting</w:t>
      </w:r>
      <w:r w:rsidR="00A37419" w:rsidRPr="00CA0394">
        <w:rPr>
          <w:rFonts w:eastAsia="Times New Roman" w:cstheme="minorHAnsi"/>
          <w:b/>
          <w:bCs/>
          <w:sz w:val="22"/>
          <w:szCs w:val="22"/>
        </w:rPr>
        <w:t>)</w:t>
      </w:r>
      <w:r w:rsidR="009725D0" w:rsidRPr="00CA0394">
        <w:rPr>
          <w:rFonts w:eastAsia="Times New Roman" w:cstheme="minorHAnsi"/>
          <w:b/>
          <w:bCs/>
          <w:sz w:val="22"/>
          <w:szCs w:val="22"/>
        </w:rPr>
        <w:t>.</w:t>
      </w:r>
      <w:r w:rsidR="00DB7FA4" w:rsidRPr="00CA0394">
        <w:rPr>
          <w:rFonts w:eastAsia="Times New Roman" w:cstheme="minorHAnsi"/>
          <w:b/>
          <w:bCs/>
          <w:sz w:val="22"/>
          <w:szCs w:val="22"/>
        </w:rPr>
        <w:t xml:space="preserve"> </w:t>
      </w:r>
    </w:p>
    <w:tbl>
      <w:tblPr>
        <w:tblW w:w="9435" w:type="dxa"/>
        <w:jc w:val="center"/>
        <w:tblCellMar>
          <w:top w:w="15" w:type="dxa"/>
          <w:left w:w="15" w:type="dxa"/>
          <w:bottom w:w="15" w:type="dxa"/>
          <w:right w:w="15" w:type="dxa"/>
        </w:tblCellMar>
        <w:tblLook w:val="04A0" w:firstRow="1" w:lastRow="0" w:firstColumn="1" w:lastColumn="0" w:noHBand="0" w:noVBand="1"/>
      </w:tblPr>
      <w:tblGrid>
        <w:gridCol w:w="2055"/>
        <w:gridCol w:w="5873"/>
        <w:gridCol w:w="1507"/>
      </w:tblGrid>
      <w:tr w:rsidR="00CA0394" w:rsidRPr="00CA0394" w14:paraId="79CE76D3" w14:textId="3685B89A"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1B87BF5" w14:textId="77777777" w:rsidR="00CA0394" w:rsidRPr="00CA0394" w:rsidRDefault="00CA0394" w:rsidP="00CA0394">
            <w:pPr>
              <w:jc w:val="center"/>
              <w:rPr>
                <w:rFonts w:eastAsia="Times New Roman" w:cstheme="minorHAnsi"/>
                <w:b/>
                <w:bCs/>
                <w:sz w:val="22"/>
                <w:szCs w:val="22"/>
              </w:rPr>
            </w:pPr>
            <w:r w:rsidRPr="00CA0394">
              <w:rPr>
                <w:rFonts w:eastAsia="Times New Roman" w:cstheme="minorHAnsi"/>
                <w:b/>
                <w:bCs/>
                <w:sz w:val="22"/>
                <w:szCs w:val="22"/>
              </w:rPr>
              <w:t>Feature</w:t>
            </w:r>
          </w:p>
        </w:tc>
        <w:tc>
          <w:tcPr>
            <w:tcW w:w="5873" w:type="dxa"/>
            <w:tcBorders>
              <w:top w:val="single" w:sz="12" w:space="0" w:color="auto"/>
              <w:left w:val="single" w:sz="12" w:space="0" w:color="auto"/>
              <w:bottom w:val="single" w:sz="12" w:space="0" w:color="auto"/>
              <w:right w:val="single" w:sz="12" w:space="0" w:color="auto"/>
            </w:tcBorders>
            <w:shd w:val="clear" w:color="auto" w:fill="E7E6E6" w:themeFill="background2"/>
            <w:tcMar>
              <w:top w:w="100" w:type="dxa"/>
              <w:left w:w="100" w:type="dxa"/>
              <w:bottom w:w="100" w:type="dxa"/>
              <w:right w:w="100" w:type="dxa"/>
            </w:tcMar>
            <w:vAlign w:val="center"/>
            <w:hideMark/>
          </w:tcPr>
          <w:p w14:paraId="0D9720B5" w14:textId="77777777" w:rsidR="00CA0394" w:rsidRPr="00CA0394" w:rsidRDefault="00CA0394" w:rsidP="00CA0394">
            <w:pPr>
              <w:jc w:val="center"/>
              <w:rPr>
                <w:rFonts w:eastAsia="Times New Roman" w:cstheme="minorHAnsi"/>
                <w:sz w:val="22"/>
                <w:szCs w:val="22"/>
              </w:rPr>
            </w:pPr>
            <w:r w:rsidRPr="00CA0394">
              <w:rPr>
                <w:rFonts w:eastAsia="Times New Roman" w:cstheme="minorHAnsi"/>
                <w:b/>
                <w:bCs/>
                <w:sz w:val="22"/>
                <w:szCs w:val="22"/>
              </w:rPr>
              <w:t>Description</w:t>
            </w:r>
          </w:p>
        </w:tc>
        <w:tc>
          <w:tcPr>
            <w:tcW w:w="150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307BC32" w14:textId="15296CF5" w:rsidR="00CA0394" w:rsidRPr="00CA0394" w:rsidRDefault="00CA0394" w:rsidP="00CA0394">
            <w:pPr>
              <w:jc w:val="center"/>
              <w:rPr>
                <w:rFonts w:eastAsia="Times New Roman" w:cstheme="minorHAnsi"/>
                <w:b/>
                <w:bCs/>
                <w:sz w:val="22"/>
                <w:szCs w:val="22"/>
              </w:rPr>
            </w:pPr>
            <w:r>
              <w:rPr>
                <w:rFonts w:eastAsia="Times New Roman" w:cstheme="minorHAnsi"/>
                <w:b/>
                <w:bCs/>
                <w:sz w:val="22"/>
                <w:szCs w:val="22"/>
              </w:rPr>
              <w:t xml:space="preserve">Included in Final </w:t>
            </w:r>
            <w:r w:rsidRPr="00CA0394">
              <w:rPr>
                <w:rFonts w:eastAsia="Times New Roman" w:cstheme="minorHAnsi"/>
                <w:b/>
                <w:bCs/>
                <w:sz w:val="22"/>
                <w:szCs w:val="22"/>
              </w:rPr>
              <w:t>Model (*)</w:t>
            </w:r>
          </w:p>
        </w:tc>
      </w:tr>
      <w:tr w:rsidR="00CA0394" w:rsidRPr="00CA0394" w14:paraId="53ED651D" w14:textId="77777777"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020170B4" w14:textId="4F5E0D26" w:rsidR="00CA0394" w:rsidRPr="00CA0394" w:rsidRDefault="00CA0394" w:rsidP="00CA0394">
            <w:pPr>
              <w:jc w:val="center"/>
              <w:rPr>
                <w:rFonts w:cstheme="minorHAnsi"/>
                <w:sz w:val="22"/>
                <w:szCs w:val="22"/>
              </w:rPr>
            </w:pPr>
            <w:r w:rsidRPr="00CA0394">
              <w:rPr>
                <w:rFonts w:cstheme="minorHAnsi"/>
                <w:sz w:val="22"/>
                <w:szCs w:val="22"/>
              </w:rPr>
              <w:t>Apnea duration</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0C4D47AA" w14:textId="30D27A96" w:rsidR="00CA0394" w:rsidRPr="00CA0394" w:rsidRDefault="00CA0394" w:rsidP="00CA0394">
            <w:pPr>
              <w:rPr>
                <w:rFonts w:cstheme="minorHAnsi"/>
                <w:sz w:val="22"/>
                <w:szCs w:val="22"/>
              </w:rPr>
            </w:pPr>
            <w:r w:rsidRPr="00CA0394">
              <w:rPr>
                <w:rFonts w:cstheme="minorHAnsi"/>
                <w:sz w:val="22"/>
                <w:szCs w:val="22"/>
              </w:rPr>
              <w:t xml:space="preserve">Duration of the swallowing apnea </w:t>
            </w:r>
            <w:r w:rsidRPr="00CA0394">
              <w:rPr>
                <w:rFonts w:cstheme="minorHAnsi"/>
                <w:sz w:val="22"/>
                <w:szCs w:val="22"/>
              </w:rPr>
              <w:fldChar w:fldCharType="begin" w:fldLock="1"/>
            </w:r>
            <w:r w:rsidR="008A4EF6">
              <w:rPr>
                <w:rFonts w:cstheme="minorHAnsi"/>
                <w:sz w:val="22"/>
                <w:szCs w:val="22"/>
              </w:rPr>
              <w:instrText>ADDIN CSL_CITATION {"citationItems":[{"id":"ITEM-1","itemData":{"abstract":"1. Relationships between the timing of respiration and deglutition were studied in thirty awake healthy subjects at rest. Deglutition was monitored by submental electro-myography, pharyngeal manometry and videofluoroscopy. Respiration was recorded by measurement of oronasal airflow and chest wall movement. Three types of deglutition were studied: injected bolus swallows, spontaneous swallows, and visually cued swallows of boluses previously placed in the mouth. 2. The effect of each swallow on respiratory rhythm was characterized by measurement of cophase, defined as the interval between the onset of deglutitive submental EMG activity to the onset of subsequent rescheduled inspirations. Cophase was determined for swallows initiated at different phases of the respiratory cycle. In all subjects deglutition caused phase resetting of respiratory rhythm. Cophase was largest for swallows initiated near the inspiratory-expiratory (I-E) transition and smallest for swallows initiated near the expiratory-inspiratory (E-I) transition. The pattern of respiratory resetting by deglutition was topologically classified as type 0. This pattern was shown for swallows induced by bolus injection or visual cue, and for spontaneous swallows. 3. The incidence of spontaneous deglutition was influenced by the position of the swallow in the respiratory cycle. Few spontaneous swallows were initiated near the E-I transition whereas most occurred from late inspiration to mid-expiration. 4. Deglutition caused an abrupt decrease in airflow leading to an interval of apnoea, followed by a period of expiration. The duration of deglutition apnoea for spontaneous swallows was shorter than that for 5 ml bolus swallows, and was unaffected by the respiratory phase of swallow initiation. The period of expiration after swallowing was longest for swallows initiated at the I-E transition, and shortest for E-I swallows. 5. The intervals between bolus injection and the onset of deglutition apnoea, and the timing of swallowing events, were not significantly altered by the phase in the respiratory cycle at which swallowing was exhibited. 6. To quantify the relationship between bolus flow and respiration, we determined the latencies between cessation of inspiratory airflow and arrival of the bolus at the larynx (a.), and between laryngeal bolus departure and resumption of inspiratory airflow (a). Both values were dependent upon the respiratory phase of swallowing. The lowest values for a and a were f…","author":[{"dropping-particle":"","family":"Paydarfar","given":"David","non-dropping-particle":"","parse-names":false,"suffix":""},{"dropping-particle":"","family":"Gilbert","given":"Richard J","non-dropping-particle":"","parse-names":false,"suffix":""},{"dropping-particle":"","family":"Poppel","given":"Clinton S","non-dropping-particle":"","parse-names":false,"suffix":""},{"dropping-particle":"","family":"Nassab","given":"Paul F","non-dropping-particle":"","parse-names":false,"suffix":""}],"container-title":"Journal of Physiology","id":"ITEM-1","issued":{"date-parts":[["1995"]]},"number-of-pages":"273-288","title":"Respiratory phase resetting and airflow changes induced by swallowing in humans","type":"report"},"uris":["http://www.mendeley.com/documents/?uuid=8687eea8-e294-35b3-a5bc-d23bf55bf473","http://www.mendeley.com/documents/?uuid=df6c48ab-9132-4530-bc4f-94967b74ff7d"]},{"id":"ITEM-2","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Physiology","id":"ITEM-2","issue":"SEP","issued":{"date-parts":[["2017","9"]]},"page":"676","publisher":"Frontiers Media S.A.","title":"Inappropriate Timing of Swallow in the Respiratory Cycle Causes Breathing–Swallowing Discoordination","type":"article-journal","volume":"8"},"uris":["http://www.mendeley.com/documents/?uuid=3e9620d0-be19-3214-8f5b-ba1814866693","http://www.mendeley.com/documents/?uuid=f13c1665-2281-46ba-94f7-3c6bb77cd19b"]}],"mendeley":{"formattedCitation":"[7,8]","plainTextFormattedCitation":"[7,8]","previouslyFormattedCitation":"[7,8]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[7,8]</w:t>
            </w:r>
            <w:r w:rsidRPr="00CA0394">
              <w:rPr>
                <w:rFonts w:cstheme="minorHAnsi"/>
                <w:sz w:val="22"/>
                <w:szCs w:val="22"/>
              </w:rPr>
              <w:fldChar w:fldCharType="end"/>
            </w:r>
            <w:r w:rsidRPr="00CA0394">
              <w:rPr>
                <w:rFonts w:cstheme="minorHAnsi"/>
                <w:sz w:val="22"/>
                <w:szCs w:val="22"/>
              </w:rPr>
              <w:t>.</w:t>
            </w:r>
          </w:p>
        </w:tc>
        <w:tc>
          <w:tcPr>
            <w:tcW w:w="1507" w:type="dxa"/>
            <w:tcBorders>
              <w:top w:val="single" w:sz="12" w:space="0" w:color="auto"/>
              <w:left w:val="single" w:sz="12" w:space="0" w:color="auto"/>
              <w:bottom w:val="single" w:sz="12" w:space="0" w:color="auto"/>
              <w:right w:val="single" w:sz="12" w:space="0" w:color="auto"/>
            </w:tcBorders>
          </w:tcPr>
          <w:p w14:paraId="0BC306ED" w14:textId="5C14E65B" w:rsidR="00CA0394" w:rsidRPr="00CA0394" w:rsidRDefault="00CA0394" w:rsidP="00CA0394">
            <w:pPr>
              <w:jc w:val="center"/>
              <w:rPr>
                <w:rFonts w:cstheme="minorHAnsi"/>
                <w:sz w:val="22"/>
                <w:szCs w:val="22"/>
              </w:rPr>
            </w:pPr>
          </w:p>
        </w:tc>
      </w:tr>
      <w:tr w:rsidR="00CA0394" w:rsidRPr="00CA0394" w14:paraId="32B5D0FF" w14:textId="77777777"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7138C2CA" w14:textId="4212282F" w:rsidR="00CA0394" w:rsidRPr="00CA0394" w:rsidRDefault="00CA0394" w:rsidP="00CA0394">
            <w:pPr>
              <w:jc w:val="center"/>
              <w:rPr>
                <w:rFonts w:cstheme="minorHAnsi"/>
                <w:sz w:val="22"/>
                <w:szCs w:val="22"/>
              </w:rPr>
            </w:pPr>
            <w:r w:rsidRPr="00CA0394">
              <w:rPr>
                <w:rFonts w:cstheme="minorHAnsi"/>
                <w:sz w:val="22"/>
                <w:szCs w:val="22"/>
              </w:rPr>
              <w:t>Swallow latency</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2995BD1D" w14:textId="2168DAA1" w:rsidR="00CA0394" w:rsidRPr="00CA0394" w:rsidRDefault="00CA0394" w:rsidP="00CA0394">
            <w:pPr>
              <w:rPr>
                <w:rFonts w:cstheme="minorHAnsi"/>
                <w:sz w:val="22"/>
                <w:szCs w:val="22"/>
              </w:rPr>
            </w:pPr>
            <w:r w:rsidRPr="00CA0394">
              <w:rPr>
                <w:rFonts w:cstheme="minorHAnsi"/>
                <w:sz w:val="22"/>
                <w:szCs w:val="22"/>
              </w:rPr>
              <w:t xml:space="preserve">Duration from the start of the swallowing apnea to the time of the swallow peak </w:t>
            </w:r>
            <w:r w:rsidRPr="00CA0394">
              <w:rPr>
                <w:rFonts w:cstheme="minorHAnsi"/>
                <w:sz w:val="22"/>
                <w:szCs w:val="22"/>
              </w:rPr>
              <w:fldChar w:fldCharType="begin" w:fldLock="1"/>
            </w:r>
            <w:r w:rsidR="008A4EF6">
              <w:rPr>
                <w:rFonts w:cstheme="minorHAnsi"/>
                <w:sz w:val="22"/>
                <w:szCs w:val="22"/>
              </w:rPr>
              <w:instrText>ADDIN CSL_CITATION {"citationItems":[{"id":"ITEM-1","itemData":{"DOI":"10.3389/fphys.2017.00676","ISSN":"1664-042X","abstract":"Rationale: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Physiology","id":"ITEM-1","issue":"SEP","issued":{"date-parts":[["2017","9"]]},"page":"676","publisher":"Frontiers Media S.A.","title":"Inappropriate Timing of Swallow in the Respiratory Cycle Causes Breathing–Swallowing Discoordination","type":"article-journal","volume":"8"},"uris":["http://www.mendeley.com/documents/?uuid=f13c1665-2281-46ba-94f7-3c6bb77cd19b","http://www.mendeley.com/documents/?uuid=3e9620d0-be19-3214-8f5b-ba1814866693"]}],"mendeley":{"formattedCitation":"[8]","plainTextFormattedCitation":"[8]","previouslyFormattedCitation":"[8]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[8]</w:t>
            </w:r>
            <w:r w:rsidRPr="00CA0394">
              <w:rPr>
                <w:rFonts w:cstheme="minorHAnsi"/>
                <w:sz w:val="22"/>
                <w:szCs w:val="22"/>
              </w:rPr>
              <w:fldChar w:fldCharType="end"/>
            </w:r>
            <w:r w:rsidRPr="00CA0394">
              <w:rPr>
                <w:rFonts w:cstheme="minorHAnsi"/>
                <w:sz w:val="22"/>
                <w:szCs w:val="22"/>
              </w:rPr>
              <w:t>.</w:t>
            </w:r>
          </w:p>
        </w:tc>
        <w:tc>
          <w:tcPr>
            <w:tcW w:w="1507" w:type="dxa"/>
            <w:tcBorders>
              <w:top w:val="single" w:sz="12" w:space="0" w:color="auto"/>
              <w:left w:val="single" w:sz="12" w:space="0" w:color="auto"/>
              <w:bottom w:val="single" w:sz="12" w:space="0" w:color="auto"/>
              <w:right w:val="single" w:sz="12" w:space="0" w:color="auto"/>
            </w:tcBorders>
          </w:tcPr>
          <w:p w14:paraId="7084D394" w14:textId="78F0E687"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49D25FDC" w14:textId="1ACB923F"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00B169E7" w14:textId="716622F1" w:rsidR="00CA0394" w:rsidRPr="00CA0394" w:rsidRDefault="00CA0394" w:rsidP="00CA0394">
            <w:pPr>
              <w:jc w:val="center"/>
              <w:rPr>
                <w:rFonts w:cstheme="minorHAnsi"/>
                <w:sz w:val="22"/>
                <w:szCs w:val="22"/>
              </w:rPr>
            </w:pPr>
            <w:r w:rsidRPr="00CA0394">
              <w:rPr>
                <w:rFonts w:cstheme="minorHAnsi"/>
                <w:sz w:val="22"/>
                <w:szCs w:val="22"/>
              </w:rPr>
              <w:t>Post-swallow apnea sustention</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5D315D3A" w14:textId="3398CF30" w:rsidR="00CA0394" w:rsidRPr="00CA0394" w:rsidRDefault="00CA0394" w:rsidP="00CA0394">
            <w:pPr>
              <w:rPr>
                <w:rFonts w:eastAsia="Times New Roman" w:cstheme="minorHAnsi"/>
                <w:sz w:val="22"/>
                <w:szCs w:val="22"/>
              </w:rPr>
            </w:pPr>
            <w:r w:rsidRPr="00CA0394">
              <w:rPr>
                <w:rFonts w:cstheme="minorHAnsi"/>
                <w:sz w:val="22"/>
                <w:szCs w:val="22"/>
              </w:rPr>
              <w:t>Duration from the time of the swallow peak to the end of the swallowing apnea.</w:t>
            </w:r>
          </w:p>
        </w:tc>
        <w:tc>
          <w:tcPr>
            <w:tcW w:w="1507" w:type="dxa"/>
            <w:tcBorders>
              <w:top w:val="single" w:sz="12" w:space="0" w:color="auto"/>
              <w:left w:val="single" w:sz="12" w:space="0" w:color="auto"/>
              <w:bottom w:val="single" w:sz="12" w:space="0" w:color="auto"/>
              <w:right w:val="single" w:sz="12" w:space="0" w:color="auto"/>
            </w:tcBorders>
          </w:tcPr>
          <w:p w14:paraId="0EB64AB0" w14:textId="27F72042"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3149E687" w14:textId="025C0693"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26B45EBA" w14:textId="08512B19" w:rsidR="00CA0394" w:rsidRPr="00CA0394" w:rsidRDefault="00CA0394" w:rsidP="00CA0394">
            <w:pPr>
              <w:jc w:val="center"/>
              <w:rPr>
                <w:rFonts w:cstheme="minorHAnsi"/>
                <w:sz w:val="22"/>
                <w:szCs w:val="22"/>
              </w:rPr>
            </w:pPr>
            <w:r w:rsidRPr="00CA0394">
              <w:rPr>
                <w:rFonts w:cstheme="minorHAnsi"/>
                <w:sz w:val="22"/>
                <w:szCs w:val="22"/>
              </w:rPr>
              <w:t>Apnea jerk</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33111470" w14:textId="343EE5E7" w:rsidR="00CA0394" w:rsidRPr="00CA0394" w:rsidRDefault="00CA0394" w:rsidP="00CA0394">
            <w:pPr>
              <w:rPr>
                <w:rFonts w:cstheme="minorHAnsi"/>
                <w:sz w:val="22"/>
                <w:szCs w:val="22"/>
              </w:rPr>
            </w:pPr>
            <w:r w:rsidRPr="00CA0394">
              <w:rPr>
                <w:rFonts w:cstheme="minorHAnsi"/>
                <w:sz w:val="22"/>
                <w:szCs w:val="22"/>
              </w:rPr>
              <w:t>The mean first derivative of acceleration during the swallowing apnea.</w:t>
            </w:r>
          </w:p>
        </w:tc>
        <w:tc>
          <w:tcPr>
            <w:tcW w:w="1507" w:type="dxa"/>
            <w:tcBorders>
              <w:top w:val="single" w:sz="12" w:space="0" w:color="auto"/>
              <w:left w:val="single" w:sz="12" w:space="0" w:color="auto"/>
              <w:bottom w:val="single" w:sz="12" w:space="0" w:color="auto"/>
              <w:right w:val="single" w:sz="12" w:space="0" w:color="auto"/>
            </w:tcBorders>
          </w:tcPr>
          <w:p w14:paraId="1F74F791" w14:textId="3E2F8D36"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55CCB3C8" w14:textId="654A3810"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7B1D9AB6" w14:textId="1AAE73BE" w:rsidR="00CA0394" w:rsidRPr="00CA0394" w:rsidRDefault="00CA0394" w:rsidP="00CA0394">
            <w:pPr>
              <w:jc w:val="center"/>
              <w:rPr>
                <w:rFonts w:cstheme="minorHAnsi"/>
                <w:sz w:val="22"/>
                <w:szCs w:val="22"/>
              </w:rPr>
            </w:pPr>
            <w:r w:rsidRPr="00CA0394">
              <w:rPr>
                <w:rFonts w:cstheme="minorHAnsi"/>
                <w:sz w:val="22"/>
                <w:szCs w:val="22"/>
              </w:rPr>
              <w:t>Pre-swallow I-E pattern</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5DFD344F" w14:textId="1E907411" w:rsidR="00CA0394" w:rsidRPr="00CA0394" w:rsidRDefault="00CA0394" w:rsidP="00CA0394">
            <w:pPr>
              <w:rPr>
                <w:rFonts w:cstheme="minorHAnsi"/>
                <w:sz w:val="22"/>
                <w:szCs w:val="22"/>
              </w:rPr>
            </w:pPr>
            <w:r w:rsidRPr="00CA0394">
              <w:rPr>
                <w:rFonts w:cstheme="minorHAnsi"/>
                <w:sz w:val="22"/>
                <w:szCs w:val="22"/>
              </w:rPr>
              <w:t xml:space="preserve">Inhale or exhale occurring prior to the swallowing apnea </w:t>
            </w:r>
            <w:r w:rsidRPr="00CA0394">
              <w:rPr>
                <w:rFonts w:cstheme="minorHAnsi"/>
                <w:sz w:val="22"/>
                <w:szCs w:val="22"/>
              </w:rPr>
              <w:fldChar w:fldCharType="begin" w:fldLock="1"/>
            </w:r>
            <w:r w:rsidR="008A4EF6">
              <w:rPr>
                <w:rFonts w:cstheme="minorHAnsi"/>
                <w:sz w:val="22"/>
                <w:szCs w:val="22"/>
              </w:rPr>
              <w:instrText>ADDIN CSL_CITATION {"citationItems":[{"id":"ITEM-1","itemData":{"abstract":"1. Relationships between the timing of respiration and deglutition were studied in thirty awake healthy subjects at rest. Deglutition was monitored by submental electro-myography, pharyngeal manometry and videofluoroscopy. Respiration was recorded by measurement of oronasal airflow and chest wall movement. Three types of deglutition were studied: injected bolus swallows, spontaneous swallows, and visually cued swallows of boluses previously placed in the mouth. 2. The effect of each swallow on respiratory rhythm was characterized by measurement of cophase, defined as the interval between the onset of deglutitive submental EMG activity to the onset of subsequent rescheduled inspirations. Cophase was determined for swallows initiated at different phases of the respiratory cycle. In all subjects deglutition caused phase resetting of respiratory rhythm. Cophase was largest for swallows initiated near the inspiratory-expiratory (I-E) transition and smallest for swallows initiated near the expiratory-inspiratory (E-I) transition. The pattern of respiratory resetting by deglutition was topologically classified as type 0. This pattern was shown for swallows induced by bolus injection or visual cue, and for spontaneous swallows. 3. The incidence of spontaneous deglutition was influenced by the position of the swallow in the respiratory cycle. Few spontaneous swallows were initiated near the E-I transition whereas most occurred from late inspiration to mid-expiration. 4. Deglutition caused an abrupt decrease in airflow leading to an interval of apnoea, followed by a period of expiration. The duration of deglutition apnoea for spontaneous swallows was shorter than that for 5 ml bolus swallows, and was unaffected by the respiratory phase of swallow initiation. The period of expiration after swallowing was longest for swallows initiated at the I-E transition, and shortest for E-I swallows. 5. The intervals between bolus injection and the onset of deglutition apnoea, and the timing of swallowing events, were not significantly altered by the phase in the respiratory cycle at which swallowing was exhibited. 6. To quantify the relationship between bolus flow and respiration, we determined the latencies between cessation of inspiratory airflow and arrival of the bolus at the larynx (a.), and between laryngeal bolus departure and resumption of inspiratory airflow (a). Both values were dependent upon the respiratory phase of swallowing. The lowest values for a and a were f…","author":[{"dropping-particle":"","family":"Paydarfar","given":"David","non-dropping-particle":"","parse-names":false,"suffix":""},{"dropping-particle":"","family":"Gilbert","given":"Richard J","non-dropping-particle":"","parse-names":false,"suffix":""},{"dropping-particle":"","family":"Poppel","given":"Clinton S","non-dropping-particle":"","parse-names":false,"suffix":""},{"dropping-particle":"","family":"Nassab","given":"Paul F","non-dropping-particle":"","parse-names":false,"suffix":""}],"container-title":"Journal of Physiology","id":"ITEM-1","issued":{"date-parts":[["1995"]]},"number-of-pages":"273-288","title":"Respiratory phase resetting and airflow changes induced by swallowing in humans","type":"report"},"uris":["http://www.mendeley.com/documents/?uuid=df6c48ab-9132-4530-bc4f-94967b74ff7d","http://www.mendeley.com/documents/?uuid=8687eea8-e294-35b3-a5bc-d23bf55bf473"]},{"id":"ITEM-2","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Physiology","id":"ITEM-2","issue":"SEP","issued":{"date-parts":[["2017","9"]]},"page":"676","publisher":"Frontiers Media S.A.","title":"Inappropriate Timing of Swallow in the Respiratory Cycle Causes Breathing–Swallowing Discoordination","type":"article-journal","volume":"8"},"uris":["http://www.mendeley.com/documents/?uuid=f13c1665-2281-46ba-94f7-3c6bb77cd19b","http://www.mendeley.com/documents/?uuid=3e9620d0-be19-3214-8f5b-ba1814866693","http://www.mendeley.com/documents/?uuid=33fc0c3a-d2b8-4101-96d6-eb51cbcf7ad6"]}],"mendeley":{"formattedCitation":"[7,8]","plainTextFormattedCitation":"[7,8]","previouslyFormattedCitation":"[7,8]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[7,8]</w:t>
            </w:r>
            <w:r w:rsidRPr="00CA0394">
              <w:rPr>
                <w:rFonts w:cstheme="minorHAnsi"/>
                <w:sz w:val="22"/>
                <w:szCs w:val="22"/>
              </w:rPr>
              <w:fldChar w:fldCharType="end"/>
            </w:r>
            <w:r w:rsidRPr="00CA0394">
              <w:rPr>
                <w:rFonts w:cstheme="minorHAnsi"/>
                <w:sz w:val="22"/>
                <w:szCs w:val="22"/>
              </w:rPr>
              <w:t xml:space="preserve">. </w:t>
            </w:r>
          </w:p>
        </w:tc>
        <w:tc>
          <w:tcPr>
            <w:tcW w:w="1507" w:type="dxa"/>
            <w:tcBorders>
              <w:top w:val="single" w:sz="12" w:space="0" w:color="auto"/>
              <w:left w:val="single" w:sz="12" w:space="0" w:color="auto"/>
              <w:bottom w:val="single" w:sz="12" w:space="0" w:color="auto"/>
              <w:right w:val="single" w:sz="12" w:space="0" w:color="auto"/>
            </w:tcBorders>
          </w:tcPr>
          <w:p w14:paraId="6B55AC1B" w14:textId="475E5230"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673209EF" w14:textId="77777777"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15893922" w14:textId="4947382E" w:rsidR="00CA0394" w:rsidRPr="00CA0394" w:rsidRDefault="00CA0394" w:rsidP="00CA0394">
            <w:pPr>
              <w:jc w:val="center"/>
              <w:rPr>
                <w:rFonts w:cstheme="minorHAnsi"/>
                <w:sz w:val="22"/>
                <w:szCs w:val="22"/>
              </w:rPr>
            </w:pPr>
            <w:r w:rsidRPr="00CA0394">
              <w:rPr>
                <w:rFonts w:cstheme="minorHAnsi"/>
                <w:sz w:val="22"/>
                <w:szCs w:val="22"/>
              </w:rPr>
              <w:t>Post-swallow I-E pattern</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4C618326" w14:textId="3828E6E8" w:rsidR="00CA0394" w:rsidRPr="00CA0394" w:rsidRDefault="00CA0394" w:rsidP="00CA0394">
            <w:pPr>
              <w:rPr>
                <w:rFonts w:cstheme="minorHAnsi"/>
                <w:sz w:val="22"/>
                <w:szCs w:val="22"/>
              </w:rPr>
            </w:pPr>
            <w:r w:rsidRPr="00CA0394">
              <w:rPr>
                <w:rFonts w:cstheme="minorHAnsi"/>
                <w:sz w:val="22"/>
                <w:szCs w:val="22"/>
              </w:rPr>
              <w:t xml:space="preserve">Inhale or exhale occurring prior to the swallowing apnea </w:t>
            </w:r>
            <w:r w:rsidRPr="00CA0394">
              <w:rPr>
                <w:rFonts w:cstheme="minorHAnsi"/>
                <w:sz w:val="22"/>
                <w:szCs w:val="22"/>
              </w:rPr>
              <w:fldChar w:fldCharType="begin" w:fldLock="1"/>
            </w:r>
            <w:r w:rsidR="008A4EF6">
              <w:rPr>
                <w:rFonts w:cstheme="minorHAnsi"/>
                <w:sz w:val="22"/>
                <w:szCs w:val="22"/>
              </w:rPr>
              <w:instrText>ADDIN CSL_CITATION {"citationItems":[{"id":"ITEM-1","itemData":{"abstract":"1. Relationships between the timing of respiration and deglutition were studied in thirty awake healthy subjects at rest. Deglutition was monitored by submental electro-myography, pharyngeal manometry and videofluoroscopy. Respiration was recorded by measurement of oronasal airflow and chest wall movement. Three types of deglutition were studied: injected bolus swallows, spontaneous swallows, and visually cued swallows of boluses previously placed in the mouth. 2. The effect of each swallow on respiratory rhythm was characterized by measurement of cophase, defined as the interval between the onset of deglutitive submental EMG activity to the onset of subsequent rescheduled inspirations. Cophase was determined for swallows initiated at different phases of the respiratory cycle. In all subjects deglutition caused phase resetting of respiratory rhythm. Cophase was largest for swallows initiated near the inspiratory-expiratory (I-E) transition and smallest for swallows initiated near the expiratory-inspiratory (E-I) transition. The pattern of respiratory resetting by deglutition was topologically classified as type 0. This pattern was shown for swallows induced by bolus injection or visual cue, and for spontaneous swallows. 3. The incidence of spontaneous deglutition was influenced by the position of the swallow in the respiratory cycle. Few spontaneous swallows were initiated near the E-I transition whereas most occurred from late inspiration to mid-expiration. 4. Deglutition caused an abrupt decrease in airflow leading to an interval of apnoea, followed by a period of expiration. The duration of deglutition apnoea for spontaneous swallows was shorter than that for 5 ml bolus swallows, and was unaffected by the respiratory phase of swallow initiation. The period of expiration after swallowing was longest for swallows initiated at the I-E transition, and shortest for E-I swallows. 5. The intervals between bolus injection and the onset of deglutition apnoea, and the timing of swallowing events, were not significantly altered by the phase in the respiratory cycle at which swallowing was exhibited. 6. To quantify the relationship between bolus flow and respiration, we determined the latencies between cessation of inspiratory airflow and arrival of the bolus at the larynx (a.), and between laryngeal bolus departure and resumption of inspiratory airflow (a). Both values were dependent upon the respiratory phase of swallowing. The lowest values for a and a were f…","author":[{"dropping-particle":"","family":"Paydarfar","given":"David","non-dropping-particle":"","parse-names":false,"suffix":""},{"dropping-particle":"","family":"Gilbert","given":"Richard J","non-dropping-particle":"","parse-names":false,"suffix":""},{"dropping-particle":"","family":"Poppel","given":"Clinton S","non-dropping-particle":"","parse-names":false,"suffix":""},{"dropping-particle":"","family":"Nassab","given":"Paul F","non-dropping-particle":"","parse-names":false,"suffix":""}],"container-title":"Journal of Physiology","id":"ITEM-1","issued":{"date-parts":[["1995"]]},"number-of-pages":"273-288","title":"Respiratory phase resetting and airflow changes induced by swallowing in humans","type":"report"},"uris":["http://www.mendeley.com/documents/?uuid=df6c48ab-9132-4530-bc4f-94967b74ff7d","http://www.mendeley.com/documents/?uuid=8687eea8-e294-35b3-a5bc-d23bf55bf473"]},{"id":"ITEM-2","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Physiology","id":"ITEM-2","issue":"SEP","issued":{"date-parts":[["2017","9"]]},"page":"676","publisher":"Frontiers Media S.A.","title":"Inappropriate Timing of Swallow in the Respiratory Cycle Causes Breathing–Swallowing Discoordination","type":"article-journal","volume":"8"},"uris":["http://www.mendeley.com/documents/?uuid=f13c1665-2281-46ba-94f7-3c6bb77cd19b","http://www.mendeley.com/documents/?uuid=3e9620d0-be19-3214-8f5b-ba1814866693","http://www.mendeley.com/documents/?uuid=33fc0c3a-d2b8-4101-96d6-eb51cbcf7ad6"]}],"mendeley":{"formattedCitation":"[7,8]","plainTextFormattedCitation":"[7,8]","previouslyFormattedCitation":"[7,8]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[7,8]</w:t>
            </w:r>
            <w:r w:rsidRPr="00CA0394">
              <w:rPr>
                <w:rFonts w:cstheme="minorHAnsi"/>
                <w:sz w:val="22"/>
                <w:szCs w:val="22"/>
              </w:rPr>
              <w:fldChar w:fldCharType="end"/>
            </w:r>
            <w:r w:rsidRPr="00CA0394">
              <w:rPr>
                <w:rFonts w:cstheme="minorHAnsi"/>
                <w:sz w:val="22"/>
                <w:szCs w:val="22"/>
              </w:rPr>
              <w:t>.</w:t>
            </w:r>
          </w:p>
        </w:tc>
        <w:tc>
          <w:tcPr>
            <w:tcW w:w="1507" w:type="dxa"/>
            <w:tcBorders>
              <w:top w:val="single" w:sz="12" w:space="0" w:color="auto"/>
              <w:left w:val="single" w:sz="12" w:space="0" w:color="auto"/>
              <w:bottom w:val="single" w:sz="12" w:space="0" w:color="auto"/>
              <w:right w:val="single" w:sz="12" w:space="0" w:color="auto"/>
            </w:tcBorders>
          </w:tcPr>
          <w:p w14:paraId="53F132AD" w14:textId="6308AA75"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0E5BEA3D" w14:textId="50B87008"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2919EDE1" w14:textId="53A4553A" w:rsidR="00CA0394" w:rsidRPr="00CA0394" w:rsidRDefault="00CA0394" w:rsidP="00CA0394">
            <w:pPr>
              <w:jc w:val="center"/>
              <w:rPr>
                <w:rFonts w:cstheme="minorHAnsi"/>
                <w:sz w:val="22"/>
                <w:szCs w:val="22"/>
              </w:rPr>
            </w:pPr>
            <w:r w:rsidRPr="00CA0394">
              <w:rPr>
                <w:rFonts w:cstheme="minorHAnsi"/>
                <w:sz w:val="22"/>
                <w:szCs w:val="22"/>
              </w:rPr>
              <w:t>Old-Phase</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1C4496DA" w14:textId="01036FE6" w:rsidR="00CA0394" w:rsidRPr="00CA0394" w:rsidRDefault="00CA0394" w:rsidP="00CA0394">
            <w:pPr>
              <w:rPr>
                <w:rFonts w:cstheme="minorHAnsi"/>
                <w:sz w:val="22"/>
                <w:szCs w:val="22"/>
              </w:rPr>
            </w:pPr>
            <w:r w:rsidRPr="00CA0394">
              <w:rPr>
                <w:rFonts w:cstheme="minorHAnsi"/>
                <w:sz w:val="22"/>
                <w:szCs w:val="22"/>
              </w:rPr>
              <w:t xml:space="preserve">Duration of the inhale prior to the swallowing apnea until the start of the swallow apnea, normalized by the average respiratory cycle duration during rest </w:t>
            </w:r>
            <w:r w:rsidRPr="00CA0394">
              <w:rPr>
                <w:rFonts w:cstheme="minorHAnsi"/>
                <w:sz w:val="22"/>
                <w:szCs w:val="22"/>
              </w:rPr>
              <w:fldChar w:fldCharType="begin" w:fldLock="1"/>
            </w:r>
            <w:r w:rsidR="008A4EF6">
              <w:rPr>
                <w:rFonts w:cstheme="minorHAnsi"/>
                <w:sz w:val="22"/>
                <w:szCs w:val="22"/>
              </w:rPr>
              <w:instrText>ADDIN CSL_CITATION {"citationItems":[{"id":"ITEM-1","itemData":{"abstract":"1. Relationships between the timing of respiration and deglutition were studied in thirty awake healthy subjects at rest. Deglutition was monitored by submental electro-myography, pharyngeal manometry and videofluoroscopy. Respiration was recorded by measurement of oronasal airflow and chest wall movement. Three types of deglutition were studied: injected bolus swallows, spontaneous swallows, and visually cued swallows of boluses previously placed in the mouth. 2. The effect of each swallow on respiratory rhythm was characterized by measurement of cophase, defined as the interval between the onset of deglutitive submental EMG activity to the onset of subsequent rescheduled inspirations. Cophase was determined for swallows initiated at different phases of the respiratory cycle. In all subjects deglutition caused phase resetting of respiratory rhythm. Cophase was largest for swallows initiated near the inspiratory-expiratory (I-E) transition and smallest for swallows initiated near the expiratory-inspiratory (E-I) transition. The pattern of respiratory resetting by deglutition was topologically classified as type 0. This pattern was shown for swallows induced by bolus injection or visual cue, and for spontaneous swallows. 3. The incidence of spontaneous deglutition was influenced by the position of the swallow in the respiratory cycle. Few spontaneous swallows were initiated near the E-I transition whereas most occurred from late inspiration to mid-expiration. 4. Deglutition caused an abrupt decrease in airflow leading to an interval of apnoea, followed by a period of expiration. The duration of deglutition apnoea for spontaneous swallows was shorter than that for 5 ml bolus swallows, and was unaffected by the respiratory phase of swallow initiation. The period of expiration after swallowing was longest for swallows initiated at the I-E transition, and shortest for E-I swallows. 5. The intervals between bolus injection and the onset of deglutition apnoea, and the timing of swallowing events, were not significantly altered by the phase in the respiratory cycle at which swallowing was exhibited. 6. To quantify the relationship between bolus flow and respiration, we determined the latencies between cessation of inspiratory airflow and arrival of the bolus at the larynx (a.), and between laryngeal bolus departure and resumption of inspiratory airflow (a). Both values were dependent upon the respiratory phase of swallowing. The lowest values for a and a were f…","author":[{"dropping-particle":"","family":"Paydarfar","given":"David","non-dropping-particle":"","parse-names":false,"suffix":""},{"dropping-particle":"","family":"Gilbert","given":"Richard J","non-dropping-particle":"","parse-names":false,"suffix":""},{"dropping-particle":"","family":"Poppel","given":"Clinton S","non-dropping-particle":"","parse-names":false,"suffix":""},{"dropping-particle":"","family":"Nassab","given":"Paul F","non-dropping-particle":"","parse-names":false,"suffix":""}],"container-title":"Journal of Physiology","id":"ITEM-1","issued":{"date-parts":[["1995"]]},"number-of-pages":"273-288","title":"Respiratory phase resetting and airflow changes induced by swallowing in humans","type":"report"},"uris":["http://www.mendeley.com/documents/?uuid=df6c48ab-9132-4530-bc4f-94967b74ff7d","http://www.mendeley.com/documents/?uuid=8687eea8-e294-35b3-a5bc-d23bf55bf473"]},{"id":"ITEM-2","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Physiology","id":"ITEM-2","issue":"SEP","issued":{"date-parts":[["2017","9"]]},"page":"676","publisher":"Frontiers Media S.A.","title":"Inappropriate Timing of Swallow in the Respiratory Cycle Causes Breathing–Swallowing Discoordination","type":"article-journal","volume":"8"},"uris":["http://www.mendeley.com/documents/?uuid=f13c1665-2281-46ba-94f7-3c6bb77cd19b","http://www.mendeley.com/documents/?uuid=3e9620d0-be19-3214-8f5b-ba1814866693","http://www.mendeley.com/documents/?uuid=465710ea-469c-4803-9104-a349acc7caf4"]}],"mendeley":{"formattedCitation":"[7,8]","plainTextFormattedCitation":"[7,8]","previouslyFormattedCitation":"[7,8]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[7,8]</w:t>
            </w:r>
            <w:r w:rsidRPr="00CA0394">
              <w:rPr>
                <w:rFonts w:cstheme="minorHAnsi"/>
                <w:sz w:val="22"/>
                <w:szCs w:val="22"/>
              </w:rPr>
              <w:fldChar w:fldCharType="end"/>
            </w:r>
            <w:r w:rsidRPr="00CA0394">
              <w:rPr>
                <w:rFonts w:cstheme="minorHAnsi"/>
                <w:sz w:val="22"/>
                <w:szCs w:val="22"/>
              </w:rPr>
              <w:t>.</w:t>
            </w:r>
          </w:p>
        </w:tc>
        <w:tc>
          <w:tcPr>
            <w:tcW w:w="1507" w:type="dxa"/>
            <w:tcBorders>
              <w:top w:val="single" w:sz="12" w:space="0" w:color="auto"/>
              <w:left w:val="single" w:sz="12" w:space="0" w:color="auto"/>
              <w:bottom w:val="single" w:sz="12" w:space="0" w:color="auto"/>
              <w:right w:val="single" w:sz="12" w:space="0" w:color="auto"/>
            </w:tcBorders>
          </w:tcPr>
          <w:p w14:paraId="4EAED638" w14:textId="4F06A9B2"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0A5AB0A7" w14:textId="245D1117"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7735CCBF" w14:textId="63908ED8" w:rsidR="00CA0394" w:rsidRPr="00CA0394" w:rsidRDefault="00CA0394" w:rsidP="00CA0394">
            <w:pPr>
              <w:jc w:val="center"/>
              <w:rPr>
                <w:rFonts w:cstheme="minorHAnsi"/>
                <w:sz w:val="22"/>
                <w:szCs w:val="22"/>
              </w:rPr>
            </w:pPr>
            <w:r w:rsidRPr="00CA0394">
              <w:rPr>
                <w:rFonts w:cstheme="minorHAnsi"/>
                <w:sz w:val="22"/>
                <w:szCs w:val="22"/>
              </w:rPr>
              <w:t>Co-Phase</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29179FD0" w14:textId="1F0F3892" w:rsidR="00CA0394" w:rsidRPr="00CA0394" w:rsidRDefault="00CA0394" w:rsidP="00CA0394">
            <w:pPr>
              <w:rPr>
                <w:rFonts w:cstheme="minorHAnsi"/>
                <w:sz w:val="22"/>
                <w:szCs w:val="22"/>
              </w:rPr>
            </w:pPr>
            <w:r w:rsidRPr="00CA0394">
              <w:rPr>
                <w:rFonts w:cstheme="minorHAnsi"/>
                <w:sz w:val="22"/>
                <w:szCs w:val="22"/>
              </w:rPr>
              <w:t xml:space="preserve">Duration from the end of the swallowing apnea to the next post-swallow inhale, normalized by the average respiratory cycle duration during rest </w:t>
            </w:r>
            <w:r w:rsidRPr="00CA0394">
              <w:rPr>
                <w:rFonts w:cstheme="minorHAnsi"/>
                <w:sz w:val="22"/>
                <w:szCs w:val="22"/>
              </w:rPr>
              <w:fldChar w:fldCharType="begin" w:fldLock="1"/>
            </w:r>
            <w:r w:rsidR="008A4EF6">
              <w:rPr>
                <w:rFonts w:cstheme="minorHAnsi"/>
                <w:sz w:val="22"/>
                <w:szCs w:val="22"/>
              </w:rPr>
              <w:instrText>ADDIN CSL_CITATION {"citationItems":[{"id":"ITEM-1","itemData":{"abstract":"1. Relationships between the timing of respiration and deglutition were studied in thirty awake healthy subjects at rest. Deglutition was monitored by submental electro-myography, pharyngeal manometry and videofluoroscopy. Respiration was recorded by measurement of oronasal airflow and chest wall movement. Three types of deglutition were studied: injected bolus swallows, spontaneous swallows, and visually cued swallows of boluses previously placed in the mouth. 2. The effect of each swallow on respiratory rhythm was characterized by measurement of cophase, defined as the interval between the onset of deglutitive submental EMG activity to the onset of subsequent rescheduled inspirations. Cophase was determined for swallows initiated at different phases of the respiratory cycle. In all subjects deglutition caused phase resetting of respiratory rhythm. Cophase was largest for swallows initiated near the inspiratory-expiratory (I-E) transition and smallest for swallows initiated near the expiratory-inspiratory (E-I) transition. The pattern of respiratory resetting by deglutition was topologically classified as type 0. This pattern was shown for swallows induced by bolus injection or visual cue, and for spontaneous swallows. 3. The incidence of spontaneous deglutition was influenced by the position of the swallow in the respiratory cycle. Few spontaneous swallows were initiated near the E-I transition whereas most occurred from late inspiration to mid-expiration. 4. Deglutition caused an abrupt decrease in airflow leading to an interval of apnoea, followed by a period of expiration. The duration of deglutition apnoea for spontaneous swallows was shorter than that for 5 ml bolus swallows, and was unaffected by the respiratory phase of swallow initiation. The period of expiration after swallowing was longest for swallows initiated at the I-E transition, and shortest for E-I swallows. 5. The intervals between bolus injection and the onset of deglutition apnoea, and the timing of swallowing events, were not significantly altered by the phase in the respiratory cycle at which swallowing was exhibited. 6. To quantify the relationship between bolus flow and respiration, we determined the latencies between cessation of inspiratory airflow and arrival of the bolus at the larynx (a.), and between laryngeal bolus departure and resumption of inspiratory airflow (a). Both values were dependent upon the respiratory phase of swallowing. The lowest values for a and a were f…","author":[{"dropping-particle":"","family":"Paydarfar","given":"David","non-dropping-particle":"","parse-names":false,"suffix":""},{"dropping-particle":"","family":"Gilbert","given":"Richard J","non-dropping-particle":"","parse-names":false,"suffix":""},{"dropping-particle":"","family":"Poppel","given":"Clinton S","non-dropping-particle":"","parse-names":false,"suffix":""},{"dropping-particle":"","family":"Nassab","given":"Paul F","non-dropping-particle":"","parse-names":false,"suffix":""}],"container-title":"Journal of Physiology","id":"ITEM-1","issued":{"date-parts":[["1995"]]},"number-of-pages":"273-288","title":"Respiratory phase resetting and airflow changes induced by swallowing in humans","type":"report"},"uris":["http://www.mendeley.com/documents/?uuid=df6c48ab-9132-4530-bc4f-94967b74ff7d","http://www.mendeley.com/documents/?uuid=8687eea8-e294-35b3-a5bc-d23bf55bf473"]},{"id":"ITEM-2","itemData":{"DOI":"10.3389/fphys.2017.00676","ISSN":"1664-042X","abstract":"Rationale: Swallowing during inspiration and swallowing immediately followed by inspiration increase the chances of aspiration and may cause disease exacerbation. However, the mechanisms by which such breathing-swallowing discoordination occurs are not well-understood. Objectives: We hypothesized that breathing-swallowing discoordination occurs when the timing of the swallow in the respiratory cycle is inappropriate. To test this hypothesis, we monitored respiration and swallowing activity in healthy subjects and in patients with dysphagia using a non-invasive swallowing monitoring system. Measurements and Main Results: The parameters measured included the timing of swallow in the respiratory cycle, swallowing latency (interval between the onset of respiratory pause and the onset of swallow), pause duration (duration of respiratory pause for swallowing), and the breathing-swallowing coordination pattern. We classified swallows that closely follow inspiration (I) as I-SW,whereas those that precede I as SW-I pattern. Patients with dysphagia had prolonged swallowing latency and pause duration, and tended to have I-SW or SW-I patterns reflecting breathing-swallows discoordination. Conclusions: We conclude that swallows at inappropriate timing in the respiratory cycle cause breathing-swallowing discoordination, and the prolongation of swallowing latency leads to delayed timing of the swallow, and results in an increase in the SW-I pattern in patients with dysphagia.","author":[{"dropping-particle":"","family":"Yagi","given":"Naomi","non-dropping-particle":"","parse-names":false,"suffix":""},{"dropping-particle":"","family":"Oku","given":"Yoshitaka","non-dropping-particle":"","parse-names":false,"suffix":""},{"dropping-particle":"","family":"Nagami","given":"Shinsuke","non-dropping-particle":"","parse-names":false,"suffix":""},{"dropping-particle":"","family":"Yamagata","given":"Yoshie","non-dropping-particle":"","parse-names":false,"suffix":""},{"dropping-particle":"","family":"Kayashita","given":"Jun","non-dropping-particle":"","parse-names":false,"suffix":""},{"dropping-particle":"","family":"Ishikawa","given":"Akira","non-dropping-particle":"","parse-names":false,"suffix":""},{"dropping-particle":"","family":"Domen","given":"Kazuhisa","non-dropping-particle":"","parse-names":false,"suffix":""},{"dropping-particle":"","family":"Takahashi","given":"Ryosuke","non-dropping-particle":"","parse-names":false,"suffix":""}],"container-title":"Frontiers in Physiology","id":"ITEM-2","issue":"SEP","issued":{"date-parts":[["2017","9"]]},"page":"676","publisher":"Frontiers Media S.A.","title":"Inappropriate Timing of Swallow in the Respiratory Cycle Causes Breathing–Swallowing Discoordination","type":"article-journal","volume":"8"},"uris":["http://www.mendeley.com/documents/?uuid=f13c1665-2281-46ba-94f7-3c6bb77cd19b","http://www.mendeley.com/documents/?uuid=3e9620d0-be19-3214-8f5b-ba1814866693","http://www.mendeley.com/documents/?uuid=b9647f96-5091-496b-a497-c4f252eaef11"]}],"mendeley":{"formattedCitation":"[7,8]","plainTextFormattedCitation":"[7,8]","previouslyFormattedCitation":"[7,8]"},"properties":{"noteIndex":0},"schema":"https://github.com/citation-style-language/schema/raw/master/csl-citation.json"}</w:instrText>
            </w:r>
            <w:r w:rsidRPr="00CA0394">
              <w:rPr>
                <w:rFonts w:cstheme="minorHAnsi"/>
                <w:sz w:val="22"/>
                <w:szCs w:val="22"/>
              </w:rPr>
              <w:fldChar w:fldCharType="separate"/>
            </w:r>
            <w:r w:rsidR="008A4EF6" w:rsidRPr="008A4EF6">
              <w:rPr>
                <w:rFonts w:cstheme="minorHAnsi"/>
                <w:noProof/>
                <w:sz w:val="22"/>
                <w:szCs w:val="22"/>
              </w:rPr>
              <w:t>[7,8]</w:t>
            </w:r>
            <w:r w:rsidRPr="00CA0394">
              <w:rPr>
                <w:rFonts w:cstheme="minorHAnsi"/>
                <w:sz w:val="22"/>
                <w:szCs w:val="22"/>
              </w:rPr>
              <w:fldChar w:fldCharType="end"/>
            </w:r>
            <w:r w:rsidRPr="00CA0394">
              <w:rPr>
                <w:rFonts w:cstheme="minorHAnsi"/>
                <w:sz w:val="22"/>
                <w:szCs w:val="22"/>
              </w:rPr>
              <w:t>.</w:t>
            </w:r>
          </w:p>
        </w:tc>
        <w:tc>
          <w:tcPr>
            <w:tcW w:w="1507" w:type="dxa"/>
            <w:tcBorders>
              <w:top w:val="single" w:sz="12" w:space="0" w:color="auto"/>
              <w:left w:val="single" w:sz="12" w:space="0" w:color="auto"/>
              <w:bottom w:val="single" w:sz="12" w:space="0" w:color="auto"/>
              <w:right w:val="single" w:sz="12" w:space="0" w:color="auto"/>
            </w:tcBorders>
          </w:tcPr>
          <w:p w14:paraId="216564AB" w14:textId="6960E772" w:rsidR="00CA0394" w:rsidRPr="00CA0394" w:rsidRDefault="00CA0394" w:rsidP="00CA0394">
            <w:pPr>
              <w:jc w:val="center"/>
              <w:rPr>
                <w:rFonts w:cstheme="minorHAnsi"/>
                <w:sz w:val="22"/>
                <w:szCs w:val="22"/>
              </w:rPr>
            </w:pPr>
          </w:p>
        </w:tc>
      </w:tr>
      <w:tr w:rsidR="00CA0394" w:rsidRPr="00CA0394" w14:paraId="4E48ABE4" w14:textId="49D3A845"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5437B216" w14:textId="7FB86F9E" w:rsidR="00CA0394" w:rsidRPr="00CA0394" w:rsidRDefault="00CA0394" w:rsidP="00CA0394">
            <w:pPr>
              <w:jc w:val="center"/>
              <w:rPr>
                <w:rFonts w:cstheme="minorHAnsi"/>
                <w:sz w:val="22"/>
                <w:szCs w:val="22"/>
              </w:rPr>
            </w:pPr>
            <w:r w:rsidRPr="00CA0394">
              <w:rPr>
                <w:rFonts w:cstheme="minorHAnsi"/>
                <w:sz w:val="22"/>
                <w:szCs w:val="22"/>
              </w:rPr>
              <w:t>Pre-swallow respiration range</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61E94D55" w14:textId="3E308A58" w:rsidR="00CA0394" w:rsidRPr="00CA0394" w:rsidRDefault="00CA0394" w:rsidP="00CA0394">
            <w:pPr>
              <w:rPr>
                <w:rFonts w:cstheme="minorHAnsi"/>
                <w:sz w:val="22"/>
                <w:szCs w:val="22"/>
              </w:rPr>
            </w:pPr>
            <w:r w:rsidRPr="00CA0394">
              <w:rPr>
                <w:rFonts w:cstheme="minorHAnsi"/>
                <w:sz w:val="22"/>
                <w:szCs w:val="22"/>
              </w:rPr>
              <w:t xml:space="preserve">Range of signal during breath (inhale or exhale) taken prior to the swallow. </w:t>
            </w:r>
          </w:p>
        </w:tc>
        <w:tc>
          <w:tcPr>
            <w:tcW w:w="1507" w:type="dxa"/>
            <w:tcBorders>
              <w:top w:val="single" w:sz="12" w:space="0" w:color="auto"/>
              <w:left w:val="single" w:sz="12" w:space="0" w:color="auto"/>
              <w:bottom w:val="single" w:sz="12" w:space="0" w:color="auto"/>
              <w:right w:val="single" w:sz="12" w:space="0" w:color="auto"/>
            </w:tcBorders>
          </w:tcPr>
          <w:p w14:paraId="57EB4917" w14:textId="5F0418DF" w:rsidR="00CA0394" w:rsidRPr="00CA0394" w:rsidRDefault="00CA0394" w:rsidP="00CA0394">
            <w:pPr>
              <w:jc w:val="center"/>
              <w:rPr>
                <w:rFonts w:cstheme="minorHAnsi"/>
                <w:sz w:val="22"/>
                <w:szCs w:val="22"/>
              </w:rPr>
            </w:pPr>
          </w:p>
        </w:tc>
      </w:tr>
      <w:tr w:rsidR="00CA0394" w:rsidRPr="00CA0394" w14:paraId="0AA0FEAA" w14:textId="785FD204" w:rsidTr="00CA0394">
        <w:trPr>
          <w:trHeight w:val="20"/>
          <w:jc w:val="center"/>
        </w:trPr>
        <w:tc>
          <w:tcPr>
            <w:tcW w:w="2055" w:type="dxa"/>
            <w:tcBorders>
              <w:top w:val="single" w:sz="12" w:space="0" w:color="auto"/>
              <w:left w:val="single" w:sz="12" w:space="0" w:color="auto"/>
              <w:bottom w:val="single" w:sz="8" w:space="0" w:color="000000"/>
              <w:right w:val="single" w:sz="12" w:space="0" w:color="auto"/>
            </w:tcBorders>
          </w:tcPr>
          <w:p w14:paraId="54F726E3" w14:textId="139E4D75" w:rsidR="00CA0394" w:rsidRPr="00CA0394" w:rsidRDefault="00CA0394" w:rsidP="00CA0394">
            <w:pPr>
              <w:jc w:val="center"/>
              <w:rPr>
                <w:rFonts w:cstheme="minorHAnsi"/>
                <w:sz w:val="22"/>
                <w:szCs w:val="22"/>
              </w:rPr>
            </w:pPr>
            <w:r w:rsidRPr="00CA0394">
              <w:rPr>
                <w:rFonts w:cstheme="minorHAnsi"/>
                <w:sz w:val="22"/>
                <w:szCs w:val="22"/>
              </w:rPr>
              <w:t>Pre-swallow respiration velocity</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7A9D966E" w14:textId="021A8027" w:rsidR="00CA0394" w:rsidRPr="00CA0394" w:rsidRDefault="00CA0394" w:rsidP="00CA0394">
            <w:pPr>
              <w:rPr>
                <w:rFonts w:cstheme="minorHAnsi"/>
                <w:sz w:val="22"/>
                <w:szCs w:val="22"/>
              </w:rPr>
            </w:pPr>
            <w:r w:rsidRPr="00CA0394">
              <w:rPr>
                <w:rFonts w:cstheme="minorHAnsi"/>
                <w:sz w:val="22"/>
                <w:szCs w:val="22"/>
              </w:rPr>
              <w:t>Trapezoidal integration of the inhale or exhale preceding the swallowing apnea.</w:t>
            </w:r>
          </w:p>
        </w:tc>
        <w:tc>
          <w:tcPr>
            <w:tcW w:w="1507" w:type="dxa"/>
            <w:tcBorders>
              <w:top w:val="single" w:sz="12" w:space="0" w:color="auto"/>
              <w:left w:val="single" w:sz="12" w:space="0" w:color="auto"/>
              <w:bottom w:val="single" w:sz="12" w:space="0" w:color="auto"/>
              <w:right w:val="single" w:sz="12" w:space="0" w:color="auto"/>
            </w:tcBorders>
          </w:tcPr>
          <w:p w14:paraId="0F08DB6B" w14:textId="1D1A3991"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1B2484D5" w14:textId="77777777"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544F1AD3" w14:textId="14F31022" w:rsidR="00CA0394" w:rsidRPr="00CA0394" w:rsidRDefault="00CA0394" w:rsidP="00CA0394">
            <w:pPr>
              <w:jc w:val="center"/>
              <w:rPr>
                <w:rFonts w:cstheme="minorHAnsi"/>
                <w:sz w:val="22"/>
                <w:szCs w:val="22"/>
              </w:rPr>
            </w:pPr>
            <w:r w:rsidRPr="00CA0394">
              <w:rPr>
                <w:rFonts w:cstheme="minorHAnsi"/>
                <w:sz w:val="22"/>
                <w:szCs w:val="22"/>
              </w:rPr>
              <w:t>Relative pre-swallow breathing cessation</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79C4E877" w14:textId="17168215" w:rsidR="00CA0394" w:rsidRPr="00CA0394" w:rsidRDefault="00CA0394" w:rsidP="00CA0394">
            <w:pPr>
              <w:rPr>
                <w:rFonts w:cstheme="minorHAnsi"/>
                <w:sz w:val="22"/>
                <w:szCs w:val="22"/>
              </w:rPr>
            </w:pPr>
            <w:r w:rsidRPr="00CA0394">
              <w:rPr>
                <w:rFonts w:cstheme="minorHAnsi"/>
                <w:sz w:val="22"/>
                <w:szCs w:val="22"/>
              </w:rPr>
              <w:t>Duration from start of the swallowing apnea to the preceding acceleration zero-crossing, normalized by the average respiratory cycle duration during rest.</w:t>
            </w:r>
          </w:p>
        </w:tc>
        <w:tc>
          <w:tcPr>
            <w:tcW w:w="1507" w:type="dxa"/>
            <w:tcBorders>
              <w:top w:val="single" w:sz="12" w:space="0" w:color="auto"/>
              <w:left w:val="single" w:sz="12" w:space="0" w:color="auto"/>
              <w:bottom w:val="single" w:sz="12" w:space="0" w:color="auto"/>
              <w:right w:val="single" w:sz="12" w:space="0" w:color="auto"/>
            </w:tcBorders>
          </w:tcPr>
          <w:p w14:paraId="121718F1" w14:textId="5E80247E" w:rsidR="00CA0394" w:rsidRPr="00CA0394" w:rsidRDefault="00CA0394" w:rsidP="00CA0394">
            <w:pPr>
              <w:jc w:val="center"/>
              <w:rPr>
                <w:rFonts w:cstheme="minorHAnsi"/>
                <w:sz w:val="22"/>
                <w:szCs w:val="22"/>
              </w:rPr>
            </w:pPr>
            <w:r w:rsidRPr="00CA0394">
              <w:rPr>
                <w:rFonts w:cstheme="minorHAnsi"/>
                <w:sz w:val="22"/>
                <w:szCs w:val="22"/>
              </w:rPr>
              <w:t>*</w:t>
            </w:r>
          </w:p>
        </w:tc>
      </w:tr>
      <w:tr w:rsidR="00CA0394" w:rsidRPr="00CA0394" w14:paraId="6DA63B54" w14:textId="61D64401" w:rsidTr="00CA0394">
        <w:trPr>
          <w:trHeight w:val="20"/>
          <w:jc w:val="center"/>
        </w:trPr>
        <w:tc>
          <w:tcPr>
            <w:tcW w:w="2055" w:type="dxa"/>
            <w:tcBorders>
              <w:top w:val="single" w:sz="12" w:space="0" w:color="auto"/>
              <w:left w:val="single" w:sz="12" w:space="0" w:color="auto"/>
              <w:bottom w:val="single" w:sz="12" w:space="0" w:color="auto"/>
              <w:right w:val="single" w:sz="12" w:space="0" w:color="auto"/>
            </w:tcBorders>
          </w:tcPr>
          <w:p w14:paraId="5D56673E" w14:textId="649ECACD" w:rsidR="00CA0394" w:rsidRPr="00CA0394" w:rsidRDefault="00CA0394" w:rsidP="00CA0394">
            <w:pPr>
              <w:jc w:val="center"/>
              <w:rPr>
                <w:rFonts w:cstheme="minorHAnsi"/>
                <w:sz w:val="22"/>
                <w:szCs w:val="22"/>
              </w:rPr>
            </w:pPr>
            <w:r w:rsidRPr="00CA0394">
              <w:rPr>
                <w:rFonts w:cstheme="minorHAnsi"/>
                <w:sz w:val="22"/>
                <w:szCs w:val="22"/>
              </w:rPr>
              <w:t>Relative post-swallow breathing onset</w:t>
            </w:r>
          </w:p>
        </w:tc>
        <w:tc>
          <w:tcPr>
            <w:tcW w:w="5873"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2B8A247B" w14:textId="316668E8" w:rsidR="00CA0394" w:rsidRPr="00CA0394" w:rsidRDefault="00CA0394" w:rsidP="00CA0394">
            <w:pPr>
              <w:rPr>
                <w:rFonts w:cstheme="minorHAnsi"/>
                <w:sz w:val="22"/>
                <w:szCs w:val="22"/>
              </w:rPr>
            </w:pPr>
            <w:r w:rsidRPr="00CA0394">
              <w:rPr>
                <w:rFonts w:cstheme="minorHAnsi"/>
                <w:sz w:val="22"/>
                <w:szCs w:val="22"/>
              </w:rPr>
              <w:t>Duration from the end of the swallowing apnea to the next acceleration zero-crossing, normalized by the average respiratory cycle duration during rest.</w:t>
            </w:r>
          </w:p>
        </w:tc>
        <w:tc>
          <w:tcPr>
            <w:tcW w:w="1507" w:type="dxa"/>
            <w:tcBorders>
              <w:top w:val="single" w:sz="12" w:space="0" w:color="auto"/>
              <w:left w:val="single" w:sz="12" w:space="0" w:color="auto"/>
              <w:bottom w:val="single" w:sz="12" w:space="0" w:color="auto"/>
              <w:right w:val="single" w:sz="12" w:space="0" w:color="auto"/>
            </w:tcBorders>
          </w:tcPr>
          <w:p w14:paraId="73FBB3AD" w14:textId="26D16FCD" w:rsidR="00CA0394" w:rsidRPr="00CA0394" w:rsidRDefault="00CA0394" w:rsidP="00CA0394">
            <w:pPr>
              <w:jc w:val="center"/>
              <w:rPr>
                <w:rFonts w:cstheme="minorHAnsi"/>
                <w:sz w:val="22"/>
                <w:szCs w:val="22"/>
              </w:rPr>
            </w:pPr>
            <w:r w:rsidRPr="00CA0394">
              <w:rPr>
                <w:rFonts w:cstheme="minorHAnsi"/>
                <w:sz w:val="22"/>
                <w:szCs w:val="22"/>
              </w:rPr>
              <w:t>*</w:t>
            </w:r>
          </w:p>
        </w:tc>
      </w:tr>
    </w:tbl>
    <w:p w14:paraId="4E53560B" w14:textId="199C2648" w:rsidR="00ED395D" w:rsidRDefault="009725D0" w:rsidP="00E070CA">
      <w:pPr>
        <w:spacing w:after="160" w:line="259" w:lineRule="auto"/>
        <w:outlineLvl w:val="1"/>
        <w:rPr>
          <w:rFonts w:eastAsia="Times New Roman" w:cstheme="minorHAnsi"/>
          <w:b/>
          <w:bCs/>
          <w:sz w:val="22"/>
          <w:szCs w:val="22"/>
        </w:rPr>
      </w:pPr>
      <w:r w:rsidRPr="00CA0394">
        <w:rPr>
          <w:rFonts w:eastAsia="ヒラギノ角ゴ Pro W3" w:cstheme="minorHAnsi"/>
          <w:sz w:val="22"/>
          <w:szCs w:val="22"/>
        </w:rPr>
        <w:br w:type="page"/>
      </w:r>
      <w:r w:rsidR="00ED395D" w:rsidRPr="00CA0394">
        <w:rPr>
          <w:rFonts w:eastAsia="Times New Roman" w:cstheme="minorHAnsi"/>
          <w:b/>
          <w:bCs/>
          <w:sz w:val="22"/>
          <w:szCs w:val="22"/>
        </w:rPr>
        <w:lastRenderedPageBreak/>
        <w:t xml:space="preserve">Supplementary </w:t>
      </w:r>
      <w:r w:rsidR="00ED395D">
        <w:rPr>
          <w:rFonts w:eastAsia="Times New Roman" w:cstheme="minorHAnsi"/>
          <w:b/>
          <w:sz w:val="22"/>
          <w:szCs w:val="22"/>
        </w:rPr>
        <w:t>Table 4</w:t>
      </w:r>
      <w:r w:rsidR="00ED395D" w:rsidRPr="00CA0394">
        <w:rPr>
          <w:rFonts w:eastAsia="Times New Roman" w:cstheme="minorHAnsi"/>
          <w:b/>
          <w:sz w:val="22"/>
          <w:szCs w:val="22"/>
        </w:rPr>
        <w:t>.</w:t>
      </w:r>
      <w:r w:rsidR="00ED395D">
        <w:rPr>
          <w:rFonts w:eastAsia="Times New Roman" w:cstheme="minorHAnsi"/>
          <w:b/>
          <w:sz w:val="22"/>
          <w:szCs w:val="22"/>
        </w:rPr>
        <w:t xml:space="preserve"> </w:t>
      </w:r>
      <w:r w:rsidR="00ED395D">
        <w:rPr>
          <w:rFonts w:eastAsia="Times New Roman" w:cstheme="minorHAnsi"/>
          <w:b/>
          <w:bCs/>
          <w:sz w:val="22"/>
          <w:szCs w:val="22"/>
        </w:rPr>
        <w:t>Optimized hyperparameters for Severity Probability Model (all training data)</w:t>
      </w:r>
      <w:r w:rsidR="00ED395D" w:rsidRPr="00CA0394">
        <w:rPr>
          <w:rFonts w:eastAsia="Times New Roman" w:cstheme="minorHAnsi"/>
          <w:b/>
          <w:bCs/>
          <w:sz w:val="22"/>
          <w:szCs w:val="22"/>
        </w:rPr>
        <w:t xml:space="preserve">. </w:t>
      </w:r>
    </w:p>
    <w:p w14:paraId="6E18CFAA" w14:textId="77777777" w:rsidR="00ED395D" w:rsidRDefault="00ED395D" w:rsidP="00ED395D">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40"/>
        <w:gridCol w:w="1289"/>
        <w:gridCol w:w="1710"/>
        <w:gridCol w:w="2291"/>
      </w:tblGrid>
      <w:tr w:rsidR="00ED395D" w14:paraId="22330FDB" w14:textId="77777777" w:rsidTr="00373919">
        <w:trPr>
          <w:trHeight w:val="720"/>
        </w:trPr>
        <w:tc>
          <w:tcPr>
            <w:tcW w:w="0" w:type="auto"/>
            <w:tcBorders>
              <w:top w:val="single" w:sz="12" w:space="0" w:color="000000"/>
              <w:left w:val="single" w:sz="12" w:space="0" w:color="000000"/>
              <w:bottom w:val="single" w:sz="12" w:space="0" w:color="000000"/>
              <w:right w:val="single" w:sz="12" w:space="0" w:color="000000"/>
            </w:tcBorders>
            <w:shd w:val="clear" w:color="auto" w:fill="E7E6E6"/>
            <w:hideMark/>
          </w:tcPr>
          <w:p w14:paraId="48E3ADA2" w14:textId="77777777" w:rsidR="00ED395D" w:rsidRDefault="00ED395D" w:rsidP="00373919">
            <w:pPr>
              <w:pStyle w:val="NormalWeb"/>
              <w:spacing w:before="200" w:beforeAutospacing="0" w:after="200" w:afterAutospacing="0"/>
              <w:ind w:left="140" w:right="140"/>
              <w:jc w:val="center"/>
            </w:pPr>
            <w:r>
              <w:rPr>
                <w:rFonts w:ascii="Arial" w:hAnsi="Arial" w:cs="Arial"/>
                <w:b/>
                <w:bCs/>
                <w:color w:val="000000"/>
                <w:sz w:val="22"/>
                <w:szCs w:val="22"/>
              </w:rPr>
              <w:t>Task</w:t>
            </w:r>
          </w:p>
        </w:tc>
        <w:tc>
          <w:tcPr>
            <w:tcW w:w="0" w:type="auto"/>
            <w:tcBorders>
              <w:top w:val="single" w:sz="12" w:space="0" w:color="000000"/>
              <w:left w:val="single" w:sz="12" w:space="0" w:color="000000"/>
              <w:bottom w:val="single" w:sz="12" w:space="0" w:color="000000"/>
              <w:right w:val="single" w:sz="12" w:space="0" w:color="000000"/>
            </w:tcBorders>
            <w:shd w:val="clear" w:color="auto" w:fill="E7E6E6"/>
            <w:hideMark/>
          </w:tcPr>
          <w:p w14:paraId="618909E0" w14:textId="77777777" w:rsidR="00ED395D" w:rsidRDefault="00ED395D" w:rsidP="00373919">
            <w:pPr>
              <w:pStyle w:val="NormalWeb"/>
              <w:spacing w:before="200" w:beforeAutospacing="0" w:after="200" w:afterAutospacing="0"/>
              <w:ind w:left="140" w:right="140"/>
              <w:jc w:val="center"/>
            </w:pPr>
            <w:r>
              <w:rPr>
                <w:rFonts w:ascii="Arial" w:hAnsi="Arial" w:cs="Arial"/>
                <w:b/>
                <w:bCs/>
                <w:color w:val="000000"/>
                <w:sz w:val="22"/>
                <w:szCs w:val="22"/>
              </w:rPr>
              <w:t>Max Depth</w:t>
            </w:r>
          </w:p>
        </w:tc>
        <w:tc>
          <w:tcPr>
            <w:tcW w:w="0" w:type="auto"/>
            <w:tcBorders>
              <w:top w:val="single" w:sz="12" w:space="0" w:color="000000"/>
              <w:left w:val="single" w:sz="12" w:space="0" w:color="000000"/>
              <w:bottom w:val="single" w:sz="12" w:space="0" w:color="000000"/>
              <w:right w:val="single" w:sz="12" w:space="0" w:color="000000"/>
            </w:tcBorders>
            <w:shd w:val="clear" w:color="auto" w:fill="E7E6E6"/>
            <w:hideMark/>
          </w:tcPr>
          <w:p w14:paraId="614CB109" w14:textId="77777777" w:rsidR="00ED395D" w:rsidRDefault="00ED395D" w:rsidP="00373919">
            <w:pPr>
              <w:pStyle w:val="NormalWeb"/>
              <w:spacing w:before="200" w:beforeAutospacing="0" w:after="200" w:afterAutospacing="0"/>
              <w:ind w:left="140" w:right="140"/>
              <w:jc w:val="center"/>
            </w:pPr>
            <w:r>
              <w:rPr>
                <w:rFonts w:ascii="Arial" w:hAnsi="Arial" w:cs="Arial"/>
                <w:b/>
                <w:bCs/>
                <w:color w:val="000000"/>
                <w:sz w:val="22"/>
                <w:szCs w:val="22"/>
              </w:rPr>
              <w:t>Max Leaf Nodes</w:t>
            </w:r>
          </w:p>
        </w:tc>
        <w:tc>
          <w:tcPr>
            <w:tcW w:w="0" w:type="auto"/>
            <w:tcBorders>
              <w:top w:val="single" w:sz="12" w:space="0" w:color="000000"/>
              <w:left w:val="single" w:sz="12" w:space="0" w:color="000000"/>
              <w:bottom w:val="single" w:sz="12" w:space="0" w:color="000000"/>
              <w:right w:val="single" w:sz="12" w:space="0" w:color="000000"/>
            </w:tcBorders>
            <w:shd w:val="clear" w:color="auto" w:fill="E7E6E6"/>
            <w:hideMark/>
          </w:tcPr>
          <w:p w14:paraId="56309E3B" w14:textId="77777777" w:rsidR="00ED395D" w:rsidRDefault="00ED395D" w:rsidP="00373919">
            <w:pPr>
              <w:pStyle w:val="NormalWeb"/>
              <w:spacing w:before="200" w:beforeAutospacing="0" w:after="200" w:afterAutospacing="0"/>
              <w:ind w:left="140" w:right="140"/>
              <w:jc w:val="center"/>
            </w:pPr>
            <w:r>
              <w:rPr>
                <w:rFonts w:ascii="Arial" w:hAnsi="Arial" w:cs="Arial"/>
                <w:b/>
                <w:bCs/>
                <w:color w:val="000000"/>
                <w:sz w:val="22"/>
                <w:szCs w:val="22"/>
              </w:rPr>
              <w:t>Number of Estimators</w:t>
            </w:r>
          </w:p>
        </w:tc>
      </w:tr>
      <w:tr w:rsidR="00ED395D" w14:paraId="23CAE8F2" w14:textId="77777777" w:rsidTr="00373919">
        <w:trPr>
          <w:trHeight w:val="315"/>
        </w:trPr>
        <w:tc>
          <w:tcPr>
            <w:tcW w:w="0" w:type="auto"/>
            <w:tcBorders>
              <w:top w:val="single" w:sz="12" w:space="0" w:color="000000"/>
              <w:left w:val="single" w:sz="12" w:space="0" w:color="000000"/>
              <w:bottom w:val="single" w:sz="8" w:space="0" w:color="000000"/>
              <w:right w:val="single" w:sz="12" w:space="0" w:color="000000"/>
            </w:tcBorders>
            <w:hideMark/>
          </w:tcPr>
          <w:p w14:paraId="1BF416E8"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Saliva: </w:t>
            </w:r>
            <w:r>
              <w:rPr>
                <w:rFonts w:ascii="Arial" w:hAnsi="Arial" w:cs="Arial"/>
                <w:i/>
                <w:iCs/>
                <w:color w:val="000000"/>
                <w:sz w:val="22"/>
                <w:szCs w:val="22"/>
              </w:rPr>
              <w:t>Natural dry swallow + effortful dry swallow</w:t>
            </w:r>
          </w:p>
        </w:tc>
        <w:tc>
          <w:tcPr>
            <w:tcW w:w="0" w:type="auto"/>
            <w:tcBorders>
              <w:top w:val="single" w:sz="12" w:space="0" w:color="000000"/>
              <w:left w:val="single" w:sz="12" w:space="0" w:color="000000"/>
              <w:bottom w:val="single" w:sz="8" w:space="0" w:color="000000"/>
              <w:right w:val="single" w:sz="12" w:space="0" w:color="000000"/>
            </w:tcBorders>
            <w:hideMark/>
          </w:tcPr>
          <w:p w14:paraId="7E1F8DA8"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w:t>
            </w:r>
          </w:p>
        </w:tc>
        <w:tc>
          <w:tcPr>
            <w:tcW w:w="0" w:type="auto"/>
            <w:tcBorders>
              <w:top w:val="single" w:sz="12" w:space="0" w:color="000000"/>
              <w:left w:val="single" w:sz="12" w:space="0" w:color="000000"/>
              <w:bottom w:val="single" w:sz="8" w:space="0" w:color="000000"/>
              <w:right w:val="single" w:sz="12" w:space="0" w:color="000000"/>
            </w:tcBorders>
            <w:hideMark/>
          </w:tcPr>
          <w:p w14:paraId="1B8A5BE5"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25</w:t>
            </w:r>
          </w:p>
        </w:tc>
        <w:tc>
          <w:tcPr>
            <w:tcW w:w="0" w:type="auto"/>
            <w:tcBorders>
              <w:top w:val="single" w:sz="12" w:space="0" w:color="000000"/>
              <w:left w:val="single" w:sz="12" w:space="0" w:color="000000"/>
              <w:bottom w:val="single" w:sz="8" w:space="0" w:color="000000"/>
              <w:right w:val="single" w:sz="12" w:space="0" w:color="000000"/>
            </w:tcBorders>
            <w:hideMark/>
          </w:tcPr>
          <w:p w14:paraId="25F42F64"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100</w:t>
            </w:r>
          </w:p>
        </w:tc>
      </w:tr>
      <w:tr w:rsidR="00ED395D" w14:paraId="10789D19" w14:textId="77777777" w:rsidTr="00373919">
        <w:trPr>
          <w:trHeight w:val="315"/>
        </w:trPr>
        <w:tc>
          <w:tcPr>
            <w:tcW w:w="0" w:type="auto"/>
            <w:tcBorders>
              <w:top w:val="single" w:sz="8" w:space="0" w:color="000000"/>
              <w:left w:val="single" w:sz="12" w:space="0" w:color="000000"/>
              <w:bottom w:val="single" w:sz="8" w:space="0" w:color="000000"/>
              <w:right w:val="single" w:sz="12" w:space="0" w:color="000000"/>
            </w:tcBorders>
            <w:hideMark/>
          </w:tcPr>
          <w:p w14:paraId="3A5748AE"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Liquid: </w:t>
            </w:r>
            <w:r>
              <w:rPr>
                <w:rFonts w:ascii="Arial" w:hAnsi="Arial" w:cs="Arial"/>
                <w:i/>
                <w:iCs/>
                <w:color w:val="000000"/>
                <w:sz w:val="22"/>
                <w:szCs w:val="22"/>
              </w:rPr>
              <w:t>2.5 mL + 5 mL</w:t>
            </w:r>
          </w:p>
        </w:tc>
        <w:tc>
          <w:tcPr>
            <w:tcW w:w="0" w:type="auto"/>
            <w:tcBorders>
              <w:top w:val="single" w:sz="8" w:space="0" w:color="000000"/>
              <w:left w:val="single" w:sz="12" w:space="0" w:color="000000"/>
              <w:bottom w:val="single" w:sz="8" w:space="0" w:color="000000"/>
              <w:right w:val="single" w:sz="12" w:space="0" w:color="000000"/>
            </w:tcBorders>
            <w:hideMark/>
          </w:tcPr>
          <w:p w14:paraId="418C20F7"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50</w:t>
            </w:r>
          </w:p>
        </w:tc>
        <w:tc>
          <w:tcPr>
            <w:tcW w:w="0" w:type="auto"/>
            <w:tcBorders>
              <w:top w:val="single" w:sz="8" w:space="0" w:color="000000"/>
              <w:left w:val="single" w:sz="12" w:space="0" w:color="000000"/>
              <w:bottom w:val="single" w:sz="8" w:space="0" w:color="000000"/>
              <w:right w:val="single" w:sz="12" w:space="0" w:color="000000"/>
            </w:tcBorders>
            <w:hideMark/>
          </w:tcPr>
          <w:p w14:paraId="37D970D5"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25</w:t>
            </w:r>
          </w:p>
        </w:tc>
        <w:tc>
          <w:tcPr>
            <w:tcW w:w="0" w:type="auto"/>
            <w:tcBorders>
              <w:top w:val="single" w:sz="8" w:space="0" w:color="000000"/>
              <w:left w:val="single" w:sz="12" w:space="0" w:color="000000"/>
              <w:bottom w:val="single" w:sz="8" w:space="0" w:color="000000"/>
              <w:right w:val="single" w:sz="12" w:space="0" w:color="000000"/>
            </w:tcBorders>
            <w:hideMark/>
          </w:tcPr>
          <w:p w14:paraId="2BCA71B3"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25</w:t>
            </w:r>
          </w:p>
        </w:tc>
      </w:tr>
      <w:tr w:rsidR="00ED395D" w14:paraId="4D67FD37" w14:textId="77777777" w:rsidTr="00373919">
        <w:trPr>
          <w:trHeight w:val="315"/>
        </w:trPr>
        <w:tc>
          <w:tcPr>
            <w:tcW w:w="0" w:type="auto"/>
            <w:tcBorders>
              <w:top w:val="single" w:sz="8" w:space="0" w:color="000000"/>
              <w:left w:val="single" w:sz="12" w:space="0" w:color="000000"/>
              <w:bottom w:val="single" w:sz="8" w:space="0" w:color="000000"/>
              <w:right w:val="single" w:sz="12" w:space="0" w:color="000000"/>
            </w:tcBorders>
            <w:hideMark/>
          </w:tcPr>
          <w:p w14:paraId="7E2F7CFA"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Liquid: </w:t>
            </w:r>
            <w:r>
              <w:rPr>
                <w:rFonts w:ascii="Arial" w:hAnsi="Arial" w:cs="Arial"/>
                <w:i/>
                <w:iCs/>
                <w:color w:val="000000"/>
                <w:sz w:val="22"/>
                <w:szCs w:val="22"/>
              </w:rPr>
              <w:t>Natural sip</w:t>
            </w:r>
          </w:p>
        </w:tc>
        <w:tc>
          <w:tcPr>
            <w:tcW w:w="0" w:type="auto"/>
            <w:tcBorders>
              <w:top w:val="single" w:sz="8" w:space="0" w:color="000000"/>
              <w:left w:val="single" w:sz="12" w:space="0" w:color="000000"/>
              <w:bottom w:val="single" w:sz="8" w:space="0" w:color="000000"/>
              <w:right w:val="single" w:sz="12" w:space="0" w:color="000000"/>
            </w:tcBorders>
            <w:hideMark/>
          </w:tcPr>
          <w:p w14:paraId="7EDA8C29"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w:t>
            </w:r>
          </w:p>
        </w:tc>
        <w:tc>
          <w:tcPr>
            <w:tcW w:w="0" w:type="auto"/>
            <w:tcBorders>
              <w:top w:val="single" w:sz="8" w:space="0" w:color="000000"/>
              <w:left w:val="single" w:sz="12" w:space="0" w:color="000000"/>
              <w:bottom w:val="single" w:sz="8" w:space="0" w:color="000000"/>
              <w:right w:val="single" w:sz="12" w:space="0" w:color="000000"/>
            </w:tcBorders>
            <w:hideMark/>
          </w:tcPr>
          <w:p w14:paraId="213FFF27"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75</w:t>
            </w:r>
          </w:p>
        </w:tc>
        <w:tc>
          <w:tcPr>
            <w:tcW w:w="0" w:type="auto"/>
            <w:tcBorders>
              <w:top w:val="single" w:sz="8" w:space="0" w:color="000000"/>
              <w:left w:val="single" w:sz="12" w:space="0" w:color="000000"/>
              <w:bottom w:val="single" w:sz="8" w:space="0" w:color="000000"/>
              <w:right w:val="single" w:sz="12" w:space="0" w:color="000000"/>
            </w:tcBorders>
            <w:hideMark/>
          </w:tcPr>
          <w:p w14:paraId="2F2C3131"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50</w:t>
            </w:r>
          </w:p>
        </w:tc>
      </w:tr>
      <w:tr w:rsidR="00ED395D" w14:paraId="3D842B9C" w14:textId="77777777" w:rsidTr="00373919">
        <w:trPr>
          <w:trHeight w:val="315"/>
        </w:trPr>
        <w:tc>
          <w:tcPr>
            <w:tcW w:w="0" w:type="auto"/>
            <w:tcBorders>
              <w:top w:val="single" w:sz="8" w:space="0" w:color="000000"/>
              <w:left w:val="single" w:sz="12" w:space="0" w:color="000000"/>
              <w:bottom w:val="single" w:sz="8" w:space="0" w:color="000000"/>
              <w:right w:val="single" w:sz="12" w:space="0" w:color="000000"/>
            </w:tcBorders>
            <w:hideMark/>
          </w:tcPr>
          <w:p w14:paraId="296A0DB5"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Liquid: </w:t>
            </w:r>
            <w:r>
              <w:rPr>
                <w:rFonts w:ascii="Arial" w:hAnsi="Arial" w:cs="Arial"/>
                <w:i/>
                <w:iCs/>
                <w:color w:val="000000"/>
                <w:sz w:val="22"/>
                <w:szCs w:val="22"/>
              </w:rPr>
              <w:t>Straw sip</w:t>
            </w:r>
          </w:p>
        </w:tc>
        <w:tc>
          <w:tcPr>
            <w:tcW w:w="0" w:type="auto"/>
            <w:tcBorders>
              <w:top w:val="single" w:sz="8" w:space="0" w:color="000000"/>
              <w:left w:val="single" w:sz="12" w:space="0" w:color="000000"/>
              <w:bottom w:val="single" w:sz="8" w:space="0" w:color="000000"/>
              <w:right w:val="single" w:sz="12" w:space="0" w:color="000000"/>
            </w:tcBorders>
            <w:hideMark/>
          </w:tcPr>
          <w:p w14:paraId="649CB3B7"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5</w:t>
            </w:r>
          </w:p>
        </w:tc>
        <w:tc>
          <w:tcPr>
            <w:tcW w:w="0" w:type="auto"/>
            <w:tcBorders>
              <w:top w:val="single" w:sz="8" w:space="0" w:color="000000"/>
              <w:left w:val="single" w:sz="12" w:space="0" w:color="000000"/>
              <w:bottom w:val="single" w:sz="8" w:space="0" w:color="000000"/>
              <w:right w:val="single" w:sz="12" w:space="0" w:color="000000"/>
            </w:tcBorders>
            <w:hideMark/>
          </w:tcPr>
          <w:p w14:paraId="6AA760F3"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w:t>
            </w:r>
          </w:p>
        </w:tc>
        <w:tc>
          <w:tcPr>
            <w:tcW w:w="0" w:type="auto"/>
            <w:tcBorders>
              <w:top w:val="single" w:sz="8" w:space="0" w:color="000000"/>
              <w:left w:val="single" w:sz="12" w:space="0" w:color="000000"/>
              <w:bottom w:val="single" w:sz="8" w:space="0" w:color="000000"/>
              <w:right w:val="single" w:sz="12" w:space="0" w:color="000000"/>
            </w:tcBorders>
            <w:hideMark/>
          </w:tcPr>
          <w:p w14:paraId="323F3294"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25</w:t>
            </w:r>
          </w:p>
        </w:tc>
      </w:tr>
      <w:tr w:rsidR="00ED395D" w14:paraId="5790CD0F" w14:textId="77777777" w:rsidTr="00373919">
        <w:trPr>
          <w:trHeight w:val="345"/>
        </w:trPr>
        <w:tc>
          <w:tcPr>
            <w:tcW w:w="0" w:type="auto"/>
            <w:tcBorders>
              <w:top w:val="single" w:sz="8" w:space="0" w:color="000000"/>
              <w:left w:val="single" w:sz="12" w:space="0" w:color="000000"/>
              <w:bottom w:val="single" w:sz="8" w:space="0" w:color="000000"/>
              <w:right w:val="single" w:sz="12" w:space="0" w:color="000000"/>
            </w:tcBorders>
            <w:hideMark/>
          </w:tcPr>
          <w:p w14:paraId="1289E354"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Puree: </w:t>
            </w:r>
            <w:r>
              <w:rPr>
                <w:rFonts w:ascii="Arial" w:hAnsi="Arial" w:cs="Arial"/>
                <w:i/>
                <w:iCs/>
                <w:color w:val="000000"/>
                <w:sz w:val="22"/>
                <w:szCs w:val="22"/>
              </w:rPr>
              <w:t>Spoonful + spoonful with effortful swallow</w:t>
            </w:r>
          </w:p>
        </w:tc>
        <w:tc>
          <w:tcPr>
            <w:tcW w:w="0" w:type="auto"/>
            <w:tcBorders>
              <w:top w:val="single" w:sz="8" w:space="0" w:color="000000"/>
              <w:left w:val="single" w:sz="12" w:space="0" w:color="000000"/>
              <w:bottom w:val="single" w:sz="8" w:space="0" w:color="000000"/>
              <w:right w:val="single" w:sz="12" w:space="0" w:color="000000"/>
            </w:tcBorders>
            <w:hideMark/>
          </w:tcPr>
          <w:p w14:paraId="4EE2D752"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25</w:t>
            </w:r>
          </w:p>
        </w:tc>
        <w:tc>
          <w:tcPr>
            <w:tcW w:w="0" w:type="auto"/>
            <w:tcBorders>
              <w:top w:val="single" w:sz="8" w:space="0" w:color="000000"/>
              <w:left w:val="single" w:sz="12" w:space="0" w:color="000000"/>
              <w:bottom w:val="single" w:sz="8" w:space="0" w:color="000000"/>
              <w:right w:val="single" w:sz="12" w:space="0" w:color="000000"/>
            </w:tcBorders>
            <w:hideMark/>
          </w:tcPr>
          <w:p w14:paraId="6F6B3B67"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75</w:t>
            </w:r>
          </w:p>
        </w:tc>
        <w:tc>
          <w:tcPr>
            <w:tcW w:w="0" w:type="auto"/>
            <w:tcBorders>
              <w:top w:val="single" w:sz="8" w:space="0" w:color="000000"/>
              <w:left w:val="single" w:sz="12" w:space="0" w:color="000000"/>
              <w:bottom w:val="single" w:sz="8" w:space="0" w:color="000000"/>
              <w:right w:val="single" w:sz="12" w:space="0" w:color="000000"/>
            </w:tcBorders>
            <w:hideMark/>
          </w:tcPr>
          <w:p w14:paraId="7FD2DDB8"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50</w:t>
            </w:r>
          </w:p>
        </w:tc>
      </w:tr>
      <w:tr w:rsidR="00ED395D" w14:paraId="62F50E32" w14:textId="77777777" w:rsidTr="00373919">
        <w:trPr>
          <w:trHeight w:val="315"/>
        </w:trPr>
        <w:tc>
          <w:tcPr>
            <w:tcW w:w="0" w:type="auto"/>
            <w:tcBorders>
              <w:top w:val="single" w:sz="8" w:space="0" w:color="000000"/>
              <w:left w:val="single" w:sz="12" w:space="0" w:color="000000"/>
              <w:bottom w:val="single" w:sz="8" w:space="0" w:color="000000"/>
              <w:right w:val="single" w:sz="12" w:space="0" w:color="000000"/>
            </w:tcBorders>
            <w:hideMark/>
          </w:tcPr>
          <w:p w14:paraId="6917A3F8"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Soft solid: </w:t>
            </w:r>
            <w:r>
              <w:rPr>
                <w:rFonts w:ascii="Arial" w:hAnsi="Arial" w:cs="Arial"/>
                <w:i/>
                <w:iCs/>
                <w:color w:val="000000"/>
                <w:sz w:val="22"/>
                <w:szCs w:val="22"/>
              </w:rPr>
              <w:t>Spoonful</w:t>
            </w:r>
          </w:p>
        </w:tc>
        <w:tc>
          <w:tcPr>
            <w:tcW w:w="0" w:type="auto"/>
            <w:tcBorders>
              <w:top w:val="single" w:sz="8" w:space="0" w:color="000000"/>
              <w:left w:val="single" w:sz="12" w:space="0" w:color="000000"/>
              <w:bottom w:val="single" w:sz="8" w:space="0" w:color="000000"/>
              <w:right w:val="single" w:sz="12" w:space="0" w:color="000000"/>
            </w:tcBorders>
            <w:hideMark/>
          </w:tcPr>
          <w:p w14:paraId="4AFA5409"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25</w:t>
            </w:r>
          </w:p>
        </w:tc>
        <w:tc>
          <w:tcPr>
            <w:tcW w:w="0" w:type="auto"/>
            <w:tcBorders>
              <w:top w:val="single" w:sz="8" w:space="0" w:color="000000"/>
              <w:left w:val="single" w:sz="12" w:space="0" w:color="000000"/>
              <w:bottom w:val="single" w:sz="8" w:space="0" w:color="000000"/>
              <w:right w:val="single" w:sz="12" w:space="0" w:color="000000"/>
            </w:tcBorders>
            <w:hideMark/>
          </w:tcPr>
          <w:p w14:paraId="0076A92D"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75</w:t>
            </w:r>
          </w:p>
        </w:tc>
        <w:tc>
          <w:tcPr>
            <w:tcW w:w="0" w:type="auto"/>
            <w:tcBorders>
              <w:top w:val="single" w:sz="8" w:space="0" w:color="000000"/>
              <w:left w:val="single" w:sz="12" w:space="0" w:color="000000"/>
              <w:bottom w:val="single" w:sz="8" w:space="0" w:color="000000"/>
              <w:right w:val="single" w:sz="12" w:space="0" w:color="000000"/>
            </w:tcBorders>
            <w:hideMark/>
          </w:tcPr>
          <w:p w14:paraId="6344D6E6"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100</w:t>
            </w:r>
          </w:p>
        </w:tc>
      </w:tr>
      <w:tr w:rsidR="00ED395D" w14:paraId="5978BE3E" w14:textId="77777777" w:rsidTr="00373919">
        <w:trPr>
          <w:trHeight w:val="330"/>
        </w:trPr>
        <w:tc>
          <w:tcPr>
            <w:tcW w:w="0" w:type="auto"/>
            <w:tcBorders>
              <w:top w:val="single" w:sz="8" w:space="0" w:color="000000"/>
              <w:left w:val="single" w:sz="12" w:space="0" w:color="000000"/>
              <w:bottom w:val="single" w:sz="12" w:space="0" w:color="000000"/>
              <w:right w:val="single" w:sz="12" w:space="0" w:color="000000"/>
            </w:tcBorders>
            <w:hideMark/>
          </w:tcPr>
          <w:p w14:paraId="6E2E74E5" w14:textId="77777777" w:rsidR="00ED395D" w:rsidRDefault="00ED395D" w:rsidP="00373919">
            <w:pPr>
              <w:pStyle w:val="NormalWeb"/>
              <w:spacing w:before="0" w:beforeAutospacing="0" w:after="0" w:afterAutospacing="0"/>
              <w:ind w:left="140" w:right="140"/>
            </w:pPr>
            <w:r>
              <w:rPr>
                <w:rFonts w:ascii="Arial" w:hAnsi="Arial" w:cs="Arial"/>
                <w:color w:val="000000"/>
                <w:sz w:val="22"/>
                <w:szCs w:val="22"/>
              </w:rPr>
              <w:t xml:space="preserve">Hard solid: </w:t>
            </w:r>
            <w:r>
              <w:rPr>
                <w:rFonts w:ascii="Arial" w:hAnsi="Arial" w:cs="Arial"/>
                <w:i/>
                <w:iCs/>
                <w:color w:val="000000"/>
                <w:sz w:val="22"/>
                <w:szCs w:val="22"/>
              </w:rPr>
              <w:t>Natural bite</w:t>
            </w:r>
          </w:p>
        </w:tc>
        <w:tc>
          <w:tcPr>
            <w:tcW w:w="0" w:type="auto"/>
            <w:tcBorders>
              <w:top w:val="single" w:sz="8" w:space="0" w:color="000000"/>
              <w:left w:val="single" w:sz="12" w:space="0" w:color="000000"/>
              <w:bottom w:val="single" w:sz="12" w:space="0" w:color="000000"/>
              <w:right w:val="single" w:sz="12" w:space="0" w:color="000000"/>
            </w:tcBorders>
            <w:hideMark/>
          </w:tcPr>
          <w:p w14:paraId="07476224"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w:t>
            </w:r>
          </w:p>
        </w:tc>
        <w:tc>
          <w:tcPr>
            <w:tcW w:w="0" w:type="auto"/>
            <w:tcBorders>
              <w:top w:val="single" w:sz="8" w:space="0" w:color="000000"/>
              <w:left w:val="single" w:sz="12" w:space="0" w:color="000000"/>
              <w:bottom w:val="single" w:sz="12" w:space="0" w:color="000000"/>
              <w:right w:val="single" w:sz="12" w:space="0" w:color="000000"/>
            </w:tcBorders>
            <w:hideMark/>
          </w:tcPr>
          <w:p w14:paraId="588CB6C0"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100</w:t>
            </w:r>
          </w:p>
        </w:tc>
        <w:tc>
          <w:tcPr>
            <w:tcW w:w="0" w:type="auto"/>
            <w:tcBorders>
              <w:top w:val="single" w:sz="8" w:space="0" w:color="000000"/>
              <w:left w:val="single" w:sz="12" w:space="0" w:color="000000"/>
              <w:bottom w:val="single" w:sz="12" w:space="0" w:color="000000"/>
              <w:right w:val="single" w:sz="12" w:space="0" w:color="000000"/>
            </w:tcBorders>
            <w:hideMark/>
          </w:tcPr>
          <w:p w14:paraId="294BBC04" w14:textId="77777777" w:rsidR="00ED395D" w:rsidRDefault="00ED395D" w:rsidP="00373919">
            <w:pPr>
              <w:pStyle w:val="NormalWeb"/>
              <w:spacing w:before="0" w:beforeAutospacing="0" w:after="0" w:afterAutospacing="0"/>
              <w:ind w:left="140" w:right="140"/>
              <w:jc w:val="center"/>
            </w:pPr>
            <w:r>
              <w:rPr>
                <w:rFonts w:ascii="Arial" w:hAnsi="Arial" w:cs="Arial"/>
                <w:color w:val="000000"/>
                <w:sz w:val="22"/>
                <w:szCs w:val="22"/>
              </w:rPr>
              <w:t>10</w:t>
            </w:r>
          </w:p>
        </w:tc>
      </w:tr>
    </w:tbl>
    <w:p w14:paraId="6113292C" w14:textId="77777777" w:rsidR="00ED395D" w:rsidRDefault="00ED395D">
      <w:pPr>
        <w:spacing w:after="160" w:line="259" w:lineRule="auto"/>
        <w:rPr>
          <w:rFonts w:eastAsia="ヒラギノ角ゴ Pro W3" w:cstheme="minorHAnsi"/>
          <w:sz w:val="22"/>
          <w:szCs w:val="22"/>
        </w:rPr>
      </w:pPr>
      <w:r>
        <w:rPr>
          <w:rFonts w:eastAsia="ヒラギノ角ゴ Pro W3" w:cstheme="minorHAnsi"/>
          <w:sz w:val="22"/>
          <w:szCs w:val="22"/>
        </w:rPr>
        <w:br w:type="page"/>
      </w:r>
    </w:p>
    <w:p w14:paraId="33ECFE0A" w14:textId="3828374F" w:rsidR="006A3407" w:rsidRPr="00CA0394" w:rsidRDefault="006A3407" w:rsidP="00D63547">
      <w:pPr>
        <w:spacing w:after="160" w:line="259" w:lineRule="auto"/>
        <w:outlineLvl w:val="1"/>
        <w:rPr>
          <w:rFonts w:eastAsia="Times New Roman" w:cstheme="minorHAnsi"/>
          <w:b/>
          <w:bCs/>
          <w:sz w:val="22"/>
          <w:szCs w:val="22"/>
        </w:rPr>
      </w:pPr>
      <w:r w:rsidRPr="00CA0394">
        <w:rPr>
          <w:rFonts w:eastAsia="Times New Roman" w:cstheme="minorHAnsi"/>
          <w:b/>
          <w:bCs/>
          <w:sz w:val="22"/>
          <w:szCs w:val="22"/>
        </w:rPr>
        <w:lastRenderedPageBreak/>
        <w:t xml:space="preserve">Supplementary </w:t>
      </w:r>
      <w:r w:rsidRPr="00CA0394">
        <w:rPr>
          <w:rFonts w:eastAsia="Times New Roman" w:cstheme="minorHAnsi"/>
          <w:b/>
          <w:sz w:val="22"/>
          <w:szCs w:val="22"/>
        </w:rPr>
        <w:t xml:space="preserve">Table </w:t>
      </w:r>
      <w:r w:rsidR="00ED395D">
        <w:rPr>
          <w:rFonts w:eastAsia="Times New Roman" w:cstheme="minorHAnsi"/>
          <w:b/>
          <w:sz w:val="22"/>
          <w:szCs w:val="22"/>
        </w:rPr>
        <w:t>5</w:t>
      </w:r>
      <w:r w:rsidRPr="00CA0394">
        <w:rPr>
          <w:rFonts w:eastAsia="Times New Roman" w:cstheme="minorHAnsi"/>
          <w:b/>
          <w:sz w:val="22"/>
          <w:szCs w:val="22"/>
        </w:rPr>
        <w:t>.</w:t>
      </w:r>
      <w:r w:rsidRPr="00CA0394">
        <w:rPr>
          <w:rFonts w:eastAsia="Times New Roman" w:cstheme="minorHAnsi"/>
          <w:b/>
          <w:bCs/>
          <w:sz w:val="22"/>
          <w:szCs w:val="22"/>
        </w:rPr>
        <w:t xml:space="preserve"> </w:t>
      </w:r>
      <w:r w:rsidR="00EE4CDC" w:rsidRPr="00CA0394">
        <w:rPr>
          <w:rFonts w:eastAsia="Times New Roman" w:cstheme="minorHAnsi"/>
          <w:b/>
          <w:bCs/>
          <w:sz w:val="22"/>
          <w:szCs w:val="22"/>
        </w:rPr>
        <w:t>Average f</w:t>
      </w:r>
      <w:r w:rsidRPr="00CA0394">
        <w:rPr>
          <w:rFonts w:eastAsia="Times New Roman" w:cstheme="minorHAnsi"/>
          <w:b/>
          <w:bCs/>
          <w:sz w:val="22"/>
          <w:szCs w:val="22"/>
        </w:rPr>
        <w:t xml:space="preserve">eature </w:t>
      </w:r>
      <w:r w:rsidR="00EE4CDC" w:rsidRPr="00CA0394">
        <w:rPr>
          <w:rFonts w:eastAsia="Times New Roman" w:cstheme="minorHAnsi"/>
          <w:b/>
          <w:bCs/>
          <w:sz w:val="22"/>
          <w:szCs w:val="22"/>
        </w:rPr>
        <w:t>importance</w:t>
      </w:r>
      <w:r w:rsidRPr="00CA0394">
        <w:rPr>
          <w:rFonts w:eastAsia="Times New Roman" w:cstheme="minorHAnsi"/>
          <w:b/>
          <w:bCs/>
          <w:sz w:val="22"/>
          <w:szCs w:val="22"/>
        </w:rPr>
        <w:t xml:space="preserve"> for the Severity Probability Model.</w:t>
      </w:r>
    </w:p>
    <w:tbl>
      <w:tblPr>
        <w:tblW w:w="5153" w:type="pct"/>
        <w:jc w:val="center"/>
        <w:tblLayout w:type="fixed"/>
        <w:tblCellMar>
          <w:top w:w="15" w:type="dxa"/>
          <w:left w:w="15" w:type="dxa"/>
          <w:bottom w:w="15" w:type="dxa"/>
          <w:right w:w="15" w:type="dxa"/>
        </w:tblCellMar>
        <w:tblLook w:val="04A0" w:firstRow="1" w:lastRow="0" w:firstColumn="1" w:lastColumn="0" w:noHBand="0" w:noVBand="1"/>
      </w:tblPr>
      <w:tblGrid>
        <w:gridCol w:w="1969"/>
        <w:gridCol w:w="806"/>
        <w:gridCol w:w="900"/>
        <w:gridCol w:w="900"/>
        <w:gridCol w:w="900"/>
        <w:gridCol w:w="986"/>
        <w:gridCol w:w="1085"/>
        <w:gridCol w:w="990"/>
        <w:gridCol w:w="1079"/>
      </w:tblGrid>
      <w:tr w:rsidR="00D63547" w:rsidRPr="00CA0394" w14:paraId="61C80762" w14:textId="44064FB6" w:rsidTr="000C6DFE">
        <w:trPr>
          <w:trHeight w:val="20"/>
          <w:jc w:val="center"/>
        </w:trPr>
        <w:tc>
          <w:tcPr>
            <w:tcW w:w="1024" w:type="pct"/>
            <w:vMerge w:val="restart"/>
            <w:tcBorders>
              <w:top w:val="single" w:sz="12" w:space="0" w:color="auto"/>
              <w:left w:val="single" w:sz="12" w:space="0" w:color="auto"/>
              <w:right w:val="single" w:sz="12" w:space="0" w:color="auto"/>
            </w:tcBorders>
            <w:shd w:val="clear" w:color="auto" w:fill="E7E6E6" w:themeFill="background2"/>
            <w:vAlign w:val="center"/>
          </w:tcPr>
          <w:p w14:paraId="1D4A7419" w14:textId="77777777"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Feature</w:t>
            </w:r>
          </w:p>
        </w:tc>
        <w:tc>
          <w:tcPr>
            <w:tcW w:w="3415" w:type="pct"/>
            <w:gridSpan w:val="7"/>
            <w:tcBorders>
              <w:top w:val="single" w:sz="12" w:space="0" w:color="auto"/>
              <w:left w:val="single" w:sz="12" w:space="0" w:color="auto"/>
              <w:bottom w:val="single" w:sz="12" w:space="0" w:color="auto"/>
              <w:right w:val="single" w:sz="4" w:space="0" w:color="auto"/>
            </w:tcBorders>
            <w:shd w:val="clear" w:color="auto" w:fill="E7E6E6" w:themeFill="background2"/>
            <w:tcMar>
              <w:top w:w="100" w:type="dxa"/>
              <w:left w:w="100" w:type="dxa"/>
              <w:bottom w:w="100" w:type="dxa"/>
              <w:right w:w="100" w:type="dxa"/>
            </w:tcMar>
            <w:vAlign w:val="center"/>
            <w:hideMark/>
          </w:tcPr>
          <w:p w14:paraId="2FED26F1" w14:textId="60945A11" w:rsidR="00D63547" w:rsidRPr="00CA0394" w:rsidRDefault="00D63547" w:rsidP="0047125C">
            <w:pPr>
              <w:contextualSpacing/>
              <w:jc w:val="center"/>
              <w:rPr>
                <w:rFonts w:eastAsia="Times New Roman" w:cstheme="minorHAnsi"/>
                <w:b/>
                <w:sz w:val="22"/>
                <w:szCs w:val="22"/>
              </w:rPr>
            </w:pPr>
            <w:r w:rsidRPr="00CA0394">
              <w:rPr>
                <w:rFonts w:eastAsia="Times New Roman" w:cstheme="minorHAnsi"/>
                <w:b/>
                <w:sz w:val="22"/>
                <w:szCs w:val="22"/>
              </w:rPr>
              <w:t>Model Type</w:t>
            </w:r>
          </w:p>
        </w:tc>
        <w:tc>
          <w:tcPr>
            <w:tcW w:w="561" w:type="pct"/>
            <w:vMerge w:val="restart"/>
            <w:tcBorders>
              <w:top w:val="single" w:sz="12" w:space="0" w:color="auto"/>
              <w:left w:val="single" w:sz="12" w:space="0" w:color="auto"/>
              <w:right w:val="single" w:sz="12" w:space="0" w:color="auto"/>
            </w:tcBorders>
            <w:shd w:val="clear" w:color="auto" w:fill="E7E6E6" w:themeFill="background2"/>
            <w:vAlign w:val="center"/>
          </w:tcPr>
          <w:p w14:paraId="5997A821" w14:textId="77777777"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 xml:space="preserve">Average </w:t>
            </w:r>
          </w:p>
          <w:p w14:paraId="67EF48C8" w14:textId="2246E2B7" w:rsidR="00D63547" w:rsidRPr="00CA0394" w:rsidRDefault="00EE4CDC" w:rsidP="0047125C">
            <w:pPr>
              <w:contextualSpacing/>
              <w:jc w:val="center"/>
              <w:rPr>
                <w:rFonts w:eastAsia="Times New Roman" w:cstheme="minorHAnsi"/>
                <w:b/>
                <w:bCs/>
                <w:sz w:val="22"/>
                <w:szCs w:val="22"/>
              </w:rPr>
            </w:pPr>
            <w:r w:rsidRPr="00CA0394">
              <w:rPr>
                <w:rFonts w:eastAsia="Times New Roman" w:cstheme="minorHAnsi"/>
                <w:b/>
                <w:bCs/>
                <w:sz w:val="22"/>
                <w:szCs w:val="22"/>
              </w:rPr>
              <w:t>(SD)</w:t>
            </w:r>
          </w:p>
        </w:tc>
      </w:tr>
      <w:tr w:rsidR="000C6DFE" w:rsidRPr="00CA0394" w14:paraId="1A71830B" w14:textId="77777777" w:rsidTr="000C6DFE">
        <w:trPr>
          <w:trHeight w:val="20"/>
          <w:jc w:val="center"/>
        </w:trPr>
        <w:tc>
          <w:tcPr>
            <w:tcW w:w="1024" w:type="pct"/>
            <w:vMerge/>
            <w:tcBorders>
              <w:left w:val="single" w:sz="12" w:space="0" w:color="auto"/>
              <w:bottom w:val="single" w:sz="12" w:space="0" w:color="auto"/>
              <w:right w:val="single" w:sz="12" w:space="0" w:color="auto"/>
            </w:tcBorders>
            <w:shd w:val="clear" w:color="auto" w:fill="E7E6E6" w:themeFill="background2"/>
            <w:vAlign w:val="center"/>
          </w:tcPr>
          <w:p w14:paraId="317E515D" w14:textId="77777777" w:rsidR="00D63547" w:rsidRPr="00CA0394" w:rsidRDefault="00D63547" w:rsidP="0047125C">
            <w:pPr>
              <w:contextualSpacing/>
              <w:jc w:val="center"/>
              <w:rPr>
                <w:rFonts w:eastAsia="Times New Roman" w:cstheme="minorHAnsi"/>
                <w:b/>
                <w:bCs/>
                <w:sz w:val="22"/>
                <w:szCs w:val="22"/>
              </w:rPr>
            </w:pPr>
          </w:p>
        </w:tc>
        <w:tc>
          <w:tcPr>
            <w:tcW w:w="419" w:type="pct"/>
            <w:tcBorders>
              <w:top w:val="single" w:sz="12" w:space="0" w:color="auto"/>
              <w:left w:val="single" w:sz="12" w:space="0" w:color="auto"/>
              <w:bottom w:val="single" w:sz="12" w:space="0" w:color="auto"/>
              <w:right w:val="single" w:sz="4" w:space="0" w:color="auto"/>
            </w:tcBorders>
            <w:shd w:val="clear" w:color="auto" w:fill="E7E6E6" w:themeFill="background2"/>
            <w:tcMar>
              <w:top w:w="100" w:type="dxa"/>
              <w:left w:w="100" w:type="dxa"/>
              <w:bottom w:w="100" w:type="dxa"/>
              <w:right w:w="100" w:type="dxa"/>
            </w:tcMar>
            <w:vAlign w:val="center"/>
          </w:tcPr>
          <w:p w14:paraId="5604217E" w14:textId="7EBAF149" w:rsidR="00EE4CDC"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Saliva</w:t>
            </w:r>
          </w:p>
        </w:tc>
        <w:tc>
          <w:tcPr>
            <w:tcW w:w="468" w:type="pct"/>
            <w:tcBorders>
              <w:left w:val="single" w:sz="4" w:space="0" w:color="auto"/>
              <w:bottom w:val="single" w:sz="12" w:space="0" w:color="auto"/>
              <w:right w:val="single" w:sz="4" w:space="0" w:color="auto"/>
            </w:tcBorders>
            <w:shd w:val="clear" w:color="auto" w:fill="E7E6E6" w:themeFill="background2"/>
            <w:vAlign w:val="center"/>
          </w:tcPr>
          <w:p w14:paraId="3D1BA23E" w14:textId="77777777" w:rsidR="0047125C"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Liquid</w:t>
            </w:r>
          </w:p>
          <w:p w14:paraId="7785CE43" w14:textId="34C34A7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w:t>
            </w:r>
            <w:r w:rsidR="00EE4CDC" w:rsidRPr="00CA0394">
              <w:rPr>
                <w:rFonts w:eastAsia="Times New Roman" w:cstheme="minorHAnsi"/>
                <w:sz w:val="22"/>
                <w:szCs w:val="22"/>
              </w:rPr>
              <w:t>t</w:t>
            </w:r>
            <w:r w:rsidRPr="00CA0394">
              <w:rPr>
                <w:rFonts w:eastAsia="Times New Roman" w:cstheme="minorHAnsi"/>
                <w:sz w:val="22"/>
                <w:szCs w:val="22"/>
              </w:rPr>
              <w:t>sp)</w:t>
            </w:r>
          </w:p>
        </w:tc>
        <w:tc>
          <w:tcPr>
            <w:tcW w:w="468" w:type="pct"/>
            <w:tcBorders>
              <w:left w:val="single" w:sz="4" w:space="0" w:color="auto"/>
              <w:right w:val="single" w:sz="4" w:space="0" w:color="auto"/>
            </w:tcBorders>
            <w:shd w:val="clear" w:color="auto" w:fill="E7E6E6" w:themeFill="background2"/>
            <w:vAlign w:val="center"/>
          </w:tcPr>
          <w:p w14:paraId="1929320C" w14:textId="7777777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Liquid</w:t>
            </w:r>
          </w:p>
          <w:p w14:paraId="0F3C4251" w14:textId="49C13D7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w:t>
            </w:r>
            <w:r w:rsidR="00EE4CDC" w:rsidRPr="00CA0394">
              <w:rPr>
                <w:rFonts w:eastAsia="Times New Roman" w:cstheme="minorHAnsi"/>
                <w:sz w:val="22"/>
                <w:szCs w:val="22"/>
              </w:rPr>
              <w:t>sip</w:t>
            </w:r>
            <w:r w:rsidRPr="00CA0394">
              <w:rPr>
                <w:rFonts w:eastAsia="Times New Roman" w:cstheme="minorHAnsi"/>
                <w:sz w:val="22"/>
                <w:szCs w:val="22"/>
              </w:rPr>
              <w:t>)</w:t>
            </w:r>
          </w:p>
        </w:tc>
        <w:tc>
          <w:tcPr>
            <w:tcW w:w="468" w:type="pct"/>
            <w:tcBorders>
              <w:left w:val="single" w:sz="4" w:space="0" w:color="auto"/>
              <w:bottom w:val="single" w:sz="12" w:space="0" w:color="auto"/>
              <w:right w:val="single" w:sz="4" w:space="0" w:color="auto"/>
            </w:tcBorders>
            <w:shd w:val="clear" w:color="auto" w:fill="E7E6E6" w:themeFill="background2"/>
            <w:vAlign w:val="center"/>
          </w:tcPr>
          <w:p w14:paraId="36079850" w14:textId="77777777" w:rsidR="0047125C"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Liquid</w:t>
            </w:r>
          </w:p>
          <w:p w14:paraId="3F1B4FAB" w14:textId="430D659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w:t>
            </w:r>
            <w:r w:rsidR="00EE4CDC" w:rsidRPr="00CA0394">
              <w:rPr>
                <w:rFonts w:eastAsia="Times New Roman" w:cstheme="minorHAnsi"/>
                <w:sz w:val="22"/>
                <w:szCs w:val="22"/>
              </w:rPr>
              <w:t>s</w:t>
            </w:r>
            <w:r w:rsidRPr="00CA0394">
              <w:rPr>
                <w:rFonts w:eastAsia="Times New Roman" w:cstheme="minorHAnsi"/>
                <w:sz w:val="22"/>
                <w:szCs w:val="22"/>
              </w:rPr>
              <w:t>traw)</w:t>
            </w:r>
          </w:p>
        </w:tc>
        <w:tc>
          <w:tcPr>
            <w:tcW w:w="513" w:type="pct"/>
            <w:tcBorders>
              <w:left w:val="single" w:sz="4" w:space="0" w:color="auto"/>
              <w:bottom w:val="single" w:sz="12" w:space="0" w:color="auto"/>
              <w:right w:val="single" w:sz="4" w:space="0" w:color="auto"/>
            </w:tcBorders>
            <w:shd w:val="clear" w:color="auto" w:fill="E7E6E6" w:themeFill="background2"/>
            <w:vAlign w:val="center"/>
          </w:tcPr>
          <w:p w14:paraId="4C06AA10" w14:textId="7777777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Puree</w:t>
            </w:r>
          </w:p>
          <w:p w14:paraId="6894C266" w14:textId="481E4644" w:rsidR="00D63547" w:rsidRPr="00CA0394" w:rsidRDefault="00EE4CDC" w:rsidP="0047125C">
            <w:pPr>
              <w:contextualSpacing/>
              <w:jc w:val="center"/>
              <w:rPr>
                <w:rFonts w:eastAsia="Times New Roman" w:cstheme="minorHAnsi"/>
                <w:sz w:val="22"/>
                <w:szCs w:val="22"/>
              </w:rPr>
            </w:pPr>
            <w:r w:rsidRPr="00CA0394">
              <w:rPr>
                <w:rFonts w:eastAsia="Times New Roman" w:cstheme="minorHAnsi"/>
                <w:sz w:val="22"/>
                <w:szCs w:val="22"/>
              </w:rPr>
              <w:t>(spoonful)</w:t>
            </w:r>
          </w:p>
        </w:tc>
        <w:tc>
          <w:tcPr>
            <w:tcW w:w="564" w:type="pct"/>
            <w:tcBorders>
              <w:left w:val="single" w:sz="4" w:space="0" w:color="auto"/>
              <w:bottom w:val="single" w:sz="12" w:space="0" w:color="auto"/>
              <w:right w:val="single" w:sz="4" w:space="0" w:color="auto"/>
            </w:tcBorders>
            <w:shd w:val="clear" w:color="auto" w:fill="E7E6E6" w:themeFill="background2"/>
            <w:vAlign w:val="center"/>
          </w:tcPr>
          <w:p w14:paraId="0FB6DAF6" w14:textId="7777777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Soft Solid</w:t>
            </w:r>
          </w:p>
          <w:p w14:paraId="1B6BBE42" w14:textId="47CB16AB" w:rsidR="00EE4CDC" w:rsidRPr="00CA0394" w:rsidRDefault="00EE4CDC" w:rsidP="0047125C">
            <w:pPr>
              <w:contextualSpacing/>
              <w:jc w:val="center"/>
              <w:rPr>
                <w:rFonts w:eastAsia="Times New Roman" w:cstheme="minorHAnsi"/>
                <w:sz w:val="22"/>
                <w:szCs w:val="22"/>
              </w:rPr>
            </w:pPr>
            <w:r w:rsidRPr="00CA0394">
              <w:rPr>
                <w:rFonts w:eastAsia="Times New Roman" w:cstheme="minorHAnsi"/>
                <w:sz w:val="22"/>
                <w:szCs w:val="22"/>
              </w:rPr>
              <w:t>(spoonful)</w:t>
            </w:r>
          </w:p>
        </w:tc>
        <w:tc>
          <w:tcPr>
            <w:tcW w:w="515" w:type="pct"/>
            <w:tcBorders>
              <w:left w:val="single" w:sz="4" w:space="0" w:color="auto"/>
              <w:bottom w:val="single" w:sz="12" w:space="0" w:color="auto"/>
              <w:right w:val="single" w:sz="4" w:space="0" w:color="auto"/>
            </w:tcBorders>
            <w:shd w:val="clear" w:color="auto" w:fill="E7E6E6" w:themeFill="background2"/>
            <w:vAlign w:val="center"/>
          </w:tcPr>
          <w:p w14:paraId="1B68C812" w14:textId="7777777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Hard Solid</w:t>
            </w:r>
          </w:p>
          <w:p w14:paraId="4E357D01" w14:textId="1AF45DF6" w:rsidR="00EE4CDC" w:rsidRPr="00CA0394" w:rsidRDefault="00EE4CDC" w:rsidP="0047125C">
            <w:pPr>
              <w:contextualSpacing/>
              <w:jc w:val="center"/>
              <w:rPr>
                <w:rFonts w:eastAsia="Times New Roman" w:cstheme="minorHAnsi"/>
                <w:sz w:val="22"/>
                <w:szCs w:val="22"/>
              </w:rPr>
            </w:pPr>
            <w:r w:rsidRPr="00CA0394">
              <w:rPr>
                <w:rFonts w:eastAsia="Times New Roman" w:cstheme="minorHAnsi"/>
                <w:sz w:val="22"/>
                <w:szCs w:val="22"/>
              </w:rPr>
              <w:t>(bite)</w:t>
            </w:r>
          </w:p>
        </w:tc>
        <w:tc>
          <w:tcPr>
            <w:tcW w:w="561" w:type="pct"/>
            <w:vMerge/>
            <w:tcBorders>
              <w:left w:val="single" w:sz="12" w:space="0" w:color="auto"/>
              <w:bottom w:val="single" w:sz="12" w:space="0" w:color="auto"/>
              <w:right w:val="single" w:sz="12" w:space="0" w:color="auto"/>
            </w:tcBorders>
            <w:shd w:val="clear" w:color="auto" w:fill="E7E6E6" w:themeFill="background2"/>
            <w:vAlign w:val="center"/>
          </w:tcPr>
          <w:p w14:paraId="7C806395" w14:textId="77777777" w:rsidR="00D63547" w:rsidRPr="00CA0394" w:rsidRDefault="00D63547" w:rsidP="0047125C">
            <w:pPr>
              <w:contextualSpacing/>
              <w:jc w:val="center"/>
              <w:rPr>
                <w:rFonts w:eastAsia="Times New Roman" w:cstheme="minorHAnsi"/>
                <w:b/>
                <w:bCs/>
                <w:sz w:val="22"/>
                <w:szCs w:val="22"/>
              </w:rPr>
            </w:pPr>
          </w:p>
        </w:tc>
      </w:tr>
      <w:tr w:rsidR="0047125C" w:rsidRPr="00CA0394" w14:paraId="5B407FCA" w14:textId="77777777" w:rsidTr="000C6DFE">
        <w:trPr>
          <w:trHeight w:val="347"/>
          <w:jc w:val="center"/>
        </w:trPr>
        <w:tc>
          <w:tcPr>
            <w:tcW w:w="1024" w:type="pct"/>
            <w:tcBorders>
              <w:top w:val="single" w:sz="12" w:space="0" w:color="auto"/>
              <w:left w:val="single" w:sz="12" w:space="0" w:color="auto"/>
              <w:bottom w:val="single" w:sz="4" w:space="0" w:color="auto"/>
              <w:right w:val="single" w:sz="12" w:space="0" w:color="auto"/>
            </w:tcBorders>
            <w:shd w:val="clear" w:color="auto" w:fill="auto"/>
            <w:vAlign w:val="center"/>
          </w:tcPr>
          <w:p w14:paraId="50167EA7" w14:textId="581C1EDB"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Power spectra total power</w:t>
            </w:r>
          </w:p>
        </w:tc>
        <w:tc>
          <w:tcPr>
            <w:tcW w:w="419" w:type="pct"/>
            <w:tcBorders>
              <w:top w:val="single" w:sz="12"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A05ADB4" w14:textId="2261C0C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118</w:t>
            </w:r>
          </w:p>
        </w:tc>
        <w:tc>
          <w:tcPr>
            <w:tcW w:w="468" w:type="pct"/>
            <w:tcBorders>
              <w:top w:val="single" w:sz="12" w:space="0" w:color="auto"/>
              <w:left w:val="single" w:sz="4" w:space="0" w:color="auto"/>
              <w:bottom w:val="single" w:sz="4" w:space="0" w:color="auto"/>
              <w:right w:val="single" w:sz="4" w:space="0" w:color="auto"/>
            </w:tcBorders>
            <w:shd w:val="clear" w:color="auto" w:fill="auto"/>
            <w:vAlign w:val="center"/>
          </w:tcPr>
          <w:p w14:paraId="16E58E7C" w14:textId="0ACEB6B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100</w:t>
            </w:r>
          </w:p>
        </w:tc>
        <w:tc>
          <w:tcPr>
            <w:tcW w:w="468" w:type="pct"/>
            <w:tcBorders>
              <w:top w:val="single" w:sz="12" w:space="0" w:color="auto"/>
              <w:left w:val="single" w:sz="4" w:space="0" w:color="auto"/>
              <w:bottom w:val="single" w:sz="4" w:space="0" w:color="auto"/>
              <w:right w:val="single" w:sz="4" w:space="0" w:color="auto"/>
            </w:tcBorders>
            <w:shd w:val="clear" w:color="auto" w:fill="auto"/>
            <w:vAlign w:val="center"/>
          </w:tcPr>
          <w:p w14:paraId="7F97F872" w14:textId="2C96234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067</w:t>
            </w:r>
          </w:p>
        </w:tc>
        <w:tc>
          <w:tcPr>
            <w:tcW w:w="468" w:type="pct"/>
            <w:tcBorders>
              <w:top w:val="single" w:sz="12" w:space="0" w:color="auto"/>
              <w:left w:val="single" w:sz="4" w:space="0" w:color="auto"/>
              <w:bottom w:val="single" w:sz="4" w:space="0" w:color="auto"/>
              <w:right w:val="single" w:sz="4" w:space="0" w:color="auto"/>
            </w:tcBorders>
            <w:shd w:val="clear" w:color="auto" w:fill="auto"/>
            <w:vAlign w:val="center"/>
          </w:tcPr>
          <w:p w14:paraId="04231F9C" w14:textId="2126948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062</w:t>
            </w:r>
          </w:p>
        </w:tc>
        <w:tc>
          <w:tcPr>
            <w:tcW w:w="513" w:type="pct"/>
            <w:tcBorders>
              <w:top w:val="single" w:sz="12" w:space="0" w:color="auto"/>
              <w:left w:val="single" w:sz="4" w:space="0" w:color="auto"/>
              <w:bottom w:val="single" w:sz="4" w:space="0" w:color="auto"/>
              <w:right w:val="single" w:sz="4" w:space="0" w:color="auto"/>
            </w:tcBorders>
            <w:shd w:val="clear" w:color="auto" w:fill="auto"/>
            <w:vAlign w:val="center"/>
          </w:tcPr>
          <w:p w14:paraId="52805041" w14:textId="16BC8FE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108</w:t>
            </w:r>
          </w:p>
        </w:tc>
        <w:tc>
          <w:tcPr>
            <w:tcW w:w="564" w:type="pct"/>
            <w:tcBorders>
              <w:top w:val="single" w:sz="12" w:space="0" w:color="auto"/>
              <w:left w:val="single" w:sz="4" w:space="0" w:color="auto"/>
              <w:bottom w:val="single" w:sz="4" w:space="0" w:color="auto"/>
              <w:right w:val="single" w:sz="4" w:space="0" w:color="auto"/>
            </w:tcBorders>
            <w:shd w:val="clear" w:color="auto" w:fill="auto"/>
            <w:vAlign w:val="center"/>
          </w:tcPr>
          <w:p w14:paraId="1F93AA60" w14:textId="179BD91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114</w:t>
            </w:r>
          </w:p>
        </w:tc>
        <w:tc>
          <w:tcPr>
            <w:tcW w:w="515" w:type="pct"/>
            <w:tcBorders>
              <w:top w:val="single" w:sz="12" w:space="0" w:color="auto"/>
              <w:left w:val="single" w:sz="4" w:space="0" w:color="auto"/>
              <w:bottom w:val="single" w:sz="4" w:space="0" w:color="auto"/>
              <w:right w:val="single" w:sz="4" w:space="0" w:color="auto"/>
            </w:tcBorders>
            <w:shd w:val="clear" w:color="auto" w:fill="auto"/>
            <w:vAlign w:val="center"/>
          </w:tcPr>
          <w:p w14:paraId="7EFBF9C4" w14:textId="147F5DB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087</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15C9FC18" w14:textId="7F6CBF5E"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094</w:t>
            </w:r>
          </w:p>
          <w:p w14:paraId="23A9CCB1" w14:textId="4DF69653"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022)</w:t>
            </w:r>
          </w:p>
        </w:tc>
      </w:tr>
      <w:tr w:rsidR="0047125C" w:rsidRPr="00CA0394" w14:paraId="71C46424"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2AF66503" w14:textId="27829524"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Old-Phase</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8DFB15" w14:textId="60BA96A5"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041E2E" w:rsidRPr="00CA0394">
              <w:rPr>
                <w:rFonts w:eastAsia="MS Mincho" w:cstheme="minorHAnsi"/>
                <w:color w:val="000000"/>
                <w:sz w:val="22"/>
                <w:szCs w:val="22"/>
              </w:rPr>
              <w:t xml:space="preserve"> </w:t>
            </w:r>
            <w:r w:rsidR="002B6375" w:rsidRPr="00CA0394">
              <w:rPr>
                <w:rFonts w:eastAsia="MS Mincho" w:cstheme="minorHAnsi"/>
                <w:color w:val="000000"/>
                <w:sz w:val="22"/>
                <w:szCs w:val="22"/>
              </w:rPr>
              <w:t>.</w:t>
            </w:r>
            <w:r w:rsidRPr="00CA0394">
              <w:rPr>
                <w:rFonts w:eastAsia="Times New Roman" w:cstheme="minorHAnsi"/>
                <w:sz w:val="22"/>
                <w:szCs w:val="22"/>
              </w:rPr>
              <w:t>111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6E62A0C" w14:textId="2923145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106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6E7EAE6" w14:textId="7DC1E90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A2B398C" w14:textId="50319E4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108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74B67FB" w14:textId="779D90D6"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090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2E0E3E6" w14:textId="5A27A68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091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893AE9F" w14:textId="75D8380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070</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7996CBAA" w14:textId="1794F8A0"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091</w:t>
            </w:r>
          </w:p>
          <w:p w14:paraId="249EC8DB" w14:textId="6F2279E7"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019)</w:t>
            </w:r>
          </w:p>
        </w:tc>
      </w:tr>
      <w:tr w:rsidR="0047125C" w:rsidRPr="00CA0394" w14:paraId="11CF844B"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5D526883" w14:textId="12B31FFD"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Apnea jerk</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8060F3" w14:textId="08F8A0D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11431AF" w14:textId="38BBD8A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C2AD29" w14:textId="6027042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D79ECA5" w14:textId="60A5B3C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978206E" w14:textId="2D4DE62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080CF10" w14:textId="64B74FD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8946E01" w14:textId="1F26C045"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130</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51C0AA98" w14:textId="2F4E667D"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079</w:t>
            </w:r>
          </w:p>
          <w:p w14:paraId="514D0A5B" w14:textId="4330DAF3"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025)</w:t>
            </w:r>
          </w:p>
        </w:tc>
      </w:tr>
      <w:tr w:rsidR="0047125C" w:rsidRPr="00CA0394" w14:paraId="12E64306"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17D320A1" w14:textId="0233B3F6"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Kurtosis</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978892" w14:textId="46E5D15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55F18D6" w14:textId="140BC80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48B4BE" w14:textId="0F94276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C4A9F2F" w14:textId="341868E5"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5C9B6D3" w14:textId="7E36DA9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67793F2" w14:textId="6A7FE34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47375D9" w14:textId="05E2EC2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162</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7C0811F4" w14:textId="75B61159"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078</w:t>
            </w:r>
          </w:p>
          <w:p w14:paraId="5C7CAB85" w14:textId="6144B888"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041)</w:t>
            </w:r>
          </w:p>
        </w:tc>
      </w:tr>
      <w:tr w:rsidR="0047125C" w:rsidRPr="00CA0394" w14:paraId="65B979F5"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1A57AAEB" w14:textId="5F3162B3"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Relative pre-swallow breathing cessation</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044B970" w14:textId="4C7CD29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78ABCC7" w14:textId="25DCFA02"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078F5E3" w14:textId="4571FD70"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B7DC5E7" w14:textId="4B3C971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131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31E10D9" w14:textId="5A9EDB6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37949A6" w14:textId="6D73453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F0B1F9A" w14:textId="1CCAD75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046</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5A9BF0B2" w14:textId="75C69D84"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076</w:t>
            </w:r>
          </w:p>
          <w:p w14:paraId="58C8168F" w14:textId="10B6C698"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027)</w:t>
            </w:r>
          </w:p>
        </w:tc>
      </w:tr>
      <w:tr w:rsidR="0047125C" w:rsidRPr="00CA0394" w14:paraId="7610D0C0"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32A4E4A6" w14:textId="09B6D370"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Relative post-swallow breathing cessation</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AE48586" w14:textId="04496CA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BE361FD" w14:textId="5BB5FD2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111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D32E793" w14:textId="4771CB6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4EAC2E0" w14:textId="13BB78A6"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42E85D" w14:textId="7B94507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AD8FB38" w14:textId="69C67D8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12A7F76" w14:textId="2363F51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067</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07047756" w14:textId="392BE54A"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074</w:t>
            </w:r>
          </w:p>
          <w:p w14:paraId="0668D645" w14:textId="24D4E0F8"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025)</w:t>
            </w:r>
          </w:p>
        </w:tc>
      </w:tr>
      <w:tr w:rsidR="0047125C" w:rsidRPr="00CA0394" w14:paraId="7329B730"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494F5CE4" w14:textId="76557F18"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Lempel-Ziv complexity</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AB85F3" w14:textId="1C54A4E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133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33E7D11" w14:textId="78E6556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F50BB15" w14:textId="2CA1FD9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7260086" w14:textId="0A8519A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7EF0419" w14:textId="5C6795E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049</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77D10BE" w14:textId="4090DE2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3F824D0" w14:textId="5BCB8AC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044</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674B894F" w14:textId="3EB1D997"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066</w:t>
            </w:r>
          </w:p>
          <w:p w14:paraId="21A90699" w14:textId="272AA66B"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032)</w:t>
            </w:r>
          </w:p>
        </w:tc>
      </w:tr>
      <w:tr w:rsidR="0047125C" w:rsidRPr="00CA0394" w14:paraId="31E8F9C1"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74417951" w14:textId="341B5E57"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Pre-swallow respiration velocity</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D80321" w14:textId="5259C906"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FFCAF48" w14:textId="65DCDB0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BDD09A9" w14:textId="04AC8A8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9C8948E" w14:textId="776ABD1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EF7BE50" w14:textId="7A8EE782"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090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4CDBC7" w14:textId="5CD8F10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C983D88" w14:textId="7DCE005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046</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11DF021C" w14:textId="44E4F0D0"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063</w:t>
            </w:r>
          </w:p>
          <w:p w14:paraId="377D54E3" w14:textId="30B7175B"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016)</w:t>
            </w:r>
          </w:p>
        </w:tc>
      </w:tr>
      <w:tr w:rsidR="0047125C" w:rsidRPr="00CA0394" w14:paraId="0C24DE43"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40F322C1" w14:textId="137D9E3C"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Power spectra centroid</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891BE8" w14:textId="775CBF70"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006C4D" w14:textId="129C9A8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047715B" w14:textId="12DA2292"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4906A" w14:textId="4E7FF5B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8B52321" w14:textId="476E4AA6"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062</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8115CC3" w14:textId="494F6C9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D209262" w14:textId="179C9AB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088</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2479F61D" w14:textId="068AF0FE"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061</w:t>
            </w:r>
          </w:p>
          <w:p w14:paraId="759CA904" w14:textId="4A856D6C"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020)</w:t>
            </w:r>
          </w:p>
        </w:tc>
      </w:tr>
      <w:tr w:rsidR="0047125C" w:rsidRPr="00CA0394" w14:paraId="6AB406F4"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51424CD3" w14:textId="19A089B3"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Swallow latency</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8A2785" w14:textId="1DC2A6D5"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A1B169A" w14:textId="07D74C9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C3EBA08" w14:textId="2449111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D73A591" w14:textId="6495B247"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059</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8A36B49" w14:textId="3C6A754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052</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057D7E4" w14:textId="5FEE081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5020FC9" w14:textId="41A95DB1"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038</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17BEE2D3" w14:textId="48B3B93C"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058</w:t>
            </w:r>
          </w:p>
          <w:p w14:paraId="2B245036" w14:textId="7E72BB12"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017)</w:t>
            </w:r>
          </w:p>
        </w:tc>
      </w:tr>
      <w:tr w:rsidR="0047125C" w:rsidRPr="00CA0394" w14:paraId="14D7E034"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2E9C4D42" w14:textId="1A5E062A"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Post-swallow apnea sustention</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4CA00A" w14:textId="42E8E4B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FA468EA" w14:textId="2C2210C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59A536" w14:textId="1299661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723D80C" w14:textId="5EFBD59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523E628" w14:textId="0E935CA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081</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D413CEF" w14:textId="05524CA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ACB83B3" w14:textId="58E2BF1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035</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1B139D2E" w14:textId="0057F857"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058</w:t>
            </w:r>
          </w:p>
          <w:p w14:paraId="4C8852ED" w14:textId="05988D2F"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019)</w:t>
            </w:r>
          </w:p>
        </w:tc>
      </w:tr>
      <w:tr w:rsidR="0047125C" w:rsidRPr="00CA0394" w14:paraId="3C795A9B"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16EA7972" w14:textId="6617DB1C"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Sample entropy</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C41C8FB" w14:textId="1819A59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2C8125C" w14:textId="59FF465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07530B6" w14:textId="186F688E"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DA6F0F" w14:textId="0AB03A0E"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8E39474" w14:textId="67110AF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048</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DC2DF50" w14:textId="438F960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FDCA3D" w14:textId="01B0D79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070</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14313D4D" w14:textId="678F0658"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054</w:t>
            </w:r>
          </w:p>
          <w:p w14:paraId="5E447F9E" w14:textId="363FDD5E"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009)</w:t>
            </w:r>
          </w:p>
        </w:tc>
      </w:tr>
      <w:tr w:rsidR="0047125C" w:rsidRPr="00CA0394" w14:paraId="2A19B9CA"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57D5ED62" w14:textId="706D3C19"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Power spectra normalized peak frequency</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500BB04" w14:textId="112B3CF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813704E" w14:textId="0F62BFA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CC830BC" w14:textId="1978E12B"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7027251" w14:textId="68BEC5C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071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3E854FB" w14:textId="4F9BC814"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044</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3110CEF" w14:textId="0834212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029E7F2" w14:textId="266E40D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051</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6A790C5D" w14:textId="28D388AA"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053</w:t>
            </w:r>
          </w:p>
          <w:p w14:paraId="32B3EE74" w14:textId="587B3E4A"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010)</w:t>
            </w:r>
          </w:p>
        </w:tc>
      </w:tr>
      <w:tr w:rsidR="0047125C" w:rsidRPr="00CA0394" w14:paraId="6AAD0481"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79894590" w14:textId="4320AFC5"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Peak width at half maximum</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3EAE35" w14:textId="39CA9472"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9ADFBB2" w14:textId="41D99540"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29DD0B5" w14:textId="4992057E"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065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B5C5896" w14:textId="772EBB6E"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029</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0BF7279" w14:textId="6B7E6F20"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054</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B975FCD" w14:textId="1F37D3CE"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9431F21" w14:textId="1840033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035</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24C0C5D0" w14:textId="1FEF1AFA"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047</w:t>
            </w:r>
          </w:p>
          <w:p w14:paraId="0F0DFEF2" w14:textId="6F01CFB1"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013)</w:t>
            </w:r>
          </w:p>
        </w:tc>
      </w:tr>
      <w:tr w:rsidR="0047125C" w:rsidRPr="00CA0394" w14:paraId="3AEC1D45"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76786547" w14:textId="1BDB4A5F"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lastRenderedPageBreak/>
              <w:t>Power spectra peak frequency</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3D259F2" w14:textId="420C44B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7D143D9" w14:textId="37986C8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021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224B8BE" w14:textId="2662086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041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5D033DC" w14:textId="3EE9368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037</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F622284" w14:textId="4D214A9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017</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2D2E026" w14:textId="19162ED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032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EEDBC24" w14:textId="1883385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020</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673827AB" w14:textId="406BCDC2"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027</w:t>
            </w:r>
          </w:p>
          <w:p w14:paraId="41577C9B" w14:textId="52B44AF0"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010)</w:t>
            </w:r>
          </w:p>
        </w:tc>
      </w:tr>
      <w:tr w:rsidR="0047125C" w:rsidRPr="00CA0394" w14:paraId="0AB4C9A6"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6598B93F" w14:textId="1BC224C5"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Pre-swallow I-E pattern</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07886B" w14:textId="7D785FC3"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F09453D" w14:textId="01301BC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B2233B" w14:textId="694F9C2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9FE61C2" w14:textId="40D94C98"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017</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F9025A" w14:textId="4A3815CC"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007</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DC1D59" w14:textId="44401980"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45EB354" w14:textId="484D91EA"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005</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479EF372" w14:textId="4EBE4317"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012</w:t>
            </w:r>
          </w:p>
          <w:p w14:paraId="301268BF" w14:textId="26911F44"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005)</w:t>
            </w:r>
          </w:p>
        </w:tc>
      </w:tr>
      <w:tr w:rsidR="0047125C" w:rsidRPr="00CA0394" w14:paraId="45B24979" w14:textId="77777777" w:rsidTr="000C6DFE">
        <w:trPr>
          <w:trHeight w:val="20"/>
          <w:jc w:val="center"/>
        </w:trPr>
        <w:tc>
          <w:tcPr>
            <w:tcW w:w="1024" w:type="pct"/>
            <w:tcBorders>
              <w:top w:val="single" w:sz="4" w:space="0" w:color="auto"/>
              <w:left w:val="single" w:sz="12" w:space="0" w:color="auto"/>
              <w:bottom w:val="single" w:sz="4" w:space="0" w:color="auto"/>
              <w:right w:val="single" w:sz="12" w:space="0" w:color="auto"/>
            </w:tcBorders>
            <w:shd w:val="clear" w:color="auto" w:fill="auto"/>
            <w:vAlign w:val="center"/>
          </w:tcPr>
          <w:p w14:paraId="5239BA56" w14:textId="0209616D"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Post-swallow I-E pattern</w:t>
            </w:r>
          </w:p>
        </w:tc>
        <w:tc>
          <w:tcPr>
            <w:tcW w:w="419" w:type="pct"/>
            <w:tcBorders>
              <w:top w:val="single" w:sz="4" w:space="0" w:color="auto"/>
              <w:left w:val="single" w:sz="12"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AE5694" w14:textId="65BD599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A3C1D5E" w14:textId="7FA3BBA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F3F826E" w14:textId="46B6B10D"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7B834A" w14:textId="189A8775"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6872BE" w14:textId="16588A09"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007</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D06BA18" w14:textId="6324B60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016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61DE0BE" w14:textId="6C1005CF" w:rsidR="00D63547" w:rsidRPr="00CA0394" w:rsidRDefault="00D63547" w:rsidP="0047125C">
            <w:pPr>
              <w:contextualSpacing/>
              <w:jc w:val="center"/>
              <w:rPr>
                <w:rFonts w:eastAsia="Times New Roman" w:cstheme="minorHAnsi"/>
                <w:sz w:val="22"/>
                <w:szCs w:val="22"/>
              </w:rPr>
            </w:pPr>
            <w:r w:rsidRPr="00CA0394">
              <w:rPr>
                <w:rFonts w:eastAsia="Times New Roman" w:cstheme="minorHAnsi"/>
                <w:sz w:val="22"/>
                <w:szCs w:val="22"/>
              </w:rPr>
              <w:t>0</w:t>
            </w:r>
            <w:r w:rsidR="002B6375" w:rsidRPr="00CA0394">
              <w:rPr>
                <w:rFonts w:eastAsia="MS Mincho" w:cstheme="minorHAnsi"/>
                <w:color w:val="000000"/>
                <w:sz w:val="22"/>
                <w:szCs w:val="22"/>
              </w:rPr>
              <w:t>.</w:t>
            </w:r>
            <w:r w:rsidRPr="00CA0394">
              <w:rPr>
                <w:rFonts w:eastAsia="Times New Roman" w:cstheme="minorHAnsi"/>
                <w:sz w:val="22"/>
                <w:szCs w:val="22"/>
              </w:rPr>
              <w:t>004</w:t>
            </w:r>
          </w:p>
        </w:tc>
        <w:tc>
          <w:tcPr>
            <w:tcW w:w="561" w:type="pct"/>
            <w:tcBorders>
              <w:top w:val="single" w:sz="4" w:space="0" w:color="auto"/>
              <w:left w:val="single" w:sz="12" w:space="0" w:color="auto"/>
              <w:bottom w:val="single" w:sz="4" w:space="0" w:color="auto"/>
              <w:right w:val="single" w:sz="12" w:space="0" w:color="auto"/>
            </w:tcBorders>
            <w:shd w:val="clear" w:color="auto" w:fill="auto"/>
            <w:vAlign w:val="center"/>
          </w:tcPr>
          <w:p w14:paraId="00D81050" w14:textId="65FB2EC1" w:rsidR="00D63547" w:rsidRPr="00CA0394" w:rsidRDefault="00D63547" w:rsidP="0047125C">
            <w:pPr>
              <w:contextualSpacing/>
              <w:jc w:val="center"/>
              <w:rPr>
                <w:rFonts w:eastAsia="Times New Roman" w:cstheme="minorHAnsi"/>
                <w:b/>
                <w:bCs/>
                <w:sz w:val="22"/>
                <w:szCs w:val="22"/>
              </w:rPr>
            </w:pPr>
            <w:r w:rsidRPr="00CA0394">
              <w:rPr>
                <w:rFonts w:eastAsia="Times New Roman" w:cstheme="minorHAnsi"/>
                <w:b/>
                <w:bCs/>
                <w:sz w:val="22"/>
                <w:szCs w:val="22"/>
              </w:rPr>
              <w:t>0</w:t>
            </w:r>
            <w:r w:rsidR="002B6375" w:rsidRPr="00CA0394">
              <w:rPr>
                <w:rFonts w:eastAsia="MS Mincho" w:cstheme="minorHAnsi"/>
                <w:color w:val="000000"/>
                <w:sz w:val="22"/>
                <w:szCs w:val="22"/>
              </w:rPr>
              <w:t>.</w:t>
            </w:r>
            <w:r w:rsidRPr="00CA0394">
              <w:rPr>
                <w:rFonts w:eastAsia="Times New Roman" w:cstheme="minorHAnsi"/>
                <w:b/>
                <w:bCs/>
                <w:sz w:val="22"/>
                <w:szCs w:val="22"/>
              </w:rPr>
              <w:t>009</w:t>
            </w:r>
          </w:p>
          <w:p w14:paraId="5343B170" w14:textId="05D102E3" w:rsidR="00D63547" w:rsidRPr="00CA0394" w:rsidRDefault="00D63547" w:rsidP="0047125C">
            <w:pPr>
              <w:contextualSpacing/>
              <w:jc w:val="center"/>
              <w:rPr>
                <w:rFonts w:eastAsia="Times New Roman" w:cstheme="minorHAnsi"/>
                <w:bCs/>
                <w:sz w:val="22"/>
                <w:szCs w:val="22"/>
              </w:rPr>
            </w:pPr>
            <w:r w:rsidRPr="00CA0394">
              <w:rPr>
                <w:rFonts w:eastAsia="Times New Roman" w:cstheme="minorHAnsi"/>
                <w:bCs/>
                <w:sz w:val="22"/>
                <w:szCs w:val="22"/>
              </w:rPr>
              <w:t>(0</w:t>
            </w:r>
            <w:r w:rsidR="002B6375" w:rsidRPr="00CA0394">
              <w:rPr>
                <w:rFonts w:eastAsia="MS Mincho" w:cstheme="minorHAnsi"/>
                <w:color w:val="000000"/>
                <w:sz w:val="22"/>
                <w:szCs w:val="22"/>
              </w:rPr>
              <w:t>.</w:t>
            </w:r>
            <w:r w:rsidRPr="00CA0394">
              <w:rPr>
                <w:rFonts w:eastAsia="Times New Roman" w:cstheme="minorHAnsi"/>
                <w:bCs/>
                <w:sz w:val="22"/>
                <w:szCs w:val="22"/>
              </w:rPr>
              <w:t>004)</w:t>
            </w:r>
          </w:p>
        </w:tc>
      </w:tr>
    </w:tbl>
    <w:p w14:paraId="36BFFDB4" w14:textId="77777777" w:rsidR="00591D0E" w:rsidRDefault="00591D0E">
      <w:pPr>
        <w:spacing w:after="160" w:line="259" w:lineRule="auto"/>
        <w:rPr>
          <w:rFonts w:eastAsia="Times New Roman" w:cstheme="minorHAnsi"/>
          <w:b/>
          <w:bCs/>
          <w:sz w:val="22"/>
          <w:szCs w:val="22"/>
        </w:rPr>
      </w:pPr>
    </w:p>
    <w:p w14:paraId="005063DA" w14:textId="77777777" w:rsidR="00591D0E" w:rsidRDefault="00591D0E">
      <w:pPr>
        <w:spacing w:after="160" w:line="259" w:lineRule="auto"/>
        <w:rPr>
          <w:rFonts w:eastAsia="Times New Roman" w:cstheme="minorHAnsi"/>
          <w:b/>
          <w:bCs/>
          <w:sz w:val="22"/>
          <w:szCs w:val="22"/>
        </w:rPr>
      </w:pPr>
    </w:p>
    <w:p w14:paraId="3B70F963" w14:textId="1BC286BF" w:rsidR="000C6DFE" w:rsidRPr="00403B6C" w:rsidRDefault="000C6DFE">
      <w:pPr>
        <w:spacing w:after="160" w:line="259" w:lineRule="auto"/>
        <w:rPr>
          <w:rFonts w:eastAsia="Times New Roman" w:cstheme="minorHAnsi"/>
          <w:b/>
          <w:bCs/>
          <w:sz w:val="22"/>
          <w:szCs w:val="22"/>
        </w:rPr>
      </w:pPr>
      <w:r>
        <w:rPr>
          <w:rFonts w:eastAsia="ヒラギノ角ゴ Pro W3" w:cstheme="minorHAnsi"/>
          <w:sz w:val="22"/>
          <w:szCs w:val="22"/>
        </w:rPr>
        <w:br w:type="page"/>
      </w:r>
    </w:p>
    <w:p w14:paraId="3D32A4E7" w14:textId="46F4E138" w:rsidR="00397688" w:rsidRPr="000C6DFE" w:rsidRDefault="002C7A16" w:rsidP="000C6DFE">
      <w:pPr>
        <w:spacing w:after="160" w:line="259" w:lineRule="auto"/>
        <w:outlineLvl w:val="0"/>
        <w:rPr>
          <w:rFonts w:ascii="Cambria" w:eastAsia="ヒラギノ角ゴ Pro W3" w:hAnsi="Cambria" w:cstheme="minorHAnsi"/>
          <w:b/>
        </w:rPr>
      </w:pPr>
      <w:r w:rsidRPr="000C6DFE">
        <w:rPr>
          <w:rFonts w:ascii="Cambria" w:eastAsia="ヒラギノ角ゴ Pro W3" w:hAnsi="Cambria" w:cstheme="minorHAnsi"/>
          <w:b/>
        </w:rPr>
        <w:lastRenderedPageBreak/>
        <w:t xml:space="preserve">Supplementary </w:t>
      </w:r>
      <w:r w:rsidR="00397688" w:rsidRPr="000C6DFE">
        <w:rPr>
          <w:rFonts w:ascii="Cambria" w:eastAsia="ヒラギノ角ゴ Pro W3" w:hAnsi="Cambria" w:cstheme="minorHAnsi"/>
          <w:b/>
        </w:rPr>
        <w:t>References</w:t>
      </w:r>
    </w:p>
    <w:p w14:paraId="5AED0B4E" w14:textId="77777777" w:rsidR="00397688" w:rsidRPr="00CA0394" w:rsidRDefault="00397688">
      <w:pPr>
        <w:rPr>
          <w:rFonts w:cstheme="minorHAnsi"/>
          <w:sz w:val="22"/>
          <w:szCs w:val="22"/>
        </w:rPr>
      </w:pPr>
    </w:p>
    <w:p w14:paraId="5F5E05F1" w14:textId="1D501FC6" w:rsidR="008A4EF6" w:rsidRPr="008A4EF6" w:rsidRDefault="005B630E" w:rsidP="008A4EF6">
      <w:pPr>
        <w:widowControl w:val="0"/>
        <w:autoSpaceDE w:val="0"/>
        <w:autoSpaceDN w:val="0"/>
        <w:adjustRightInd w:val="0"/>
        <w:spacing w:after="240"/>
        <w:ind w:left="640" w:hanging="640"/>
        <w:rPr>
          <w:rFonts w:ascii="Calibri" w:hAnsi="Calibri" w:cs="Calibri"/>
          <w:noProof/>
          <w:sz w:val="22"/>
        </w:rPr>
      </w:pPr>
      <w:r w:rsidRPr="00CA0394">
        <w:rPr>
          <w:rFonts w:cstheme="minorHAnsi"/>
          <w:sz w:val="22"/>
          <w:szCs w:val="22"/>
        </w:rPr>
        <w:fldChar w:fldCharType="begin" w:fldLock="1"/>
      </w:r>
      <w:r w:rsidRPr="00CA0394">
        <w:rPr>
          <w:rFonts w:cstheme="minorHAnsi"/>
          <w:sz w:val="22"/>
          <w:szCs w:val="22"/>
        </w:rPr>
        <w:instrText xml:space="preserve">ADDIN Mendeley Bibliography CSL_BIBLIOGRAPHY </w:instrText>
      </w:r>
      <w:r w:rsidRPr="00CA0394">
        <w:rPr>
          <w:rFonts w:cstheme="minorHAnsi"/>
          <w:sz w:val="22"/>
          <w:szCs w:val="22"/>
        </w:rPr>
        <w:fldChar w:fldCharType="separate"/>
      </w:r>
      <w:r w:rsidR="008A4EF6" w:rsidRPr="008A4EF6">
        <w:rPr>
          <w:rFonts w:ascii="Calibri" w:hAnsi="Calibri" w:cs="Calibri"/>
          <w:noProof/>
          <w:sz w:val="22"/>
        </w:rPr>
        <w:t xml:space="preserve">1 </w:t>
      </w:r>
      <w:r w:rsidR="008A4EF6" w:rsidRPr="008A4EF6">
        <w:rPr>
          <w:rFonts w:ascii="Calibri" w:hAnsi="Calibri" w:cs="Calibri"/>
          <w:noProof/>
          <w:sz w:val="22"/>
        </w:rPr>
        <w:tab/>
        <w:t xml:space="preserve">Lee J, Steele CM, Chau T. Time and time-frequency characterization of dual-axis swallowing accelerometry signals. Physiol Meas. 2008 Sep;29(9):1105–20. </w:t>
      </w:r>
    </w:p>
    <w:p w14:paraId="3516C9F7"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 </w:t>
      </w:r>
      <w:r w:rsidRPr="008A4EF6">
        <w:rPr>
          <w:rFonts w:ascii="Calibri" w:hAnsi="Calibri" w:cs="Calibri"/>
          <w:noProof/>
          <w:sz w:val="22"/>
        </w:rPr>
        <w:tab/>
        <w:t xml:space="preserve">Lee KH, Ni X, Lee JY, Arafa H, Pe DJ, Xu S, et al. Mechano-acoustic sensing of physiological processes and body motions via a soft wireless device placed at the suprasternal notch. Nat Biomed Eng. 2020 Feb;4(2):148–58. </w:t>
      </w:r>
    </w:p>
    <w:p w14:paraId="464EDEC0"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3 </w:t>
      </w:r>
      <w:r w:rsidRPr="008A4EF6">
        <w:rPr>
          <w:rFonts w:ascii="Calibri" w:hAnsi="Calibri" w:cs="Calibri"/>
          <w:noProof/>
          <w:sz w:val="22"/>
        </w:rPr>
        <w:tab/>
        <w:t>Mann G. MASA : the Mann assessment of swallowing ability. Clifton Park, NY: Thomson Learning; 2002.</w:t>
      </w:r>
    </w:p>
    <w:p w14:paraId="5AC4334E"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4 </w:t>
      </w:r>
      <w:r w:rsidRPr="008A4EF6">
        <w:rPr>
          <w:rFonts w:ascii="Calibri" w:hAnsi="Calibri" w:cs="Calibri"/>
          <w:noProof/>
          <w:sz w:val="22"/>
        </w:rPr>
        <w:tab/>
        <w:t xml:space="preserve">Garand KL, McCullough G, Crary M, Arvedson JC, Dodrill P. Assessment across the life span: The clinical swallow evaluation. Am J Speech-Language Pathol. 2020;29(2S):919–33. </w:t>
      </w:r>
    </w:p>
    <w:p w14:paraId="33F12315"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5 </w:t>
      </w:r>
      <w:r w:rsidRPr="008A4EF6">
        <w:rPr>
          <w:rFonts w:ascii="Calibri" w:hAnsi="Calibri" w:cs="Calibri"/>
          <w:noProof/>
          <w:sz w:val="22"/>
        </w:rPr>
        <w:tab/>
        <w:t xml:space="preserve">Mamun KA, Steele CM, Chau T. Swallowing accelerometry signal feature variations with sensor displacement. Med Eng Phys. 2015 Jul;37(7):665–73. </w:t>
      </w:r>
    </w:p>
    <w:p w14:paraId="44DBBE1C"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6 </w:t>
      </w:r>
      <w:r w:rsidRPr="008A4EF6">
        <w:rPr>
          <w:rFonts w:ascii="Calibri" w:hAnsi="Calibri" w:cs="Calibri"/>
          <w:noProof/>
          <w:sz w:val="22"/>
        </w:rPr>
        <w:tab/>
        <w:t xml:space="preserve">Richman JS, Lake DE, Moorman JR. Sample Entropy. Methods Enzymol. 2004 Jan;384:172–84. </w:t>
      </w:r>
    </w:p>
    <w:p w14:paraId="3D191E13"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7 </w:t>
      </w:r>
      <w:r w:rsidRPr="008A4EF6">
        <w:rPr>
          <w:rFonts w:ascii="Calibri" w:hAnsi="Calibri" w:cs="Calibri"/>
          <w:noProof/>
          <w:sz w:val="22"/>
        </w:rPr>
        <w:tab/>
        <w:t>Paydarfar D, Gilbert RJ, Poppel CS, Nassab PF. Respiratory phase resetting and airflow changes induced by swallowing in humans. 1995.</w:t>
      </w:r>
    </w:p>
    <w:p w14:paraId="07A399F2"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8 </w:t>
      </w:r>
      <w:r w:rsidRPr="008A4EF6">
        <w:rPr>
          <w:rFonts w:ascii="Calibri" w:hAnsi="Calibri" w:cs="Calibri"/>
          <w:noProof/>
          <w:sz w:val="22"/>
        </w:rPr>
        <w:tab/>
        <w:t xml:space="preserve">Yagi N, Oku Y, Nagami S, Yamagata Y, Kayashita J, Ishikawa A, et al. Inappropriate Timing of Swallow in the Respiratory Cycle Causes Breathing–Swallowing Discoordination. Front Physiol. 2017 Sep;8(SEP):676. </w:t>
      </w:r>
    </w:p>
    <w:p w14:paraId="2A5580A1"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9 </w:t>
      </w:r>
      <w:r w:rsidRPr="008A4EF6">
        <w:rPr>
          <w:rFonts w:ascii="Calibri" w:hAnsi="Calibri" w:cs="Calibri"/>
          <w:noProof/>
          <w:sz w:val="22"/>
        </w:rPr>
        <w:tab/>
        <w:t xml:space="preserve">Tracy JF, Logemann JA, Kahrilas PJ, Jacob P, Kobara M, Krugler C. Preliminary observations on the effects of age on oropharyngeal deglutition. Dysphagia. 1989 Jun;4(2):90–4. </w:t>
      </w:r>
    </w:p>
    <w:p w14:paraId="2D345E4E"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10 </w:t>
      </w:r>
      <w:r w:rsidRPr="008A4EF6">
        <w:rPr>
          <w:rFonts w:ascii="Calibri" w:hAnsi="Calibri" w:cs="Calibri"/>
          <w:noProof/>
          <w:sz w:val="22"/>
        </w:rPr>
        <w:tab/>
        <w:t xml:space="preserve">Martin-Harris B, Brodsky MB, Michel Y, Ford CL, Walters B, Heffner J. Breathing and swallowing dynamics across the adult lifespan. Arch Otolaryngol - Head Neck Surg. 2005 Sep;131(9):762–70. </w:t>
      </w:r>
    </w:p>
    <w:p w14:paraId="4D12AA8E"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11 </w:t>
      </w:r>
      <w:r w:rsidRPr="008A4EF6">
        <w:rPr>
          <w:rFonts w:ascii="Calibri" w:hAnsi="Calibri" w:cs="Calibri"/>
          <w:noProof/>
          <w:sz w:val="22"/>
        </w:rPr>
        <w:tab/>
        <w:t xml:space="preserve">Hadjikoutis S, Pickersgill TP, Dawson K, Wiles CM. Abnormal patterns of breathing during swallowing in neurological disorders. Brain. 2000 Sep;123(9):1863–73. </w:t>
      </w:r>
    </w:p>
    <w:p w14:paraId="6025E9B8"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12 </w:t>
      </w:r>
      <w:r w:rsidRPr="008A4EF6">
        <w:rPr>
          <w:rFonts w:ascii="Calibri" w:hAnsi="Calibri" w:cs="Calibri"/>
          <w:noProof/>
          <w:sz w:val="22"/>
        </w:rPr>
        <w:tab/>
        <w:t xml:space="preserve">Leslie P, Drinnan MJ, Ford GA, Wilson JA. Swallow respiration patterns in dysphagic patients following acute stroke. Dysphagia. 2002 Jun;17(3):202–7. </w:t>
      </w:r>
    </w:p>
    <w:p w14:paraId="29841368"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13 </w:t>
      </w:r>
      <w:r w:rsidRPr="008A4EF6">
        <w:rPr>
          <w:rFonts w:ascii="Calibri" w:hAnsi="Calibri" w:cs="Calibri"/>
          <w:noProof/>
          <w:sz w:val="22"/>
        </w:rPr>
        <w:tab/>
        <w:t xml:space="preserve">McFarland DH, Lund JP, Gagner M. Effects of posture on the coordination of respiration and swallowing. J Neurophysiol. 1994;72(5):2431–7. </w:t>
      </w:r>
    </w:p>
    <w:p w14:paraId="4AE95545"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14 </w:t>
      </w:r>
      <w:r w:rsidRPr="008A4EF6">
        <w:rPr>
          <w:rFonts w:ascii="Calibri" w:hAnsi="Calibri" w:cs="Calibri"/>
          <w:noProof/>
          <w:sz w:val="22"/>
        </w:rPr>
        <w:tab/>
        <w:t xml:space="preserve">Eyigör S, Perlman AL, He X. Effects of Age, Gender, Bolus Volume and Viscosity on Acoustic Signals of Normal Swallowing. Turkish J Phys Med Rehabil. 2007;53(3):94–9. </w:t>
      </w:r>
    </w:p>
    <w:p w14:paraId="747925C2"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15 </w:t>
      </w:r>
      <w:r w:rsidRPr="008A4EF6">
        <w:rPr>
          <w:rFonts w:ascii="Calibri" w:hAnsi="Calibri" w:cs="Calibri"/>
          <w:noProof/>
          <w:sz w:val="22"/>
        </w:rPr>
        <w:tab/>
        <w:t xml:space="preserve">Hammoudi K, Boiron M, Hernandez N, Bobillier C, Morinière S. Acoustic study of pharyngeal swallowing as a function of the volume and consistency of the bolus. Dysphagia. 2014 Apr;29(4):468–74. </w:t>
      </w:r>
    </w:p>
    <w:p w14:paraId="66AA80AE"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lastRenderedPageBreak/>
        <w:t xml:space="preserve">16 </w:t>
      </w:r>
      <w:r w:rsidRPr="008A4EF6">
        <w:rPr>
          <w:rFonts w:ascii="Calibri" w:hAnsi="Calibri" w:cs="Calibri"/>
          <w:noProof/>
          <w:sz w:val="22"/>
        </w:rPr>
        <w:tab/>
        <w:t xml:space="preserve">Jestrović I, Dudik JM, Luan B, Coyle JL, Sejdić E. The effects of increased fluid viscosity on swallowing sounds in healthy adults. Biomed Eng Online. 2013 Sep;12(1):90. </w:t>
      </w:r>
    </w:p>
    <w:p w14:paraId="36178122"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17 </w:t>
      </w:r>
      <w:r w:rsidRPr="008A4EF6">
        <w:rPr>
          <w:rFonts w:ascii="Calibri" w:hAnsi="Calibri" w:cs="Calibri"/>
          <w:noProof/>
          <w:sz w:val="22"/>
        </w:rPr>
        <w:tab/>
        <w:t xml:space="preserve">Gross RD, Atwood CW, Ross SB, Eichhorn KA, Olszewski JW, Doyle PJ. The coordination of breathing and swallowing in Parkinson’s disease. Dysphagia. 2008 Jun;23(2):136–45. </w:t>
      </w:r>
    </w:p>
    <w:p w14:paraId="3EC1BABC"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18 </w:t>
      </w:r>
      <w:r w:rsidRPr="008A4EF6">
        <w:rPr>
          <w:rFonts w:ascii="Calibri" w:hAnsi="Calibri" w:cs="Calibri"/>
          <w:noProof/>
          <w:sz w:val="22"/>
        </w:rPr>
        <w:tab/>
        <w:t xml:space="preserve">Bautista TG, Sun QJ, Pilowsky PM. The generation of pharyngeal phase of swallow and its coordination with breathing: Interaction between the swallow and respiratory central pattern generators. Prog Brain Res. 2014;212:253–75. </w:t>
      </w:r>
    </w:p>
    <w:p w14:paraId="29259FC8"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19 </w:t>
      </w:r>
      <w:r w:rsidRPr="008A4EF6">
        <w:rPr>
          <w:rFonts w:ascii="Calibri" w:hAnsi="Calibri" w:cs="Calibri"/>
          <w:noProof/>
          <w:sz w:val="22"/>
        </w:rPr>
        <w:tab/>
        <w:t>Scholkopf B, Smola AJ. Learning with Kernels: Support Vector Machines, Regularization, Optimization. Cambridge, MA: The MIT Press; 2002.</w:t>
      </w:r>
    </w:p>
    <w:p w14:paraId="236F7B33"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20 </w:t>
      </w:r>
      <w:r w:rsidRPr="008A4EF6">
        <w:rPr>
          <w:rFonts w:ascii="Calibri" w:hAnsi="Calibri" w:cs="Calibri"/>
          <w:noProof/>
          <w:sz w:val="22"/>
        </w:rPr>
        <w:tab/>
        <w:t xml:space="preserve">Breiman L. Random forests. Mach Learn. 2001 Oct;45(1):5–32. </w:t>
      </w:r>
    </w:p>
    <w:p w14:paraId="06D60835"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21 </w:t>
      </w:r>
      <w:r w:rsidRPr="008A4EF6">
        <w:rPr>
          <w:rFonts w:ascii="Calibri" w:hAnsi="Calibri" w:cs="Calibri"/>
          <w:noProof/>
          <w:sz w:val="22"/>
        </w:rPr>
        <w:tab/>
        <w:t>Hastie T, Tibshirani R, Friedman J. The Elements of Statistical Learning: Data Mining, Inference, and Prediction. Second Edi. New York City, NY: Springer-Verlag; 2009.</w:t>
      </w:r>
    </w:p>
    <w:p w14:paraId="5C0580F7"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22 </w:t>
      </w:r>
      <w:r w:rsidRPr="008A4EF6">
        <w:rPr>
          <w:rFonts w:ascii="Calibri" w:hAnsi="Calibri" w:cs="Calibri"/>
          <w:noProof/>
          <w:sz w:val="22"/>
        </w:rPr>
        <w:tab/>
        <w:t xml:space="preserve">Ledoit O, Wolf M. A well-conditioned estimator for large-dimensional covariance matrices. J Multivar Anal. 2004 Feb;88(2):365–411. </w:t>
      </w:r>
    </w:p>
    <w:p w14:paraId="5A3167E9"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23 </w:t>
      </w:r>
      <w:r w:rsidRPr="008A4EF6">
        <w:rPr>
          <w:rFonts w:ascii="Calibri" w:hAnsi="Calibri" w:cs="Calibri"/>
          <w:noProof/>
          <w:sz w:val="22"/>
        </w:rPr>
        <w:tab/>
        <w:t>The International Dysphagia Diet Standardisation Initiative. IDDSI Framework [Internet]. 2019Available from: https://iddsi.org/framework/</w:t>
      </w:r>
    </w:p>
    <w:p w14:paraId="346C29DD"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24 </w:t>
      </w:r>
      <w:r w:rsidRPr="008A4EF6">
        <w:rPr>
          <w:rFonts w:ascii="Calibri" w:hAnsi="Calibri" w:cs="Calibri"/>
          <w:noProof/>
          <w:sz w:val="22"/>
        </w:rPr>
        <w:tab/>
        <w:t xml:space="preserve">Nikjoo MS, Steele CM, Sejdić E, Chau T. Automatic discrimination between safe and unsafe swallowing using a reputation-based classifier. Biomed Eng Online. 2011 Nov;10(1):100. </w:t>
      </w:r>
    </w:p>
    <w:p w14:paraId="348EE36B"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25 </w:t>
      </w:r>
      <w:r w:rsidRPr="008A4EF6">
        <w:rPr>
          <w:rFonts w:ascii="Calibri" w:hAnsi="Calibri" w:cs="Calibri"/>
          <w:noProof/>
          <w:sz w:val="22"/>
        </w:rPr>
        <w:tab/>
        <w:t xml:space="preserve">Celeste M, Azadeh K, Sejdić E, Berall G, Chau T. Quantitative classification of pediatric swallowing through accelerometry. J Neuroeng Rehabil. 2012;9(1):34. </w:t>
      </w:r>
    </w:p>
    <w:p w14:paraId="68B75B6E"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26 </w:t>
      </w:r>
      <w:r w:rsidRPr="008A4EF6">
        <w:rPr>
          <w:rFonts w:ascii="Calibri" w:hAnsi="Calibri" w:cs="Calibri"/>
          <w:noProof/>
          <w:sz w:val="22"/>
        </w:rPr>
        <w:tab/>
        <w:t>Jestrovi´c IJ, Dudik JM, Luan B, Coyle JL, Sejdi´c ES. The effects of increased fluid viscosity on swallowing sounds in healthy adults. 2013.</w:t>
      </w:r>
    </w:p>
    <w:p w14:paraId="5D3B89D0"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27 </w:t>
      </w:r>
      <w:r w:rsidRPr="008A4EF6">
        <w:rPr>
          <w:rFonts w:ascii="Calibri" w:hAnsi="Calibri" w:cs="Calibri"/>
          <w:noProof/>
          <w:sz w:val="22"/>
        </w:rPr>
        <w:tab/>
        <w:t xml:space="preserve">Kurosu A, Coyle JL, Dudik JM, Sejdic E. Detection of Swallow Kinematic Events From Acoustic High-Resolution Cervical Auscultation Signals in Patients With Stroke. Arch Phys Med Rehabil. 2019 Mar;100(3):501–8. </w:t>
      </w:r>
    </w:p>
    <w:p w14:paraId="5022DE42"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28 </w:t>
      </w:r>
      <w:r w:rsidRPr="008A4EF6">
        <w:rPr>
          <w:rFonts w:ascii="Calibri" w:hAnsi="Calibri" w:cs="Calibri"/>
          <w:noProof/>
          <w:sz w:val="22"/>
        </w:rPr>
        <w:tab/>
        <w:t xml:space="preserve">Dudik JM, Coyle JL, Sejdic E. Dysphagia Screening: Contributions of Cervical Auscultation Signals and Modern Signal-Processing Techniques. IEEE Trans Human-Machine Syst. 2015 Aug;45(4):465–77. </w:t>
      </w:r>
    </w:p>
    <w:p w14:paraId="64B560D1" w14:textId="77777777" w:rsidR="008A4EF6" w:rsidRPr="008A4EF6" w:rsidRDefault="008A4EF6" w:rsidP="008A4EF6">
      <w:pPr>
        <w:widowControl w:val="0"/>
        <w:autoSpaceDE w:val="0"/>
        <w:autoSpaceDN w:val="0"/>
        <w:adjustRightInd w:val="0"/>
        <w:spacing w:after="240"/>
        <w:ind w:left="640" w:hanging="640"/>
        <w:rPr>
          <w:rFonts w:ascii="Calibri" w:hAnsi="Calibri" w:cs="Calibri"/>
          <w:noProof/>
          <w:sz w:val="22"/>
        </w:rPr>
      </w:pPr>
      <w:r w:rsidRPr="008A4EF6">
        <w:rPr>
          <w:rFonts w:ascii="Calibri" w:hAnsi="Calibri" w:cs="Calibri"/>
          <w:noProof/>
          <w:sz w:val="22"/>
        </w:rPr>
        <w:t xml:space="preserve">29 </w:t>
      </w:r>
      <w:r w:rsidRPr="008A4EF6">
        <w:rPr>
          <w:rFonts w:ascii="Calibri" w:hAnsi="Calibri" w:cs="Calibri"/>
          <w:noProof/>
          <w:sz w:val="22"/>
        </w:rPr>
        <w:tab/>
        <w:t xml:space="preserve">Donohue C, Mao S, Sejdić E, Coyle JL. Tracking Hyoid Bone Displacement During Swallowing Without Videofluoroscopy Using Machine Learning of Vibratory Signals. Dysphagia. 2020 May;1:3. </w:t>
      </w:r>
    </w:p>
    <w:p w14:paraId="5FC07327" w14:textId="29B1E87F" w:rsidR="00694F30" w:rsidRPr="0047125C" w:rsidRDefault="005B630E" w:rsidP="003458A5">
      <w:pPr>
        <w:spacing w:after="240"/>
        <w:rPr>
          <w:rFonts w:ascii="Times New Roman" w:hAnsi="Times New Roman" w:cs="Times New Roman"/>
          <w:sz w:val="20"/>
          <w:szCs w:val="20"/>
        </w:rPr>
      </w:pPr>
      <w:r w:rsidRPr="00CA0394">
        <w:rPr>
          <w:rFonts w:cstheme="minorHAnsi"/>
          <w:sz w:val="22"/>
          <w:szCs w:val="22"/>
        </w:rPr>
        <w:fldChar w:fldCharType="end"/>
      </w:r>
    </w:p>
    <w:p w14:paraId="6D311EB8" w14:textId="77777777" w:rsidR="0023266B" w:rsidRPr="0047125C" w:rsidRDefault="0023266B" w:rsidP="009725D0">
      <w:pPr>
        <w:spacing w:after="50" w:line="259" w:lineRule="auto"/>
        <w:rPr>
          <w:rFonts w:ascii="Times New Roman" w:hAnsi="Times New Roman" w:cs="Times New Roman"/>
          <w:sz w:val="20"/>
          <w:szCs w:val="20"/>
        </w:rPr>
      </w:pPr>
      <w:bookmarkStart w:id="1" w:name="_Ref22545978"/>
    </w:p>
    <w:bookmarkEnd w:id="1"/>
    <w:p w14:paraId="55F3663D" w14:textId="77777777" w:rsidR="00F86FEC" w:rsidRPr="0047125C" w:rsidRDefault="00F86FEC" w:rsidP="00F86FEC">
      <w:pPr>
        <w:rPr>
          <w:rFonts w:ascii="Times New Roman" w:hAnsi="Times New Roman" w:cs="Times New Roman"/>
          <w:sz w:val="20"/>
          <w:szCs w:val="20"/>
        </w:rPr>
      </w:pPr>
    </w:p>
    <w:p w14:paraId="2F75A3EB" w14:textId="6B5A18F5" w:rsidR="00F86FEC" w:rsidRPr="0047125C" w:rsidRDefault="00F86FEC">
      <w:pPr>
        <w:rPr>
          <w:rFonts w:ascii="Times New Roman" w:hAnsi="Times New Roman" w:cs="Times New Roman"/>
          <w:sz w:val="20"/>
          <w:szCs w:val="20"/>
        </w:rPr>
      </w:pPr>
    </w:p>
    <w:sectPr w:rsidR="00F86FEC" w:rsidRPr="0047125C" w:rsidSect="00D82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B3AB5" w14:textId="77777777" w:rsidR="001D6937" w:rsidRDefault="001D6937" w:rsidP="00861798">
      <w:r>
        <w:separator/>
      </w:r>
    </w:p>
  </w:endnote>
  <w:endnote w:type="continuationSeparator" w:id="0">
    <w:p w14:paraId="003B04D4" w14:textId="77777777" w:rsidR="001D6937" w:rsidRDefault="001D6937" w:rsidP="0086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DF508" w14:textId="77777777" w:rsidR="001D6937" w:rsidRDefault="001D6937" w:rsidP="00861798">
      <w:r>
        <w:separator/>
      </w:r>
    </w:p>
  </w:footnote>
  <w:footnote w:type="continuationSeparator" w:id="0">
    <w:p w14:paraId="597B6728" w14:textId="77777777" w:rsidR="001D6937" w:rsidRDefault="001D6937" w:rsidP="008617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78E"/>
    <w:multiLevelType w:val="hybridMultilevel"/>
    <w:tmpl w:val="9F727FE0"/>
    <w:lvl w:ilvl="0" w:tplc="8F46EC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04BFF"/>
    <w:multiLevelType w:val="hybridMultilevel"/>
    <w:tmpl w:val="6C3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D0D74"/>
    <w:multiLevelType w:val="hybridMultilevel"/>
    <w:tmpl w:val="A980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6D88"/>
    <w:multiLevelType w:val="hybridMultilevel"/>
    <w:tmpl w:val="ED928B8C"/>
    <w:lvl w:ilvl="0" w:tplc="0ED4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E6702"/>
    <w:multiLevelType w:val="hybridMultilevel"/>
    <w:tmpl w:val="199C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A1DD9"/>
    <w:multiLevelType w:val="hybridMultilevel"/>
    <w:tmpl w:val="63B6BB24"/>
    <w:lvl w:ilvl="0" w:tplc="C8087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927D8"/>
    <w:multiLevelType w:val="hybridMultilevel"/>
    <w:tmpl w:val="951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41016"/>
    <w:multiLevelType w:val="hybridMultilevel"/>
    <w:tmpl w:val="CF64C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3D"/>
    <w:rsid w:val="00030420"/>
    <w:rsid w:val="00036814"/>
    <w:rsid w:val="0003750E"/>
    <w:rsid w:val="00041BEF"/>
    <w:rsid w:val="00041C82"/>
    <w:rsid w:val="00041E2E"/>
    <w:rsid w:val="00061328"/>
    <w:rsid w:val="000810E2"/>
    <w:rsid w:val="00084948"/>
    <w:rsid w:val="000A67CF"/>
    <w:rsid w:val="000C21D9"/>
    <w:rsid w:val="000C29F4"/>
    <w:rsid w:val="000C6DFE"/>
    <w:rsid w:val="000D54F7"/>
    <w:rsid w:val="000E18DA"/>
    <w:rsid w:val="000E3AD8"/>
    <w:rsid w:val="000E5A29"/>
    <w:rsid w:val="00104076"/>
    <w:rsid w:val="001045CE"/>
    <w:rsid w:val="00135C1C"/>
    <w:rsid w:val="001715E3"/>
    <w:rsid w:val="00175AAE"/>
    <w:rsid w:val="00180A9E"/>
    <w:rsid w:val="0019308A"/>
    <w:rsid w:val="001A119E"/>
    <w:rsid w:val="001B4FBA"/>
    <w:rsid w:val="001C15AA"/>
    <w:rsid w:val="001C2C51"/>
    <w:rsid w:val="001C5D0E"/>
    <w:rsid w:val="001C7405"/>
    <w:rsid w:val="001D6937"/>
    <w:rsid w:val="001E3716"/>
    <w:rsid w:val="001E7A14"/>
    <w:rsid w:val="00207C79"/>
    <w:rsid w:val="00213322"/>
    <w:rsid w:val="00227467"/>
    <w:rsid w:val="0023266B"/>
    <w:rsid w:val="00234A44"/>
    <w:rsid w:val="00234A73"/>
    <w:rsid w:val="00242C00"/>
    <w:rsid w:val="0027283A"/>
    <w:rsid w:val="00284115"/>
    <w:rsid w:val="00287051"/>
    <w:rsid w:val="002A308C"/>
    <w:rsid w:val="002A7011"/>
    <w:rsid w:val="002B6233"/>
    <w:rsid w:val="002B6375"/>
    <w:rsid w:val="002C7A16"/>
    <w:rsid w:val="002D64A4"/>
    <w:rsid w:val="002D7F72"/>
    <w:rsid w:val="002F4DBF"/>
    <w:rsid w:val="00304058"/>
    <w:rsid w:val="00322FDD"/>
    <w:rsid w:val="003458A5"/>
    <w:rsid w:val="00350C6B"/>
    <w:rsid w:val="00355702"/>
    <w:rsid w:val="00373919"/>
    <w:rsid w:val="00376CA5"/>
    <w:rsid w:val="00386075"/>
    <w:rsid w:val="00394941"/>
    <w:rsid w:val="00397688"/>
    <w:rsid w:val="003A13D7"/>
    <w:rsid w:val="003A2249"/>
    <w:rsid w:val="003A3479"/>
    <w:rsid w:val="003A5854"/>
    <w:rsid w:val="003B24CF"/>
    <w:rsid w:val="003C0FE6"/>
    <w:rsid w:val="003C27B9"/>
    <w:rsid w:val="003C5E29"/>
    <w:rsid w:val="003C6E51"/>
    <w:rsid w:val="003E20C2"/>
    <w:rsid w:val="003F4AA3"/>
    <w:rsid w:val="003F666B"/>
    <w:rsid w:val="003F6F8A"/>
    <w:rsid w:val="00403B6C"/>
    <w:rsid w:val="00463B8C"/>
    <w:rsid w:val="00465916"/>
    <w:rsid w:val="00467952"/>
    <w:rsid w:val="0047125C"/>
    <w:rsid w:val="004772BE"/>
    <w:rsid w:val="00483821"/>
    <w:rsid w:val="00485871"/>
    <w:rsid w:val="00485FDF"/>
    <w:rsid w:val="004862B9"/>
    <w:rsid w:val="00486534"/>
    <w:rsid w:val="004865D8"/>
    <w:rsid w:val="00494B67"/>
    <w:rsid w:val="00496ECF"/>
    <w:rsid w:val="004A5303"/>
    <w:rsid w:val="004B2B25"/>
    <w:rsid w:val="004B2D77"/>
    <w:rsid w:val="004D5EA7"/>
    <w:rsid w:val="004E0C79"/>
    <w:rsid w:val="00525865"/>
    <w:rsid w:val="00542F48"/>
    <w:rsid w:val="00543BED"/>
    <w:rsid w:val="005813CE"/>
    <w:rsid w:val="00591D0E"/>
    <w:rsid w:val="00593A3B"/>
    <w:rsid w:val="005950D3"/>
    <w:rsid w:val="005B4E29"/>
    <w:rsid w:val="005B630E"/>
    <w:rsid w:val="005C6D46"/>
    <w:rsid w:val="005E1F2E"/>
    <w:rsid w:val="005F3FCB"/>
    <w:rsid w:val="00636F2F"/>
    <w:rsid w:val="00641DB3"/>
    <w:rsid w:val="00644D88"/>
    <w:rsid w:val="00646DE8"/>
    <w:rsid w:val="00651DCC"/>
    <w:rsid w:val="006574F9"/>
    <w:rsid w:val="00662D02"/>
    <w:rsid w:val="00665B4D"/>
    <w:rsid w:val="00674DE5"/>
    <w:rsid w:val="006866A2"/>
    <w:rsid w:val="00694F30"/>
    <w:rsid w:val="006A3407"/>
    <w:rsid w:val="006B282E"/>
    <w:rsid w:val="006B29D5"/>
    <w:rsid w:val="006B3FC9"/>
    <w:rsid w:val="006C2909"/>
    <w:rsid w:val="006D51FB"/>
    <w:rsid w:val="006D70FE"/>
    <w:rsid w:val="006D7F70"/>
    <w:rsid w:val="006E0199"/>
    <w:rsid w:val="00710E7A"/>
    <w:rsid w:val="0071676A"/>
    <w:rsid w:val="007405C3"/>
    <w:rsid w:val="0074221B"/>
    <w:rsid w:val="007470C4"/>
    <w:rsid w:val="00781A6F"/>
    <w:rsid w:val="007905F4"/>
    <w:rsid w:val="007C1930"/>
    <w:rsid w:val="007D61D2"/>
    <w:rsid w:val="00803965"/>
    <w:rsid w:val="00833764"/>
    <w:rsid w:val="008376AE"/>
    <w:rsid w:val="00861798"/>
    <w:rsid w:val="00864AAB"/>
    <w:rsid w:val="008736EE"/>
    <w:rsid w:val="008767E2"/>
    <w:rsid w:val="008924F1"/>
    <w:rsid w:val="00896044"/>
    <w:rsid w:val="008A4EF6"/>
    <w:rsid w:val="008B20A1"/>
    <w:rsid w:val="008C38CF"/>
    <w:rsid w:val="008E004C"/>
    <w:rsid w:val="008F1849"/>
    <w:rsid w:val="008F28E5"/>
    <w:rsid w:val="00902626"/>
    <w:rsid w:val="00907153"/>
    <w:rsid w:val="00931A52"/>
    <w:rsid w:val="00943C15"/>
    <w:rsid w:val="00946248"/>
    <w:rsid w:val="00953EC2"/>
    <w:rsid w:val="00956FE3"/>
    <w:rsid w:val="00962F39"/>
    <w:rsid w:val="009725D0"/>
    <w:rsid w:val="00974479"/>
    <w:rsid w:val="00977DA4"/>
    <w:rsid w:val="00996057"/>
    <w:rsid w:val="009B0FFA"/>
    <w:rsid w:val="009B4D0A"/>
    <w:rsid w:val="009D7C60"/>
    <w:rsid w:val="00A0643A"/>
    <w:rsid w:val="00A14E86"/>
    <w:rsid w:val="00A15E86"/>
    <w:rsid w:val="00A37419"/>
    <w:rsid w:val="00A42912"/>
    <w:rsid w:val="00A613C6"/>
    <w:rsid w:val="00A75371"/>
    <w:rsid w:val="00A9519D"/>
    <w:rsid w:val="00AA48BD"/>
    <w:rsid w:val="00AB260A"/>
    <w:rsid w:val="00AE37A4"/>
    <w:rsid w:val="00AE7330"/>
    <w:rsid w:val="00AF14CC"/>
    <w:rsid w:val="00AF4CD1"/>
    <w:rsid w:val="00AF7FA0"/>
    <w:rsid w:val="00B00C6B"/>
    <w:rsid w:val="00B01915"/>
    <w:rsid w:val="00B13C1A"/>
    <w:rsid w:val="00B241FB"/>
    <w:rsid w:val="00B24558"/>
    <w:rsid w:val="00B2631E"/>
    <w:rsid w:val="00B34BB3"/>
    <w:rsid w:val="00B5569E"/>
    <w:rsid w:val="00B61FED"/>
    <w:rsid w:val="00B74BF1"/>
    <w:rsid w:val="00B879AA"/>
    <w:rsid w:val="00B9144E"/>
    <w:rsid w:val="00B9239E"/>
    <w:rsid w:val="00B95D00"/>
    <w:rsid w:val="00BA245C"/>
    <w:rsid w:val="00BA5168"/>
    <w:rsid w:val="00BC7DF5"/>
    <w:rsid w:val="00BE2FBC"/>
    <w:rsid w:val="00BF1936"/>
    <w:rsid w:val="00C0361F"/>
    <w:rsid w:val="00C11B47"/>
    <w:rsid w:val="00C22483"/>
    <w:rsid w:val="00C46345"/>
    <w:rsid w:val="00C47252"/>
    <w:rsid w:val="00C5696A"/>
    <w:rsid w:val="00C60C03"/>
    <w:rsid w:val="00C935E9"/>
    <w:rsid w:val="00C96AD0"/>
    <w:rsid w:val="00CA0394"/>
    <w:rsid w:val="00CA5781"/>
    <w:rsid w:val="00CB02BB"/>
    <w:rsid w:val="00CC553D"/>
    <w:rsid w:val="00CC6F98"/>
    <w:rsid w:val="00D0085D"/>
    <w:rsid w:val="00D02CDF"/>
    <w:rsid w:val="00D03D21"/>
    <w:rsid w:val="00D307B0"/>
    <w:rsid w:val="00D4715B"/>
    <w:rsid w:val="00D47FF2"/>
    <w:rsid w:val="00D57445"/>
    <w:rsid w:val="00D6079D"/>
    <w:rsid w:val="00D6231D"/>
    <w:rsid w:val="00D63547"/>
    <w:rsid w:val="00D82028"/>
    <w:rsid w:val="00D82BE0"/>
    <w:rsid w:val="00D963ED"/>
    <w:rsid w:val="00D97E09"/>
    <w:rsid w:val="00DB4CBE"/>
    <w:rsid w:val="00DB7FA4"/>
    <w:rsid w:val="00DD5649"/>
    <w:rsid w:val="00DD773E"/>
    <w:rsid w:val="00E070CA"/>
    <w:rsid w:val="00E12F45"/>
    <w:rsid w:val="00E13230"/>
    <w:rsid w:val="00E15C75"/>
    <w:rsid w:val="00E26E2A"/>
    <w:rsid w:val="00E27328"/>
    <w:rsid w:val="00E27E2D"/>
    <w:rsid w:val="00E302D6"/>
    <w:rsid w:val="00E34615"/>
    <w:rsid w:val="00E347CF"/>
    <w:rsid w:val="00E406DC"/>
    <w:rsid w:val="00E4473B"/>
    <w:rsid w:val="00E4795E"/>
    <w:rsid w:val="00E5721E"/>
    <w:rsid w:val="00E6346E"/>
    <w:rsid w:val="00E81AEF"/>
    <w:rsid w:val="00E90A7D"/>
    <w:rsid w:val="00EB11F4"/>
    <w:rsid w:val="00ED395D"/>
    <w:rsid w:val="00EE13C4"/>
    <w:rsid w:val="00EE32C1"/>
    <w:rsid w:val="00EE4CDC"/>
    <w:rsid w:val="00EE6B55"/>
    <w:rsid w:val="00F01993"/>
    <w:rsid w:val="00F10D8D"/>
    <w:rsid w:val="00F12C22"/>
    <w:rsid w:val="00F25208"/>
    <w:rsid w:val="00F372CE"/>
    <w:rsid w:val="00F405AE"/>
    <w:rsid w:val="00F40BEA"/>
    <w:rsid w:val="00F46A12"/>
    <w:rsid w:val="00F50154"/>
    <w:rsid w:val="00F6175C"/>
    <w:rsid w:val="00F7357A"/>
    <w:rsid w:val="00F74624"/>
    <w:rsid w:val="00F86FEC"/>
    <w:rsid w:val="00FB0D92"/>
    <w:rsid w:val="00FB4EFF"/>
    <w:rsid w:val="00FB706F"/>
    <w:rsid w:val="00FD1D16"/>
    <w:rsid w:val="00FD34CC"/>
    <w:rsid w:val="00FD496E"/>
    <w:rsid w:val="00FE5930"/>
    <w:rsid w:val="00FE5B74"/>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DB58"/>
  <w15:chartTrackingRefBased/>
  <w15:docId w15:val="{EA85AC12-C74C-4B9C-8BC1-EC4C2884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53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5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688"/>
    <w:pPr>
      <w:ind w:left="720"/>
      <w:contextualSpacing/>
    </w:pPr>
  </w:style>
  <w:style w:type="character" w:styleId="CommentReference">
    <w:name w:val="annotation reference"/>
    <w:basedOn w:val="DefaultParagraphFont"/>
    <w:uiPriority w:val="99"/>
    <w:semiHidden/>
    <w:unhideWhenUsed/>
    <w:rsid w:val="001045CE"/>
    <w:rPr>
      <w:sz w:val="16"/>
      <w:szCs w:val="16"/>
    </w:rPr>
  </w:style>
  <w:style w:type="paragraph" w:styleId="CommentText">
    <w:name w:val="annotation text"/>
    <w:basedOn w:val="Normal"/>
    <w:link w:val="CommentTextChar"/>
    <w:uiPriority w:val="99"/>
    <w:semiHidden/>
    <w:unhideWhenUsed/>
    <w:rsid w:val="001045CE"/>
    <w:rPr>
      <w:sz w:val="20"/>
      <w:szCs w:val="20"/>
    </w:rPr>
  </w:style>
  <w:style w:type="character" w:customStyle="1" w:styleId="CommentTextChar">
    <w:name w:val="Comment Text Char"/>
    <w:basedOn w:val="DefaultParagraphFont"/>
    <w:link w:val="CommentText"/>
    <w:uiPriority w:val="99"/>
    <w:semiHidden/>
    <w:rsid w:val="001045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45CE"/>
    <w:rPr>
      <w:b/>
      <w:bCs/>
    </w:rPr>
  </w:style>
  <w:style w:type="character" w:customStyle="1" w:styleId="CommentSubjectChar">
    <w:name w:val="Comment Subject Char"/>
    <w:basedOn w:val="CommentTextChar"/>
    <w:link w:val="CommentSubject"/>
    <w:uiPriority w:val="99"/>
    <w:semiHidden/>
    <w:rsid w:val="001045CE"/>
    <w:rPr>
      <w:rFonts w:eastAsiaTheme="minorEastAsia"/>
      <w:b/>
      <w:bCs/>
      <w:sz w:val="20"/>
      <w:szCs w:val="20"/>
    </w:rPr>
  </w:style>
  <w:style w:type="paragraph" w:styleId="BalloonText">
    <w:name w:val="Balloon Text"/>
    <w:basedOn w:val="Normal"/>
    <w:link w:val="BalloonTextChar"/>
    <w:uiPriority w:val="99"/>
    <w:semiHidden/>
    <w:unhideWhenUsed/>
    <w:rsid w:val="00104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CE"/>
    <w:rPr>
      <w:rFonts w:ascii="Segoe UI" w:eastAsiaTheme="minorEastAsia" w:hAnsi="Segoe UI" w:cs="Segoe UI"/>
      <w:sz w:val="18"/>
      <w:szCs w:val="18"/>
    </w:rPr>
  </w:style>
  <w:style w:type="character" w:styleId="PlaceholderText">
    <w:name w:val="Placeholder Text"/>
    <w:basedOn w:val="DefaultParagraphFont"/>
    <w:uiPriority w:val="99"/>
    <w:semiHidden/>
    <w:rsid w:val="00FD496E"/>
    <w:rPr>
      <w:color w:val="808080"/>
    </w:rPr>
  </w:style>
  <w:style w:type="paragraph" w:styleId="Revision">
    <w:name w:val="Revision"/>
    <w:hidden/>
    <w:uiPriority w:val="99"/>
    <w:semiHidden/>
    <w:rsid w:val="00953EC2"/>
    <w:pPr>
      <w:spacing w:after="0" w:line="240" w:lineRule="auto"/>
    </w:pPr>
    <w:rPr>
      <w:rFonts w:eastAsiaTheme="minorEastAsia"/>
      <w:sz w:val="24"/>
      <w:szCs w:val="24"/>
    </w:rPr>
  </w:style>
  <w:style w:type="paragraph" w:styleId="Header">
    <w:name w:val="header"/>
    <w:basedOn w:val="Normal"/>
    <w:link w:val="HeaderChar"/>
    <w:uiPriority w:val="99"/>
    <w:unhideWhenUsed/>
    <w:rsid w:val="00861798"/>
    <w:pPr>
      <w:tabs>
        <w:tab w:val="center" w:pos="4680"/>
        <w:tab w:val="right" w:pos="9360"/>
      </w:tabs>
    </w:pPr>
  </w:style>
  <w:style w:type="character" w:customStyle="1" w:styleId="HeaderChar">
    <w:name w:val="Header Char"/>
    <w:basedOn w:val="DefaultParagraphFont"/>
    <w:link w:val="Header"/>
    <w:uiPriority w:val="99"/>
    <w:rsid w:val="00861798"/>
    <w:rPr>
      <w:rFonts w:eastAsiaTheme="minorEastAsia"/>
      <w:sz w:val="24"/>
      <w:szCs w:val="24"/>
    </w:rPr>
  </w:style>
  <w:style w:type="paragraph" w:styleId="Footer">
    <w:name w:val="footer"/>
    <w:basedOn w:val="Normal"/>
    <w:link w:val="FooterChar"/>
    <w:uiPriority w:val="99"/>
    <w:unhideWhenUsed/>
    <w:rsid w:val="00861798"/>
    <w:pPr>
      <w:tabs>
        <w:tab w:val="center" w:pos="4680"/>
        <w:tab w:val="right" w:pos="9360"/>
      </w:tabs>
    </w:pPr>
  </w:style>
  <w:style w:type="character" w:customStyle="1" w:styleId="FooterChar">
    <w:name w:val="Footer Char"/>
    <w:basedOn w:val="DefaultParagraphFont"/>
    <w:link w:val="Footer"/>
    <w:uiPriority w:val="99"/>
    <w:rsid w:val="00861798"/>
    <w:rPr>
      <w:rFonts w:eastAsiaTheme="minorEastAsia"/>
      <w:sz w:val="24"/>
      <w:szCs w:val="24"/>
    </w:rPr>
  </w:style>
  <w:style w:type="table" w:customStyle="1" w:styleId="TableGrid1">
    <w:name w:val="Table Grid1"/>
    <w:basedOn w:val="TableNormal"/>
    <w:next w:val="TableGrid"/>
    <w:uiPriority w:val="59"/>
    <w:rsid w:val="0039494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29F4"/>
    <w:rPr>
      <w:color w:val="0000FF"/>
      <w:u w:val="single"/>
    </w:rPr>
  </w:style>
  <w:style w:type="character" w:styleId="Emphasis">
    <w:name w:val="Emphasis"/>
    <w:basedOn w:val="DefaultParagraphFont"/>
    <w:uiPriority w:val="20"/>
    <w:qFormat/>
    <w:rsid w:val="000C29F4"/>
    <w:rPr>
      <w:i/>
      <w:iCs/>
    </w:rPr>
  </w:style>
  <w:style w:type="character" w:styleId="FollowedHyperlink">
    <w:name w:val="FollowedHyperlink"/>
    <w:basedOn w:val="DefaultParagraphFont"/>
    <w:uiPriority w:val="99"/>
    <w:semiHidden/>
    <w:unhideWhenUsed/>
    <w:rsid w:val="006D70FE"/>
    <w:rPr>
      <w:color w:val="954F72" w:themeColor="followedHyperlink"/>
      <w:u w:val="single"/>
    </w:rPr>
  </w:style>
  <w:style w:type="character" w:styleId="LineNumber">
    <w:name w:val="line number"/>
    <w:basedOn w:val="DefaultParagraphFont"/>
    <w:uiPriority w:val="99"/>
    <w:semiHidden/>
    <w:unhideWhenUsed/>
    <w:rsid w:val="0074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617">
      <w:bodyDiv w:val="1"/>
      <w:marLeft w:val="0"/>
      <w:marRight w:val="0"/>
      <w:marTop w:val="0"/>
      <w:marBottom w:val="0"/>
      <w:divBdr>
        <w:top w:val="none" w:sz="0" w:space="0" w:color="auto"/>
        <w:left w:val="none" w:sz="0" w:space="0" w:color="auto"/>
        <w:bottom w:val="none" w:sz="0" w:space="0" w:color="auto"/>
        <w:right w:val="none" w:sz="0" w:space="0" w:color="auto"/>
      </w:divBdr>
    </w:div>
    <w:div w:id="157772350">
      <w:bodyDiv w:val="1"/>
      <w:marLeft w:val="0"/>
      <w:marRight w:val="0"/>
      <w:marTop w:val="0"/>
      <w:marBottom w:val="0"/>
      <w:divBdr>
        <w:top w:val="none" w:sz="0" w:space="0" w:color="auto"/>
        <w:left w:val="none" w:sz="0" w:space="0" w:color="auto"/>
        <w:bottom w:val="none" w:sz="0" w:space="0" w:color="auto"/>
        <w:right w:val="none" w:sz="0" w:space="0" w:color="auto"/>
      </w:divBdr>
    </w:div>
    <w:div w:id="400950010">
      <w:bodyDiv w:val="1"/>
      <w:marLeft w:val="0"/>
      <w:marRight w:val="0"/>
      <w:marTop w:val="0"/>
      <w:marBottom w:val="0"/>
      <w:divBdr>
        <w:top w:val="none" w:sz="0" w:space="0" w:color="auto"/>
        <w:left w:val="none" w:sz="0" w:space="0" w:color="auto"/>
        <w:bottom w:val="none" w:sz="0" w:space="0" w:color="auto"/>
        <w:right w:val="none" w:sz="0" w:space="0" w:color="auto"/>
      </w:divBdr>
    </w:div>
    <w:div w:id="419909851">
      <w:bodyDiv w:val="1"/>
      <w:marLeft w:val="0"/>
      <w:marRight w:val="0"/>
      <w:marTop w:val="0"/>
      <w:marBottom w:val="0"/>
      <w:divBdr>
        <w:top w:val="none" w:sz="0" w:space="0" w:color="auto"/>
        <w:left w:val="none" w:sz="0" w:space="0" w:color="auto"/>
        <w:bottom w:val="none" w:sz="0" w:space="0" w:color="auto"/>
        <w:right w:val="none" w:sz="0" w:space="0" w:color="auto"/>
      </w:divBdr>
    </w:div>
    <w:div w:id="608662240">
      <w:bodyDiv w:val="1"/>
      <w:marLeft w:val="0"/>
      <w:marRight w:val="0"/>
      <w:marTop w:val="0"/>
      <w:marBottom w:val="0"/>
      <w:divBdr>
        <w:top w:val="none" w:sz="0" w:space="0" w:color="auto"/>
        <w:left w:val="none" w:sz="0" w:space="0" w:color="auto"/>
        <w:bottom w:val="none" w:sz="0" w:space="0" w:color="auto"/>
        <w:right w:val="none" w:sz="0" w:space="0" w:color="auto"/>
      </w:divBdr>
    </w:div>
    <w:div w:id="840436344">
      <w:bodyDiv w:val="1"/>
      <w:marLeft w:val="0"/>
      <w:marRight w:val="0"/>
      <w:marTop w:val="0"/>
      <w:marBottom w:val="0"/>
      <w:divBdr>
        <w:top w:val="none" w:sz="0" w:space="0" w:color="auto"/>
        <w:left w:val="none" w:sz="0" w:space="0" w:color="auto"/>
        <w:bottom w:val="none" w:sz="0" w:space="0" w:color="auto"/>
        <w:right w:val="none" w:sz="0" w:space="0" w:color="auto"/>
      </w:divBdr>
    </w:div>
    <w:div w:id="945816304">
      <w:bodyDiv w:val="1"/>
      <w:marLeft w:val="0"/>
      <w:marRight w:val="0"/>
      <w:marTop w:val="0"/>
      <w:marBottom w:val="0"/>
      <w:divBdr>
        <w:top w:val="none" w:sz="0" w:space="0" w:color="auto"/>
        <w:left w:val="none" w:sz="0" w:space="0" w:color="auto"/>
        <w:bottom w:val="none" w:sz="0" w:space="0" w:color="auto"/>
        <w:right w:val="none" w:sz="0" w:space="0" w:color="auto"/>
      </w:divBdr>
    </w:div>
    <w:div w:id="1083800148">
      <w:bodyDiv w:val="1"/>
      <w:marLeft w:val="0"/>
      <w:marRight w:val="0"/>
      <w:marTop w:val="0"/>
      <w:marBottom w:val="0"/>
      <w:divBdr>
        <w:top w:val="none" w:sz="0" w:space="0" w:color="auto"/>
        <w:left w:val="none" w:sz="0" w:space="0" w:color="auto"/>
        <w:bottom w:val="none" w:sz="0" w:space="0" w:color="auto"/>
        <w:right w:val="none" w:sz="0" w:space="0" w:color="auto"/>
      </w:divBdr>
    </w:div>
    <w:div w:id="1250579209">
      <w:bodyDiv w:val="1"/>
      <w:marLeft w:val="0"/>
      <w:marRight w:val="0"/>
      <w:marTop w:val="0"/>
      <w:marBottom w:val="0"/>
      <w:divBdr>
        <w:top w:val="none" w:sz="0" w:space="0" w:color="auto"/>
        <w:left w:val="none" w:sz="0" w:space="0" w:color="auto"/>
        <w:bottom w:val="none" w:sz="0" w:space="0" w:color="auto"/>
        <w:right w:val="none" w:sz="0" w:space="0" w:color="auto"/>
      </w:divBdr>
    </w:div>
    <w:div w:id="1276449096">
      <w:bodyDiv w:val="1"/>
      <w:marLeft w:val="0"/>
      <w:marRight w:val="0"/>
      <w:marTop w:val="0"/>
      <w:marBottom w:val="0"/>
      <w:divBdr>
        <w:top w:val="none" w:sz="0" w:space="0" w:color="auto"/>
        <w:left w:val="none" w:sz="0" w:space="0" w:color="auto"/>
        <w:bottom w:val="none" w:sz="0" w:space="0" w:color="auto"/>
        <w:right w:val="none" w:sz="0" w:space="0" w:color="auto"/>
      </w:divBdr>
      <w:divsChild>
        <w:div w:id="465707089">
          <w:marLeft w:val="0"/>
          <w:marRight w:val="0"/>
          <w:marTop w:val="0"/>
          <w:marBottom w:val="0"/>
          <w:divBdr>
            <w:top w:val="none" w:sz="0" w:space="0" w:color="auto"/>
            <w:left w:val="none" w:sz="0" w:space="0" w:color="auto"/>
            <w:bottom w:val="none" w:sz="0" w:space="0" w:color="auto"/>
            <w:right w:val="none" w:sz="0" w:space="0" w:color="auto"/>
          </w:divBdr>
        </w:div>
      </w:divsChild>
    </w:div>
    <w:div w:id="1529878042">
      <w:bodyDiv w:val="1"/>
      <w:marLeft w:val="0"/>
      <w:marRight w:val="0"/>
      <w:marTop w:val="0"/>
      <w:marBottom w:val="0"/>
      <w:divBdr>
        <w:top w:val="none" w:sz="0" w:space="0" w:color="auto"/>
        <w:left w:val="none" w:sz="0" w:space="0" w:color="auto"/>
        <w:bottom w:val="none" w:sz="0" w:space="0" w:color="auto"/>
        <w:right w:val="none" w:sz="0" w:space="0" w:color="auto"/>
      </w:divBdr>
    </w:div>
    <w:div w:id="1678654265">
      <w:bodyDiv w:val="1"/>
      <w:marLeft w:val="0"/>
      <w:marRight w:val="0"/>
      <w:marTop w:val="0"/>
      <w:marBottom w:val="0"/>
      <w:divBdr>
        <w:top w:val="none" w:sz="0" w:space="0" w:color="auto"/>
        <w:left w:val="none" w:sz="0" w:space="0" w:color="auto"/>
        <w:bottom w:val="none" w:sz="0" w:space="0" w:color="auto"/>
        <w:right w:val="none" w:sz="0" w:space="0" w:color="auto"/>
      </w:divBdr>
    </w:div>
    <w:div w:id="1786997396">
      <w:bodyDiv w:val="1"/>
      <w:marLeft w:val="0"/>
      <w:marRight w:val="0"/>
      <w:marTop w:val="0"/>
      <w:marBottom w:val="0"/>
      <w:divBdr>
        <w:top w:val="none" w:sz="0" w:space="0" w:color="auto"/>
        <w:left w:val="none" w:sz="0" w:space="0" w:color="auto"/>
        <w:bottom w:val="none" w:sz="0" w:space="0" w:color="auto"/>
        <w:right w:val="none" w:sz="0" w:space="0" w:color="auto"/>
      </w:divBdr>
    </w:div>
    <w:div w:id="1985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ECC3-4141-49C0-939E-CE7DE0E9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29185</Words>
  <Characters>166356</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O'Brien</dc:creator>
  <cp:keywords/>
  <dc:description/>
  <cp:lastModifiedBy>Megan O'Brien</cp:lastModifiedBy>
  <cp:revision>2</cp:revision>
  <cp:lastPrinted>2019-11-18T16:44:00Z</cp:lastPrinted>
  <dcterms:created xsi:type="dcterms:W3CDTF">2021-05-03T14:30:00Z</dcterms:created>
  <dcterms:modified xsi:type="dcterms:W3CDTF">2021-05-03T14:30:00Z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http://www.zotero.org/styles/karger-journals</vt:lpwstr>
  </property>
  <property fmtid="{D5CDD505-2E9C-101B-9397-08002B2CF9AE}" pid="13" name="Mendeley Recent Style Name 5_1">
    <vt:lpwstr>Karger journals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0a6d62c2-b686-3b24-99c8-c8b61097a3d7</vt:lpwstr>
  </property>
  <property fmtid="{D5CDD505-2E9C-101B-9397-08002B2CF9AE}" pid="24" name="Mendeley Citation Style_1">
    <vt:lpwstr>http://www.zotero.org/styles/karger-journals</vt:lpwstr>
  </property>
</Properties>
</file>