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DDD" w14:textId="77777777" w:rsidR="00F82E5A" w:rsidRPr="00EF40A1" w:rsidRDefault="00F82E5A" w:rsidP="00F82E5A">
      <w:pPr>
        <w:spacing w:after="120" w:line="360" w:lineRule="auto"/>
        <w:rPr>
          <w:rFonts w:ascii="Cambria" w:eastAsia="Times New Roman" w:hAnsi="Cambria" w:cstheme="minorHAnsi"/>
          <w:b/>
          <w:bCs/>
          <w:sz w:val="26"/>
          <w:szCs w:val="26"/>
          <w:lang w:eastAsia="de-CH"/>
        </w:rPr>
      </w:pPr>
      <w:r w:rsidRPr="00EF40A1">
        <w:rPr>
          <w:rFonts w:ascii="Cambria" w:eastAsia="Times New Roman" w:hAnsi="Cambria" w:cstheme="minorHAnsi"/>
          <w:b/>
          <w:bCs/>
          <w:sz w:val="26"/>
          <w:szCs w:val="26"/>
          <w:lang w:eastAsia="de-CH"/>
        </w:rPr>
        <w:t>APPENDIX</w:t>
      </w:r>
    </w:p>
    <w:p w14:paraId="73B19818" w14:textId="77777777" w:rsidR="00F82E5A" w:rsidRPr="00EF40A1" w:rsidRDefault="00F82E5A" w:rsidP="00F82E5A">
      <w:pPr>
        <w:suppressLineNumbers/>
        <w:spacing w:after="120" w:line="360" w:lineRule="auto"/>
        <w:rPr>
          <w:rFonts w:cstheme="minorHAnsi"/>
        </w:rPr>
      </w:pPr>
      <w:r w:rsidRPr="00EF40A1">
        <w:rPr>
          <w:rStyle w:val="fontstyle01"/>
          <w:rFonts w:asciiTheme="minorHAnsi" w:eastAsia="Times New Roman" w:hAnsiTheme="minorHAnsi" w:cstheme="minorHAnsi"/>
          <w:color w:val="auto"/>
          <w:sz w:val="22"/>
          <w:szCs w:val="22"/>
          <w:lang w:val="en-GB" w:eastAsia="en-GB"/>
        </w:rPr>
        <w:t>Appendix Fig. 1.</w:t>
      </w:r>
      <w:r w:rsidRPr="00EF40A1">
        <w:rPr>
          <w:rStyle w:val="fontstyle01"/>
          <w:rFonts w:asciiTheme="minorHAnsi" w:eastAsia="Times New Roman" w:hAnsiTheme="minorHAnsi" w:cstheme="minorHAnsi"/>
          <w:color w:val="auto"/>
          <w:sz w:val="21"/>
          <w:szCs w:val="21"/>
          <w:lang w:val="en-GB" w:eastAsia="en-GB"/>
        </w:rPr>
        <w:t xml:space="preserve"> </w:t>
      </w:r>
      <w:r w:rsidRPr="00EF40A1">
        <w:rPr>
          <w:rFonts w:cstheme="minorHAnsi"/>
        </w:rPr>
        <w:t xml:space="preserve">Patterns of </w:t>
      </w:r>
      <w:r w:rsidRPr="00EF40A1">
        <w:rPr>
          <w:rFonts w:cstheme="minorHAnsi"/>
          <w:i/>
          <w:iCs/>
        </w:rPr>
        <w:t>cavitated decay</w:t>
      </w:r>
      <w:r w:rsidRPr="00EF40A1">
        <w:rPr>
          <w:rFonts w:cstheme="minorHAnsi"/>
        </w:rPr>
        <w:t xml:space="preserve"> experience (ICDAS 3-6) by surface amongst 15-year-olds in England, Wales, and Northern Ireland, 2013 (n=2,160)</w:t>
      </w:r>
    </w:p>
    <w:p w14:paraId="7F24D57D" w14:textId="77777777" w:rsidR="00F82E5A" w:rsidRPr="00EF40A1" w:rsidRDefault="00F82E5A" w:rsidP="00F82E5A">
      <w:pPr>
        <w:suppressLineNumbers/>
        <w:spacing w:after="120" w:line="360" w:lineRule="auto"/>
        <w:rPr>
          <w:rFonts w:cstheme="minorHAnsi"/>
        </w:rPr>
      </w:pPr>
      <w:r w:rsidRPr="00EF40A1">
        <w:rPr>
          <w:rStyle w:val="fontstyle01"/>
          <w:rFonts w:asciiTheme="minorHAnsi" w:eastAsia="Times New Roman" w:hAnsiTheme="minorHAnsi" w:cstheme="minorHAnsi"/>
          <w:color w:val="auto"/>
          <w:sz w:val="22"/>
          <w:szCs w:val="22"/>
          <w:lang w:val="en-GB" w:eastAsia="en-GB"/>
        </w:rPr>
        <w:t>Appendix Fig. 2.</w:t>
      </w:r>
      <w:r w:rsidRPr="00EF40A1">
        <w:rPr>
          <w:rStyle w:val="fontstyle01"/>
          <w:rFonts w:asciiTheme="minorHAnsi" w:eastAsia="Times New Roman" w:hAnsiTheme="minorHAnsi" w:cstheme="minorHAnsi"/>
          <w:color w:val="auto"/>
          <w:sz w:val="21"/>
          <w:szCs w:val="21"/>
          <w:lang w:val="en-GB" w:eastAsia="en-GB"/>
        </w:rPr>
        <w:t xml:space="preserve"> </w:t>
      </w:r>
      <w:r w:rsidRPr="00EF40A1">
        <w:rPr>
          <w:rFonts w:cstheme="minorHAnsi"/>
        </w:rPr>
        <w:t xml:space="preserve">Patterns of </w:t>
      </w:r>
      <w:r w:rsidRPr="00EF40A1">
        <w:rPr>
          <w:rFonts w:cstheme="minorHAnsi"/>
          <w:i/>
          <w:iCs/>
        </w:rPr>
        <w:t>extensive obvious decay</w:t>
      </w:r>
      <w:r w:rsidRPr="00EF40A1">
        <w:rPr>
          <w:rFonts w:cstheme="minorHAnsi"/>
        </w:rPr>
        <w:t xml:space="preserve"> experience (ICDAS 5-6) by surface amongst 15-year-olds in England, Wales, and Northern Ireland, 2013 (n=2,160)</w:t>
      </w:r>
    </w:p>
    <w:p w14:paraId="431F1784" w14:textId="77777777" w:rsidR="00F82E5A" w:rsidRPr="00A81D58" w:rsidRDefault="00F82E5A" w:rsidP="00F82E5A">
      <w:pPr>
        <w:suppressLineNumbers/>
        <w:spacing w:after="120" w:line="36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EF40A1">
        <w:rPr>
          <w:rStyle w:val="fontstyle01"/>
          <w:rFonts w:asciiTheme="minorHAnsi" w:eastAsia="Times New Roman" w:hAnsiTheme="minorHAnsi" w:cstheme="minorHAnsi"/>
          <w:color w:val="auto"/>
          <w:sz w:val="22"/>
          <w:szCs w:val="22"/>
          <w:lang w:val="en-GB" w:eastAsia="en-GB"/>
        </w:rPr>
        <w:t>Appendix</w:t>
      </w:r>
      <w:r w:rsidRPr="00EF40A1">
        <w:rPr>
          <w:rFonts w:cstheme="minorHAnsi"/>
        </w:rPr>
        <w:t xml:space="preserve"> Table. Distribution of ICDAS code in clusters of different decay experience level among four diagnostic thresholds</w:t>
      </w:r>
    </w:p>
    <w:p w14:paraId="6DBFA9E9" w14:textId="77777777" w:rsidR="00D955B1" w:rsidRDefault="00F82E5A"/>
    <w:sectPr w:rsidR="00D955B1" w:rsidSect="0036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5A"/>
    <w:rsid w:val="000D0962"/>
    <w:rsid w:val="00754BD9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69E9"/>
  <w15:chartTrackingRefBased/>
  <w15:docId w15:val="{8CD0247F-5E1B-452C-97AD-5C1918B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E5A"/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F82E5A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Gloystein</dc:creator>
  <cp:keywords/>
  <dc:description/>
  <cp:lastModifiedBy>Kathrin Gloystein</cp:lastModifiedBy>
  <cp:revision>1</cp:revision>
  <dcterms:created xsi:type="dcterms:W3CDTF">2021-08-10T10:11:00Z</dcterms:created>
  <dcterms:modified xsi:type="dcterms:W3CDTF">2021-08-10T10:11:00Z</dcterms:modified>
</cp:coreProperties>
</file>