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0017" w14:textId="77777777" w:rsidR="00025866" w:rsidRDefault="00516ADD">
      <w:pPr>
        <w:spacing w:after="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SUPPLEMENTARY MATERIAL</w:t>
      </w:r>
    </w:p>
    <w:p w14:paraId="57B5637F" w14:textId="3BC35AF0" w:rsidR="00025866" w:rsidRPr="002057A9" w:rsidRDefault="00516ADD">
      <w:pPr>
        <w:spacing w:beforeAutospacing="1" w:after="158" w:line="480" w:lineRule="auto"/>
        <w:rPr>
          <w:rFonts w:eastAsia="Times New Roman" w:cs="Calibri"/>
          <w:lang w:val="en-US"/>
        </w:rPr>
      </w:pPr>
      <w:r w:rsidRPr="002057A9">
        <w:rPr>
          <w:b/>
          <w:szCs w:val="20"/>
          <w:lang w:val="en-US"/>
        </w:rPr>
        <w:t xml:space="preserve">Table S1: </w:t>
      </w:r>
      <w:r w:rsidRPr="002057A9">
        <w:rPr>
          <w:rFonts w:eastAsia="Times New Roman" w:cs="Calibri"/>
          <w:lang w:val="en-US"/>
        </w:rPr>
        <w:t xml:space="preserve">Demographic and clinical characteristics of the study sample (363 women). </w:t>
      </w:r>
    </w:p>
    <w:tbl>
      <w:tblPr>
        <w:tblW w:w="8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932"/>
        <w:gridCol w:w="1672"/>
        <w:gridCol w:w="1494"/>
      </w:tblGrid>
      <w:tr w:rsidR="00025866" w14:paraId="501BBB34" w14:textId="77777777">
        <w:trPr>
          <w:trHeight w:val="75"/>
        </w:trPr>
        <w:tc>
          <w:tcPr>
            <w:tcW w:w="3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6E3C3" w14:textId="77777777" w:rsidR="00025866" w:rsidRDefault="00025866">
            <w:pPr>
              <w:spacing w:beforeAutospacing="1" w:after="0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574CADDE" w14:textId="77777777" w:rsidR="00025866" w:rsidRDefault="00025866">
            <w:pPr>
              <w:spacing w:beforeAutospacing="1" w:after="0"/>
              <w:rPr>
                <w:rFonts w:eastAsia="Times New Roman" w:cs="Calibri"/>
                <w:sz w:val="24"/>
                <w:szCs w:val="24"/>
                <w:lang w:val="en-US"/>
              </w:rPr>
            </w:pPr>
          </w:p>
          <w:p w14:paraId="33B70B6B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DE5AF" w14:textId="77777777" w:rsidR="00025866" w:rsidRDefault="00516ADD">
            <w:pPr>
              <w:spacing w:beforeAutospacing="1" w:after="0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Outcome present</w:t>
            </w:r>
          </w:p>
          <w:p w14:paraId="31A12DF0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(n= 47)</w:t>
            </w:r>
          </w:p>
        </w:tc>
        <w:tc>
          <w:tcPr>
            <w:tcW w:w="16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C0EFB" w14:textId="77777777" w:rsidR="00025866" w:rsidRDefault="00516ADD">
            <w:pPr>
              <w:spacing w:beforeAutospacing="1" w:after="0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Outcome absent</w:t>
            </w:r>
          </w:p>
          <w:p w14:paraId="3F876EE7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(n= 316)</w:t>
            </w:r>
          </w:p>
        </w:tc>
        <w:tc>
          <w:tcPr>
            <w:tcW w:w="14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664D7" w14:textId="77777777" w:rsidR="00025866" w:rsidRDefault="00516ADD">
            <w:pPr>
              <w:spacing w:beforeAutospacing="1" w:after="0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Significant difference</w:t>
            </w:r>
          </w:p>
          <w:p w14:paraId="75476C89" w14:textId="77777777" w:rsidR="00025866" w:rsidRDefault="00516ADD">
            <w:pPr>
              <w:spacing w:beforeAutospacing="1" w:after="144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(p&lt; 0.05)</w:t>
            </w:r>
          </w:p>
        </w:tc>
      </w:tr>
      <w:tr w:rsidR="00025866" w14:paraId="4DBE5935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52E9A869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 xml:space="preserve">Number of measurements </w:t>
            </w:r>
          </w:p>
        </w:tc>
        <w:tc>
          <w:tcPr>
            <w:tcW w:w="1932" w:type="dxa"/>
            <w:shd w:val="clear" w:color="auto" w:fill="FFFFFF"/>
          </w:tcPr>
          <w:p w14:paraId="68EE9AE9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 (1-2)</w:t>
            </w:r>
          </w:p>
        </w:tc>
        <w:tc>
          <w:tcPr>
            <w:tcW w:w="1672" w:type="dxa"/>
            <w:shd w:val="clear" w:color="auto" w:fill="auto"/>
          </w:tcPr>
          <w:p w14:paraId="24B9C386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1 (1-2)</w:t>
            </w:r>
          </w:p>
        </w:tc>
        <w:tc>
          <w:tcPr>
            <w:tcW w:w="1494" w:type="dxa"/>
            <w:shd w:val="clear" w:color="auto" w:fill="auto"/>
          </w:tcPr>
          <w:p w14:paraId="058EAE38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4B240933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1A712F4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932" w:type="dxa"/>
            <w:shd w:val="clear" w:color="auto" w:fill="FFFFFF"/>
          </w:tcPr>
          <w:p w14:paraId="03309024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34 (29-38)</w:t>
            </w:r>
          </w:p>
        </w:tc>
        <w:tc>
          <w:tcPr>
            <w:tcW w:w="1672" w:type="dxa"/>
            <w:shd w:val="clear" w:color="auto" w:fill="auto"/>
          </w:tcPr>
          <w:p w14:paraId="79166F85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34 (30-38)</w:t>
            </w:r>
          </w:p>
        </w:tc>
        <w:tc>
          <w:tcPr>
            <w:tcW w:w="1494" w:type="dxa"/>
            <w:shd w:val="clear" w:color="auto" w:fill="auto"/>
          </w:tcPr>
          <w:p w14:paraId="6CC1353B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55FF788C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4081D19A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BMI (kg/m</w:t>
            </w:r>
            <w:r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32" w:type="dxa"/>
            <w:shd w:val="clear" w:color="auto" w:fill="FFFFFF"/>
          </w:tcPr>
          <w:p w14:paraId="4F52E63F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29.7 (27.7-30.8)</w:t>
            </w:r>
          </w:p>
        </w:tc>
        <w:tc>
          <w:tcPr>
            <w:tcW w:w="1672" w:type="dxa"/>
            <w:shd w:val="clear" w:color="auto" w:fill="auto"/>
          </w:tcPr>
          <w:p w14:paraId="3A57EEE8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29,7 (26,2 – 34,3)</w:t>
            </w:r>
          </w:p>
        </w:tc>
        <w:tc>
          <w:tcPr>
            <w:tcW w:w="1494" w:type="dxa"/>
            <w:shd w:val="clear" w:color="auto" w:fill="auto"/>
          </w:tcPr>
          <w:p w14:paraId="5A7502F6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30264BE7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44C08340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Pre-existing diabetes, n (%)</w:t>
            </w:r>
          </w:p>
        </w:tc>
        <w:tc>
          <w:tcPr>
            <w:tcW w:w="1932" w:type="dxa"/>
            <w:shd w:val="clear" w:color="auto" w:fill="FFFFFF"/>
          </w:tcPr>
          <w:p w14:paraId="287819C6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 (2.1%)</w:t>
            </w:r>
          </w:p>
        </w:tc>
        <w:tc>
          <w:tcPr>
            <w:tcW w:w="1672" w:type="dxa"/>
            <w:shd w:val="clear" w:color="auto" w:fill="auto"/>
          </w:tcPr>
          <w:p w14:paraId="22818D82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18 (5,7%)</w:t>
            </w:r>
          </w:p>
        </w:tc>
        <w:tc>
          <w:tcPr>
            <w:tcW w:w="1494" w:type="dxa"/>
            <w:shd w:val="clear" w:color="auto" w:fill="auto"/>
          </w:tcPr>
          <w:p w14:paraId="5F1E8021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36FE1B2D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483AB58F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Nulliparity, n (%)</w:t>
            </w:r>
          </w:p>
        </w:tc>
        <w:tc>
          <w:tcPr>
            <w:tcW w:w="1932" w:type="dxa"/>
            <w:shd w:val="clear" w:color="auto" w:fill="FFFFFF"/>
          </w:tcPr>
          <w:p w14:paraId="0F540439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 (85.1%)</w:t>
            </w:r>
          </w:p>
        </w:tc>
        <w:tc>
          <w:tcPr>
            <w:tcW w:w="1672" w:type="dxa"/>
            <w:shd w:val="clear" w:color="auto" w:fill="auto"/>
          </w:tcPr>
          <w:p w14:paraId="2532A6F2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194 (61,4%)</w:t>
            </w:r>
          </w:p>
        </w:tc>
        <w:tc>
          <w:tcPr>
            <w:tcW w:w="1494" w:type="dxa"/>
            <w:shd w:val="clear" w:color="auto" w:fill="auto"/>
          </w:tcPr>
          <w:p w14:paraId="233B5A26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2F65F9CC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4D65701A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 vitro fertilization, n (%)</w:t>
            </w:r>
          </w:p>
        </w:tc>
        <w:tc>
          <w:tcPr>
            <w:tcW w:w="1932" w:type="dxa"/>
            <w:shd w:val="clear" w:color="auto" w:fill="FFFFFF"/>
          </w:tcPr>
          <w:p w14:paraId="478A7EB8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 (6.4%)</w:t>
            </w:r>
          </w:p>
        </w:tc>
        <w:tc>
          <w:tcPr>
            <w:tcW w:w="1672" w:type="dxa"/>
            <w:shd w:val="clear" w:color="auto" w:fill="auto"/>
          </w:tcPr>
          <w:p w14:paraId="272C3A8D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26(8,2%)</w:t>
            </w:r>
          </w:p>
        </w:tc>
        <w:tc>
          <w:tcPr>
            <w:tcW w:w="1494" w:type="dxa"/>
            <w:shd w:val="clear" w:color="auto" w:fill="auto"/>
          </w:tcPr>
          <w:p w14:paraId="66CF07AA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5C2243B0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762CD64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PE in previous pregnancy, n (%)</w:t>
            </w:r>
          </w:p>
        </w:tc>
        <w:tc>
          <w:tcPr>
            <w:tcW w:w="1932" w:type="dxa"/>
            <w:shd w:val="clear" w:color="auto" w:fill="FFFFFF"/>
          </w:tcPr>
          <w:p w14:paraId="31266E51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 (2.1%)</w:t>
            </w:r>
          </w:p>
        </w:tc>
        <w:tc>
          <w:tcPr>
            <w:tcW w:w="1672" w:type="dxa"/>
            <w:shd w:val="clear" w:color="auto" w:fill="auto"/>
          </w:tcPr>
          <w:p w14:paraId="2A62D632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28 (8,9%)</w:t>
            </w:r>
          </w:p>
        </w:tc>
        <w:tc>
          <w:tcPr>
            <w:tcW w:w="1494" w:type="dxa"/>
            <w:shd w:val="clear" w:color="auto" w:fill="auto"/>
          </w:tcPr>
          <w:p w14:paraId="2CBFFB8E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1F5E07D2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298B8D42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Chronic hypertension, n (%)</w:t>
            </w:r>
          </w:p>
        </w:tc>
        <w:tc>
          <w:tcPr>
            <w:tcW w:w="1932" w:type="dxa"/>
            <w:shd w:val="clear" w:color="auto" w:fill="FFFFFF"/>
          </w:tcPr>
          <w:p w14:paraId="69B6DA0A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 (12.8%)</w:t>
            </w:r>
          </w:p>
        </w:tc>
        <w:tc>
          <w:tcPr>
            <w:tcW w:w="1672" w:type="dxa"/>
            <w:shd w:val="clear" w:color="auto" w:fill="auto"/>
          </w:tcPr>
          <w:p w14:paraId="26D7B343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24 (7,6%)</w:t>
            </w:r>
          </w:p>
        </w:tc>
        <w:tc>
          <w:tcPr>
            <w:tcW w:w="1494" w:type="dxa"/>
            <w:shd w:val="clear" w:color="auto" w:fill="auto"/>
          </w:tcPr>
          <w:p w14:paraId="3C04CDF5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39397748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755ED8A1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Intrauterine growth restriction, n (%)</w:t>
            </w:r>
          </w:p>
        </w:tc>
        <w:tc>
          <w:tcPr>
            <w:tcW w:w="1932" w:type="dxa"/>
            <w:shd w:val="clear" w:color="auto" w:fill="FFFFFF"/>
          </w:tcPr>
          <w:p w14:paraId="52A9946B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15 (31.9%)</w:t>
            </w:r>
          </w:p>
        </w:tc>
        <w:tc>
          <w:tcPr>
            <w:tcW w:w="1672" w:type="dxa"/>
            <w:shd w:val="clear" w:color="auto" w:fill="auto"/>
          </w:tcPr>
          <w:p w14:paraId="4EAFB77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63 (19,9%)</w:t>
            </w:r>
          </w:p>
        </w:tc>
        <w:tc>
          <w:tcPr>
            <w:tcW w:w="1494" w:type="dxa"/>
            <w:shd w:val="clear" w:color="auto" w:fill="auto"/>
          </w:tcPr>
          <w:p w14:paraId="461F48D2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1FC8BD01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6CA1DA92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Platelets (10</w:t>
            </w:r>
            <w:r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μl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32" w:type="dxa"/>
            <w:shd w:val="clear" w:color="auto" w:fill="FFFFFF"/>
          </w:tcPr>
          <w:p w14:paraId="184B15F1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201 (178-214)</w:t>
            </w:r>
          </w:p>
        </w:tc>
        <w:tc>
          <w:tcPr>
            <w:tcW w:w="1672" w:type="dxa"/>
            <w:shd w:val="clear" w:color="auto" w:fill="auto"/>
          </w:tcPr>
          <w:p w14:paraId="13957E9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239 (200 – 283)</w:t>
            </w:r>
          </w:p>
        </w:tc>
        <w:tc>
          <w:tcPr>
            <w:tcW w:w="1494" w:type="dxa"/>
            <w:shd w:val="clear" w:color="auto" w:fill="auto"/>
          </w:tcPr>
          <w:p w14:paraId="6927327C" w14:textId="77777777" w:rsidR="00025866" w:rsidRDefault="00516ADD">
            <w:pPr>
              <w:spacing w:beforeAutospacing="1" w:after="144"/>
              <w:rPr>
                <w:rFonts w:eastAsia="Times New Roman" w:cs="Calibri"/>
                <w:sz w:val="20"/>
                <w:szCs w:val="20"/>
                <w:lang w:val="ca-ES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667295F3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73078FCC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Data at delivery</w:t>
            </w:r>
          </w:p>
        </w:tc>
        <w:tc>
          <w:tcPr>
            <w:tcW w:w="1932" w:type="dxa"/>
            <w:shd w:val="clear" w:color="auto" w:fill="FFFFFF"/>
          </w:tcPr>
          <w:p w14:paraId="04248D68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ca-ES"/>
              </w:rPr>
              <w:t> </w:t>
            </w:r>
          </w:p>
        </w:tc>
        <w:tc>
          <w:tcPr>
            <w:tcW w:w="1672" w:type="dxa"/>
            <w:shd w:val="clear" w:color="auto" w:fill="auto"/>
          </w:tcPr>
          <w:p w14:paraId="095191D9" w14:textId="77777777" w:rsidR="00025866" w:rsidRDefault="00025866">
            <w:pPr>
              <w:spacing w:beforeAutospacing="1" w:after="144"/>
              <w:rPr>
                <w:rFonts w:eastAsia="Times New Roman" w:cs="Calibri"/>
                <w:sz w:val="20"/>
                <w:szCs w:val="20"/>
                <w:lang w:val="ca-ES"/>
              </w:rPr>
            </w:pPr>
          </w:p>
        </w:tc>
        <w:tc>
          <w:tcPr>
            <w:tcW w:w="1494" w:type="dxa"/>
            <w:shd w:val="clear" w:color="auto" w:fill="auto"/>
          </w:tcPr>
          <w:p w14:paraId="1954D4C0" w14:textId="77777777" w:rsidR="00025866" w:rsidRDefault="00025866">
            <w:pPr>
              <w:spacing w:beforeAutospacing="1" w:after="144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25866" w14:paraId="748ED1D3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54EF8110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GA (weeks)</w:t>
            </w:r>
          </w:p>
        </w:tc>
        <w:tc>
          <w:tcPr>
            <w:tcW w:w="1932" w:type="dxa"/>
            <w:shd w:val="clear" w:color="auto" w:fill="FFFFFF"/>
          </w:tcPr>
          <w:p w14:paraId="03373156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32.0 (30.8-31.9)</w:t>
            </w:r>
          </w:p>
        </w:tc>
        <w:tc>
          <w:tcPr>
            <w:tcW w:w="1672" w:type="dxa"/>
            <w:shd w:val="clear" w:color="auto" w:fill="auto"/>
          </w:tcPr>
          <w:p w14:paraId="776C60A5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38.4 (37.0-39.9)</w:t>
            </w:r>
          </w:p>
        </w:tc>
        <w:tc>
          <w:tcPr>
            <w:tcW w:w="1494" w:type="dxa"/>
            <w:shd w:val="clear" w:color="auto" w:fill="auto"/>
          </w:tcPr>
          <w:p w14:paraId="13C480D3" w14:textId="77777777" w:rsidR="00025866" w:rsidRDefault="00516ADD">
            <w:pPr>
              <w:spacing w:beforeAutospacing="1" w:after="144"/>
              <w:rPr>
                <w:rFonts w:eastAsia="Times New Roman" w:cs="Calibri"/>
                <w:sz w:val="20"/>
                <w:szCs w:val="20"/>
                <w:lang w:val="ca-ES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40580E14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26148E2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Hypertension, n (%)</w:t>
            </w:r>
          </w:p>
        </w:tc>
        <w:tc>
          <w:tcPr>
            <w:tcW w:w="1932" w:type="dxa"/>
            <w:shd w:val="clear" w:color="auto" w:fill="FFFFFF"/>
          </w:tcPr>
          <w:p w14:paraId="7D9F3E5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sz w:val="20"/>
                <w:szCs w:val="20"/>
              </w:rPr>
              <w:t>31 (66,0%)</w:t>
            </w:r>
          </w:p>
        </w:tc>
        <w:tc>
          <w:tcPr>
            <w:tcW w:w="1672" w:type="dxa"/>
            <w:shd w:val="clear" w:color="auto" w:fill="auto"/>
          </w:tcPr>
          <w:p w14:paraId="61289D2C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59 (18,7%)</w:t>
            </w:r>
          </w:p>
        </w:tc>
        <w:tc>
          <w:tcPr>
            <w:tcW w:w="1494" w:type="dxa"/>
            <w:shd w:val="clear" w:color="auto" w:fill="auto"/>
          </w:tcPr>
          <w:p w14:paraId="6E229918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2E9C63FE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0D20DF86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Proteinuria, n (%)</w:t>
            </w:r>
          </w:p>
        </w:tc>
        <w:tc>
          <w:tcPr>
            <w:tcW w:w="1932" w:type="dxa"/>
            <w:shd w:val="clear" w:color="auto" w:fill="FFFFFF"/>
          </w:tcPr>
          <w:p w14:paraId="412BCB61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39 (83.0%)</w:t>
            </w:r>
          </w:p>
        </w:tc>
        <w:tc>
          <w:tcPr>
            <w:tcW w:w="1672" w:type="dxa"/>
            <w:shd w:val="clear" w:color="auto" w:fill="auto"/>
          </w:tcPr>
          <w:p w14:paraId="48262ED1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sz w:val="20"/>
                <w:szCs w:val="20"/>
              </w:rPr>
              <w:t>23 (7,3%)</w:t>
            </w:r>
          </w:p>
        </w:tc>
        <w:tc>
          <w:tcPr>
            <w:tcW w:w="1494" w:type="dxa"/>
            <w:shd w:val="clear" w:color="auto" w:fill="auto"/>
          </w:tcPr>
          <w:p w14:paraId="7BDED4F3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16B486BD" w14:textId="77777777">
        <w:trPr>
          <w:trHeight w:val="90"/>
        </w:trPr>
        <w:tc>
          <w:tcPr>
            <w:tcW w:w="5342" w:type="dxa"/>
            <w:gridSpan w:val="2"/>
            <w:shd w:val="clear" w:color="auto" w:fill="FFFFFF"/>
          </w:tcPr>
          <w:p w14:paraId="40B4C889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Reason for suspected preeclampsia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§</w:t>
            </w:r>
          </w:p>
        </w:tc>
        <w:tc>
          <w:tcPr>
            <w:tcW w:w="1672" w:type="dxa"/>
            <w:shd w:val="clear" w:color="auto" w:fill="auto"/>
          </w:tcPr>
          <w:p w14:paraId="727E11A0" w14:textId="77777777" w:rsidR="00025866" w:rsidRDefault="00025866">
            <w:pPr>
              <w:spacing w:beforeAutospacing="1" w:after="144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shd w:val="clear" w:color="auto" w:fill="auto"/>
          </w:tcPr>
          <w:p w14:paraId="69770981" w14:textId="77777777" w:rsidR="00025866" w:rsidRDefault="00025866">
            <w:pPr>
              <w:spacing w:beforeAutospacing="1" w:after="144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25866" w14:paraId="1531A4E2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26A1B137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New-onset hypertension, n (%)</w:t>
            </w:r>
          </w:p>
        </w:tc>
        <w:tc>
          <w:tcPr>
            <w:tcW w:w="1932" w:type="dxa"/>
            <w:shd w:val="clear" w:color="auto" w:fill="FFFFFF"/>
          </w:tcPr>
          <w:p w14:paraId="2418596F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33 (70.2%)</w:t>
            </w:r>
          </w:p>
        </w:tc>
        <w:tc>
          <w:tcPr>
            <w:tcW w:w="1672" w:type="dxa"/>
            <w:shd w:val="clear" w:color="auto" w:fill="auto"/>
          </w:tcPr>
          <w:p w14:paraId="552BB19E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152 (48.1%)</w:t>
            </w:r>
          </w:p>
        </w:tc>
        <w:tc>
          <w:tcPr>
            <w:tcW w:w="1494" w:type="dxa"/>
            <w:shd w:val="clear" w:color="auto" w:fill="auto"/>
          </w:tcPr>
          <w:p w14:paraId="0849E061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3A4CEB3A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2C8F3C0F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Worsening of chronic hypertension, n (%)</w:t>
            </w:r>
          </w:p>
        </w:tc>
        <w:tc>
          <w:tcPr>
            <w:tcW w:w="1932" w:type="dxa"/>
            <w:shd w:val="clear" w:color="auto" w:fill="FFFFFF"/>
          </w:tcPr>
          <w:p w14:paraId="0DFFC9A5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 (8.5%)</w:t>
            </w:r>
          </w:p>
        </w:tc>
        <w:tc>
          <w:tcPr>
            <w:tcW w:w="1672" w:type="dxa"/>
            <w:shd w:val="clear" w:color="auto" w:fill="auto"/>
          </w:tcPr>
          <w:p w14:paraId="28E76947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5 (1.6%)</w:t>
            </w:r>
          </w:p>
        </w:tc>
        <w:tc>
          <w:tcPr>
            <w:tcW w:w="1494" w:type="dxa"/>
            <w:shd w:val="clear" w:color="auto" w:fill="auto"/>
          </w:tcPr>
          <w:p w14:paraId="50BE9452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34432C91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33E8D6F4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New-onset proteinuria, n (%)</w:t>
            </w:r>
          </w:p>
        </w:tc>
        <w:tc>
          <w:tcPr>
            <w:tcW w:w="1932" w:type="dxa"/>
            <w:shd w:val="clear" w:color="auto" w:fill="FFFFFF"/>
          </w:tcPr>
          <w:p w14:paraId="068B220A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33 (68.1%)</w:t>
            </w:r>
          </w:p>
        </w:tc>
        <w:tc>
          <w:tcPr>
            <w:tcW w:w="1672" w:type="dxa"/>
            <w:shd w:val="clear" w:color="auto" w:fill="auto"/>
          </w:tcPr>
          <w:p w14:paraId="22A5937B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53 (16.8%)</w:t>
            </w:r>
          </w:p>
        </w:tc>
        <w:tc>
          <w:tcPr>
            <w:tcW w:w="1494" w:type="dxa"/>
            <w:shd w:val="clear" w:color="auto" w:fill="auto"/>
          </w:tcPr>
          <w:p w14:paraId="451791DA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3E44CF2B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10117E63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Intrauterine growth restriction, n (%)</w:t>
            </w:r>
          </w:p>
        </w:tc>
        <w:tc>
          <w:tcPr>
            <w:tcW w:w="1932" w:type="dxa"/>
            <w:shd w:val="clear" w:color="auto" w:fill="FFFFFF"/>
          </w:tcPr>
          <w:p w14:paraId="0A2A48ED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14 (29.8%)</w:t>
            </w:r>
          </w:p>
        </w:tc>
        <w:tc>
          <w:tcPr>
            <w:tcW w:w="1672" w:type="dxa"/>
            <w:shd w:val="clear" w:color="auto" w:fill="auto"/>
          </w:tcPr>
          <w:p w14:paraId="133C5EFA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42 (13.3%)</w:t>
            </w:r>
          </w:p>
        </w:tc>
        <w:tc>
          <w:tcPr>
            <w:tcW w:w="1494" w:type="dxa"/>
            <w:shd w:val="clear" w:color="auto" w:fill="auto"/>
          </w:tcPr>
          <w:p w14:paraId="0E145D1D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  <w:tr w:rsidR="00025866" w14:paraId="79AE43D6" w14:textId="77777777">
        <w:trPr>
          <w:trHeight w:val="90"/>
        </w:trPr>
        <w:tc>
          <w:tcPr>
            <w:tcW w:w="3410" w:type="dxa"/>
            <w:shd w:val="clear" w:color="auto" w:fill="FFFFFF"/>
          </w:tcPr>
          <w:p w14:paraId="70CC6FD9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Symptoms</w:t>
            </w:r>
            <w:r>
              <w:rPr>
                <w:rFonts w:eastAsia="Times New Roman" w:cs="Calibri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¶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932" w:type="dxa"/>
            <w:shd w:val="clear" w:color="auto" w:fill="FFFFFF"/>
          </w:tcPr>
          <w:p w14:paraId="6DEBBFC1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 (6.4%)</w:t>
            </w:r>
          </w:p>
        </w:tc>
        <w:tc>
          <w:tcPr>
            <w:tcW w:w="1672" w:type="dxa"/>
            <w:shd w:val="clear" w:color="auto" w:fill="auto"/>
          </w:tcPr>
          <w:p w14:paraId="08284CEC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42 (13.3%)</w:t>
            </w:r>
          </w:p>
        </w:tc>
        <w:tc>
          <w:tcPr>
            <w:tcW w:w="1494" w:type="dxa"/>
            <w:shd w:val="clear" w:color="auto" w:fill="auto"/>
          </w:tcPr>
          <w:p w14:paraId="0D1BAC50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No</w:t>
            </w:r>
          </w:p>
        </w:tc>
      </w:tr>
      <w:tr w:rsidR="00025866" w14:paraId="33A420F2" w14:textId="77777777">
        <w:trPr>
          <w:trHeight w:val="75"/>
        </w:trPr>
        <w:tc>
          <w:tcPr>
            <w:tcW w:w="3410" w:type="dxa"/>
            <w:tcBorders>
              <w:bottom w:val="single" w:sz="8" w:space="0" w:color="000000"/>
            </w:tcBorders>
            <w:shd w:val="clear" w:color="auto" w:fill="FFFFFF"/>
          </w:tcPr>
          <w:p w14:paraId="2D6D7396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Abnormal uterine perfusion, n (%)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  <w:shd w:val="clear" w:color="auto" w:fill="FFFFFF"/>
          </w:tcPr>
          <w:p w14:paraId="5AF80B4C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lang w:val="ca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9 (19.1%)</w:t>
            </w:r>
          </w:p>
        </w:tc>
        <w:tc>
          <w:tcPr>
            <w:tcW w:w="1672" w:type="dxa"/>
            <w:tcBorders>
              <w:bottom w:val="single" w:sz="8" w:space="0" w:color="000000"/>
            </w:tcBorders>
            <w:shd w:val="clear" w:color="auto" w:fill="auto"/>
          </w:tcPr>
          <w:p w14:paraId="78D63939" w14:textId="77777777" w:rsidR="00025866" w:rsidRDefault="00516ADD">
            <w:pPr>
              <w:spacing w:beforeAutospacing="1" w:after="144"/>
              <w:rPr>
                <w:rFonts w:eastAsia="Times New Roman" w:cs="Calibri"/>
                <w:sz w:val="24"/>
                <w:szCs w:val="24"/>
                <w:highlight w:val="yellow"/>
                <w:lang w:val="ca-ES"/>
              </w:rPr>
            </w:pPr>
            <w:r>
              <w:rPr>
                <w:rFonts w:eastAsia="Times New Roman" w:cs="Calibri"/>
                <w:sz w:val="20"/>
                <w:szCs w:val="20"/>
                <w:lang w:val="ca-ES"/>
              </w:rPr>
              <w:t>113 (35.8%)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  <w:shd w:val="clear" w:color="auto" w:fill="auto"/>
          </w:tcPr>
          <w:p w14:paraId="4D5E3F02" w14:textId="77777777" w:rsidR="00025866" w:rsidRDefault="00516ADD">
            <w:pPr>
              <w:spacing w:beforeAutospacing="1" w:after="14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ca-ES"/>
              </w:rPr>
              <w:t>Yes</w:t>
            </w:r>
            <w:proofErr w:type="spellEnd"/>
          </w:p>
        </w:tc>
      </w:tr>
    </w:tbl>
    <w:p w14:paraId="3A90A900" w14:textId="1E60B96D" w:rsidR="00025866" w:rsidRPr="002057A9" w:rsidRDefault="00516ADD">
      <w:pPr>
        <w:spacing w:after="0" w:line="480" w:lineRule="auto"/>
        <w:rPr>
          <w:sz w:val="20"/>
          <w:szCs w:val="20"/>
          <w:lang w:val="en-US"/>
        </w:rPr>
      </w:pPr>
      <w:r w:rsidRPr="002057A9">
        <w:rPr>
          <w:bCs/>
          <w:szCs w:val="20"/>
          <w:lang w:val="en-US"/>
        </w:rPr>
        <w:t xml:space="preserve">Data are given as median (interquartile range) or %. </w:t>
      </w:r>
      <w:r w:rsidR="00091E8D" w:rsidRPr="002057A9">
        <w:rPr>
          <w:rFonts w:eastAsia="Times New Roman" w:cs="Calibri"/>
          <w:lang w:val="en-US"/>
        </w:rPr>
        <w:t xml:space="preserve">Outcome present if early-onset preeclampsia leading to delivery within one week from last measurement. </w:t>
      </w:r>
      <w:r w:rsidRPr="002057A9">
        <w:rPr>
          <w:bCs/>
          <w:szCs w:val="20"/>
          <w:lang w:val="en-US"/>
        </w:rPr>
        <w:t xml:space="preserve">§: There may have </w:t>
      </w:r>
      <w:r w:rsidRPr="002057A9">
        <w:rPr>
          <w:bCs/>
          <w:szCs w:val="20"/>
          <w:lang w:val="en-US"/>
        </w:rPr>
        <w:lastRenderedPageBreak/>
        <w:t>been more than one reason for suspected preeclampsia. ¶: The majority of symptoms were feet edema. GA, gestational age; BP, blood pressure.</w:t>
      </w:r>
    </w:p>
    <w:p w14:paraId="5AB02A9B" w14:textId="6BA51BE8" w:rsidR="00025866" w:rsidRPr="002057A9" w:rsidRDefault="00516ADD">
      <w:pPr>
        <w:spacing w:beforeAutospacing="1" w:after="202" w:line="480" w:lineRule="auto"/>
        <w:rPr>
          <w:rFonts w:eastAsia="Times New Roman" w:cs="Calibri"/>
          <w:lang w:val="en-US"/>
        </w:rPr>
      </w:pPr>
      <w:r w:rsidRPr="002057A9">
        <w:rPr>
          <w:rFonts w:eastAsia="Times New Roman" w:cs="Calibri"/>
          <w:b/>
          <w:bCs/>
          <w:color w:val="000000"/>
          <w:lang w:val="en-US"/>
        </w:rPr>
        <w:t xml:space="preserve">Table S2: </w:t>
      </w:r>
      <w:r w:rsidRPr="002057A9">
        <w:rPr>
          <w:rFonts w:eastAsia="Times New Roman" w:cs="Calibri"/>
          <w:color w:val="000000"/>
          <w:lang w:val="en-US"/>
        </w:rPr>
        <w:t xml:space="preserve">Marker median values at each gestational week and their formulae. </w:t>
      </w:r>
    </w:p>
    <w:tbl>
      <w:tblPr>
        <w:tblStyle w:val="TableGridLight"/>
        <w:tblW w:w="9885" w:type="dxa"/>
        <w:tblLook w:val="04A0" w:firstRow="1" w:lastRow="0" w:firstColumn="1" w:lastColumn="0" w:noHBand="0" w:noVBand="1"/>
      </w:tblPr>
      <w:tblGrid>
        <w:gridCol w:w="1445"/>
        <w:gridCol w:w="834"/>
        <w:gridCol w:w="834"/>
        <w:gridCol w:w="835"/>
        <w:gridCol w:w="1269"/>
        <w:gridCol w:w="3363"/>
        <w:gridCol w:w="1305"/>
      </w:tblGrid>
      <w:tr w:rsidR="00025866" w14:paraId="40750552" w14:textId="77777777" w:rsidTr="002057A9">
        <w:tc>
          <w:tcPr>
            <w:tcW w:w="1445" w:type="dxa"/>
            <w:vMerge w:val="restart"/>
            <w:shd w:val="clear" w:color="auto" w:fill="auto"/>
          </w:tcPr>
          <w:p w14:paraId="335F72B2" w14:textId="77777777" w:rsidR="00025866" w:rsidRDefault="00516ADD">
            <w:pPr>
              <w:spacing w:before="115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772" w:type="dxa"/>
            <w:gridSpan w:val="4"/>
            <w:shd w:val="clear" w:color="auto" w:fill="auto"/>
          </w:tcPr>
          <w:p w14:paraId="6FBFF033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Gestational weeks + days</w:t>
            </w:r>
          </w:p>
        </w:tc>
        <w:tc>
          <w:tcPr>
            <w:tcW w:w="3363" w:type="dxa"/>
            <w:shd w:val="clear" w:color="auto" w:fill="auto"/>
          </w:tcPr>
          <w:p w14:paraId="316ED70E" w14:textId="77777777" w:rsidR="00025866" w:rsidRDefault="00516ADD">
            <w:pPr>
              <w:spacing w:before="115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Formula</w:t>
            </w:r>
          </w:p>
        </w:tc>
        <w:tc>
          <w:tcPr>
            <w:tcW w:w="1305" w:type="dxa"/>
            <w:shd w:val="clear" w:color="auto" w:fill="auto"/>
          </w:tcPr>
          <w:p w14:paraId="043CF7C0" w14:textId="77777777" w:rsidR="00025866" w:rsidRDefault="00516ADD">
            <w:pPr>
              <w:spacing w:before="115" w:after="202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31F9350D" w14:textId="77777777" w:rsidR="00025866" w:rsidRDefault="00516ADD">
            <w:pPr>
              <w:spacing w:before="115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(adjustment)</w:t>
            </w:r>
          </w:p>
        </w:tc>
      </w:tr>
      <w:tr w:rsidR="00025866" w14:paraId="6A3F0E60" w14:textId="77777777" w:rsidTr="002057A9">
        <w:tc>
          <w:tcPr>
            <w:tcW w:w="1445" w:type="dxa"/>
            <w:vMerge/>
            <w:shd w:val="clear" w:color="auto" w:fill="auto"/>
          </w:tcPr>
          <w:p w14:paraId="6459ED35" w14:textId="77777777" w:rsidR="00025866" w:rsidRDefault="000258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68EE02F6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28+0</w:t>
            </w:r>
          </w:p>
        </w:tc>
        <w:tc>
          <w:tcPr>
            <w:tcW w:w="834" w:type="dxa"/>
            <w:shd w:val="clear" w:color="auto" w:fill="auto"/>
          </w:tcPr>
          <w:p w14:paraId="0DF4891D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30+0</w:t>
            </w:r>
          </w:p>
        </w:tc>
        <w:tc>
          <w:tcPr>
            <w:tcW w:w="835" w:type="dxa"/>
            <w:shd w:val="clear" w:color="auto" w:fill="auto"/>
          </w:tcPr>
          <w:p w14:paraId="793CC6AB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32+0</w:t>
            </w:r>
          </w:p>
        </w:tc>
        <w:tc>
          <w:tcPr>
            <w:tcW w:w="1269" w:type="dxa"/>
            <w:shd w:val="clear" w:color="auto" w:fill="auto"/>
          </w:tcPr>
          <w:p w14:paraId="2B9E839C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33+4</w:t>
            </w:r>
          </w:p>
        </w:tc>
        <w:tc>
          <w:tcPr>
            <w:tcW w:w="3363" w:type="dxa"/>
            <w:shd w:val="clear" w:color="auto" w:fill="auto"/>
          </w:tcPr>
          <w:p w14:paraId="7B2BCA51" w14:textId="77777777" w:rsidR="00025866" w:rsidRDefault="000258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9FD6CAD" w14:textId="77777777" w:rsidR="00025866" w:rsidRDefault="0002586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25866" w14:paraId="5E48D15A" w14:textId="77777777" w:rsidTr="002057A9">
        <w:tc>
          <w:tcPr>
            <w:tcW w:w="1445" w:type="dxa"/>
            <w:shd w:val="clear" w:color="auto" w:fill="auto"/>
          </w:tcPr>
          <w:p w14:paraId="10175770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bCs/>
                <w:lang w:val="en-US"/>
              </w:rPr>
              <w:t>sFlt-1 (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pg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>/mL)</w:t>
            </w:r>
          </w:p>
        </w:tc>
        <w:tc>
          <w:tcPr>
            <w:tcW w:w="834" w:type="dxa"/>
            <w:shd w:val="clear" w:color="auto" w:fill="auto"/>
          </w:tcPr>
          <w:p w14:paraId="6A822001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1421.5</w:t>
            </w:r>
          </w:p>
        </w:tc>
        <w:tc>
          <w:tcPr>
            <w:tcW w:w="834" w:type="dxa"/>
            <w:shd w:val="clear" w:color="auto" w:fill="auto"/>
          </w:tcPr>
          <w:p w14:paraId="1D12A8AC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1633</w:t>
            </w:r>
          </w:p>
        </w:tc>
        <w:tc>
          <w:tcPr>
            <w:tcW w:w="835" w:type="dxa"/>
            <w:shd w:val="clear" w:color="auto" w:fill="auto"/>
          </w:tcPr>
          <w:p w14:paraId="6FDD8DF2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1886</w:t>
            </w:r>
          </w:p>
        </w:tc>
        <w:tc>
          <w:tcPr>
            <w:tcW w:w="1269" w:type="dxa"/>
            <w:shd w:val="clear" w:color="auto" w:fill="auto"/>
          </w:tcPr>
          <w:p w14:paraId="219B7759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2362</w:t>
            </w:r>
          </w:p>
        </w:tc>
        <w:tc>
          <w:tcPr>
            <w:tcW w:w="3363" w:type="dxa"/>
            <w:shd w:val="clear" w:color="auto" w:fill="auto"/>
          </w:tcPr>
          <w:p w14:paraId="643E63AD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F(X)= 21122.3650-203.8084X+0.5275X2</w:t>
            </w:r>
          </w:p>
        </w:tc>
        <w:tc>
          <w:tcPr>
            <w:tcW w:w="1305" w:type="dxa"/>
            <w:shd w:val="clear" w:color="auto" w:fill="auto"/>
          </w:tcPr>
          <w:p w14:paraId="4882D597" w14:textId="77777777" w:rsidR="00025866" w:rsidRPr="00D01B24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 w:rsidRPr="00D01B24">
              <w:rPr>
                <w:rFonts w:eastAsia="Times New Roman" w:cs="Calibri"/>
                <w:lang w:val="en-US"/>
              </w:rPr>
              <w:t>0.986</w:t>
            </w:r>
          </w:p>
        </w:tc>
      </w:tr>
      <w:tr w:rsidR="00025866" w14:paraId="00093F46" w14:textId="77777777" w:rsidTr="002057A9">
        <w:tc>
          <w:tcPr>
            <w:tcW w:w="1445" w:type="dxa"/>
            <w:shd w:val="clear" w:color="auto" w:fill="auto"/>
          </w:tcPr>
          <w:p w14:paraId="2A945F2F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PlGF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pg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>/mL)</w:t>
            </w:r>
          </w:p>
        </w:tc>
        <w:tc>
          <w:tcPr>
            <w:tcW w:w="834" w:type="dxa"/>
            <w:shd w:val="clear" w:color="auto" w:fill="auto"/>
          </w:tcPr>
          <w:p w14:paraId="191460B9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369.55</w:t>
            </w:r>
          </w:p>
        </w:tc>
        <w:tc>
          <w:tcPr>
            <w:tcW w:w="834" w:type="dxa"/>
            <w:shd w:val="clear" w:color="auto" w:fill="auto"/>
          </w:tcPr>
          <w:p w14:paraId="3DCF5A18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326.80</w:t>
            </w:r>
          </w:p>
        </w:tc>
        <w:tc>
          <w:tcPr>
            <w:tcW w:w="835" w:type="dxa"/>
            <w:shd w:val="clear" w:color="auto" w:fill="auto"/>
          </w:tcPr>
          <w:p w14:paraId="56C03018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311.90</w:t>
            </w:r>
          </w:p>
        </w:tc>
        <w:tc>
          <w:tcPr>
            <w:tcW w:w="1269" w:type="dxa"/>
            <w:shd w:val="clear" w:color="auto" w:fill="auto"/>
          </w:tcPr>
          <w:p w14:paraId="2601FFB5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212.50</w:t>
            </w:r>
          </w:p>
        </w:tc>
        <w:tc>
          <w:tcPr>
            <w:tcW w:w="3363" w:type="dxa"/>
            <w:shd w:val="clear" w:color="auto" w:fill="auto"/>
          </w:tcPr>
          <w:p w14:paraId="35BB8750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F(X)= -3634.0547+40.4397X-0.1023X2</w:t>
            </w:r>
          </w:p>
        </w:tc>
        <w:tc>
          <w:tcPr>
            <w:tcW w:w="1305" w:type="dxa"/>
            <w:shd w:val="clear" w:color="auto" w:fill="auto"/>
          </w:tcPr>
          <w:p w14:paraId="7642E99E" w14:textId="77777777" w:rsidR="00025866" w:rsidRPr="00D01B24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 w:rsidRPr="00D01B24">
              <w:rPr>
                <w:rFonts w:eastAsia="Times New Roman" w:cs="Calibri"/>
                <w:lang w:val="en-US"/>
              </w:rPr>
              <w:t>0.912</w:t>
            </w:r>
          </w:p>
        </w:tc>
      </w:tr>
      <w:tr w:rsidR="00025866" w14:paraId="7613D337" w14:textId="77777777" w:rsidTr="002057A9">
        <w:tc>
          <w:tcPr>
            <w:tcW w:w="1445" w:type="dxa"/>
            <w:shd w:val="clear" w:color="auto" w:fill="auto"/>
          </w:tcPr>
          <w:p w14:paraId="7DCD110E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bCs/>
                <w:lang w:val="en-US"/>
              </w:rPr>
              <w:t>sFlt-1/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PlGF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 xml:space="preserve"> ratio</w:t>
            </w:r>
          </w:p>
        </w:tc>
        <w:tc>
          <w:tcPr>
            <w:tcW w:w="834" w:type="dxa"/>
            <w:shd w:val="clear" w:color="auto" w:fill="auto"/>
          </w:tcPr>
          <w:p w14:paraId="3F1441DF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072FCBFA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14:paraId="4FB0DFA1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4F800AF7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12</w:t>
            </w:r>
          </w:p>
        </w:tc>
        <w:tc>
          <w:tcPr>
            <w:tcW w:w="3363" w:type="dxa"/>
            <w:shd w:val="clear" w:color="auto" w:fill="auto"/>
          </w:tcPr>
          <w:p w14:paraId="7E3179A6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18"/>
                <w:szCs w:val="18"/>
              </w:rPr>
              <w:t>F(X)=</w:t>
            </w:r>
            <w:proofErr w:type="spellStart"/>
            <w:proofErr w:type="gramStart"/>
            <w:r>
              <w:rPr>
                <w:rFonts w:eastAsia="Times New Roman" w:cs="Calibri"/>
                <w:sz w:val="18"/>
                <w:szCs w:val="18"/>
              </w:rPr>
              <w:t>Exp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>55.1863-0.5273X+0.0013X2)</w:t>
            </w:r>
          </w:p>
        </w:tc>
        <w:tc>
          <w:tcPr>
            <w:tcW w:w="1305" w:type="dxa"/>
            <w:shd w:val="clear" w:color="auto" w:fill="auto"/>
          </w:tcPr>
          <w:p w14:paraId="4B14BFED" w14:textId="77777777" w:rsidR="00025866" w:rsidRPr="00D01B24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 w:rsidRPr="00D01B24">
              <w:rPr>
                <w:rFonts w:eastAsia="Times New Roman" w:cs="Calibri"/>
                <w:lang w:val="en-US"/>
              </w:rPr>
              <w:t>0.999</w:t>
            </w:r>
          </w:p>
        </w:tc>
      </w:tr>
      <w:tr w:rsidR="00025866" w14:paraId="7C6505A6" w14:textId="77777777" w:rsidTr="002057A9">
        <w:tc>
          <w:tcPr>
            <w:tcW w:w="1445" w:type="dxa"/>
            <w:shd w:val="clear" w:color="auto" w:fill="auto"/>
          </w:tcPr>
          <w:p w14:paraId="719AE94D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bCs/>
                <w:lang w:val="en-US"/>
              </w:rPr>
              <w:t>Samples</w:t>
            </w:r>
          </w:p>
        </w:tc>
        <w:tc>
          <w:tcPr>
            <w:tcW w:w="834" w:type="dxa"/>
            <w:shd w:val="clear" w:color="auto" w:fill="auto"/>
          </w:tcPr>
          <w:p w14:paraId="5EF526C8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14:paraId="7DDDB193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71</w:t>
            </w:r>
          </w:p>
        </w:tc>
        <w:tc>
          <w:tcPr>
            <w:tcW w:w="835" w:type="dxa"/>
            <w:shd w:val="clear" w:color="auto" w:fill="auto"/>
          </w:tcPr>
          <w:p w14:paraId="3CF25C53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80</w:t>
            </w:r>
          </w:p>
        </w:tc>
        <w:tc>
          <w:tcPr>
            <w:tcW w:w="1269" w:type="dxa"/>
            <w:shd w:val="clear" w:color="auto" w:fill="auto"/>
          </w:tcPr>
          <w:p w14:paraId="38CCA2CF" w14:textId="77777777" w:rsidR="00025866" w:rsidRDefault="00516ADD">
            <w:pPr>
              <w:spacing w:beforeAutospacing="1" w:after="144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lang w:val="en-US"/>
              </w:rPr>
              <w:t>63</w:t>
            </w:r>
          </w:p>
        </w:tc>
        <w:tc>
          <w:tcPr>
            <w:tcW w:w="3363" w:type="dxa"/>
            <w:shd w:val="clear" w:color="auto" w:fill="auto"/>
          </w:tcPr>
          <w:p w14:paraId="1D8EC40E" w14:textId="77777777" w:rsidR="00025866" w:rsidRDefault="00025866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0904134C" w14:textId="77777777" w:rsidR="00025866" w:rsidRDefault="00025866">
            <w:pPr>
              <w:spacing w:beforeAutospacing="1" w:after="144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4A96B69A" w14:textId="1FD55CCC" w:rsidR="00025866" w:rsidRPr="002057A9" w:rsidRDefault="002057A9">
      <w:pPr>
        <w:spacing w:beforeAutospacing="1" w:after="0" w:line="480" w:lineRule="auto"/>
        <w:rPr>
          <w:rFonts w:eastAsia="Times New Roman" w:cs="Calibri"/>
          <w:lang w:val="en-US"/>
        </w:rPr>
      </w:pPr>
      <w:r w:rsidRPr="002057A9">
        <w:rPr>
          <w:rFonts w:eastAsia="Times New Roman" w:cs="Calibri"/>
          <w:color w:val="000000"/>
          <w:lang w:val="en-US"/>
        </w:rPr>
        <w:t>The calculation excludes pregnancies that developed preeclampsia or intrauterine growth restriction. Repeated samples in each gestational age group have also been excluded.</w:t>
      </w:r>
      <w:r w:rsidRPr="002057A9">
        <w:rPr>
          <w:rFonts w:eastAsia="Times New Roman" w:cs="Calibri"/>
          <w:color w:val="000000"/>
          <w:lang w:val="en-US"/>
        </w:rPr>
        <w:t xml:space="preserve"> </w:t>
      </w:r>
      <w:r w:rsidR="00516ADD" w:rsidRPr="002057A9">
        <w:rPr>
          <w:rFonts w:eastAsia="Times New Roman" w:cs="Calibri"/>
          <w:color w:val="000000"/>
          <w:shd w:val="clear" w:color="auto" w:fill="FFFFFF"/>
          <w:lang w:val="en-US"/>
        </w:rPr>
        <w:t>sFlt-1,</w:t>
      </w:r>
      <w:r w:rsidR="00516ADD" w:rsidRPr="002057A9">
        <w:rPr>
          <w:rFonts w:eastAsia="Times New Roman" w:cs="Calibri"/>
          <w:lang w:val="en-US"/>
        </w:rPr>
        <w:t xml:space="preserve"> </w:t>
      </w:r>
      <w:r w:rsidR="00516ADD" w:rsidRPr="002057A9">
        <w:rPr>
          <w:rFonts w:eastAsia="Times New Roman" w:cs="Calibri"/>
          <w:color w:val="000000"/>
          <w:shd w:val="clear" w:color="auto" w:fill="FFFFFF"/>
          <w:lang w:val="en-US"/>
        </w:rPr>
        <w:t>soluble FMS-like tyrosine kinase-1</w:t>
      </w:r>
      <w:r w:rsidR="00516ADD" w:rsidRPr="002057A9">
        <w:rPr>
          <w:rFonts w:eastAsia="Times New Roman" w:cs="Calibri"/>
          <w:color w:val="000000"/>
          <w:lang w:val="en-US"/>
        </w:rPr>
        <w:t xml:space="preserve">; </w:t>
      </w:r>
      <w:proofErr w:type="spellStart"/>
      <w:r w:rsidR="00516ADD" w:rsidRPr="002057A9">
        <w:rPr>
          <w:rFonts w:eastAsia="Times New Roman" w:cs="Calibri"/>
          <w:color w:val="000000"/>
          <w:lang w:val="en-US"/>
        </w:rPr>
        <w:t>PlGF</w:t>
      </w:r>
      <w:proofErr w:type="spellEnd"/>
      <w:r w:rsidR="00516ADD" w:rsidRPr="002057A9">
        <w:rPr>
          <w:rFonts w:eastAsia="Times New Roman" w:cs="Calibri"/>
          <w:color w:val="000000"/>
          <w:lang w:val="en-US"/>
        </w:rPr>
        <w:t>, placental growth factor; X, gestational age in days.</w:t>
      </w:r>
    </w:p>
    <w:p w14:paraId="12E8112F" w14:textId="27399016" w:rsidR="00025866" w:rsidRPr="002057A9" w:rsidRDefault="00516ADD">
      <w:pPr>
        <w:spacing w:beforeAutospacing="1" w:after="0" w:line="480" w:lineRule="auto"/>
        <w:rPr>
          <w:rFonts w:eastAsia="Times New Roman" w:cs="Calibri"/>
          <w:lang w:val="en-US"/>
        </w:rPr>
      </w:pPr>
      <w:r w:rsidRPr="002057A9">
        <w:rPr>
          <w:rFonts w:eastAsia="Times New Roman" w:cs="Calibri"/>
          <w:b/>
          <w:bCs/>
          <w:color w:val="000000"/>
          <w:lang w:val="en-US"/>
        </w:rPr>
        <w:t>Table</w:t>
      </w:r>
      <w:r w:rsidRPr="002057A9">
        <w:rPr>
          <w:rFonts w:eastAsia="Times New Roman" w:cs="Calibri"/>
          <w:b/>
          <w:bCs/>
          <w:lang w:val="en-US"/>
        </w:rPr>
        <w:t xml:space="preserve"> S3: </w:t>
      </w:r>
      <w:r w:rsidRPr="002057A9">
        <w:rPr>
          <w:rFonts w:eastAsia="Times New Roman" w:cs="Calibri"/>
          <w:lang w:val="en-US"/>
        </w:rPr>
        <w:t xml:space="preserve">Selected model description. </w:t>
      </w:r>
    </w:p>
    <w:tbl>
      <w:tblPr>
        <w:tblStyle w:val="TableGridLight"/>
        <w:tblW w:w="7015" w:type="dxa"/>
        <w:tblLook w:val="04A0" w:firstRow="1" w:lastRow="0" w:firstColumn="1" w:lastColumn="0" w:noHBand="0" w:noVBand="1"/>
      </w:tblPr>
      <w:tblGrid>
        <w:gridCol w:w="2250"/>
        <w:gridCol w:w="1219"/>
        <w:gridCol w:w="1746"/>
        <w:gridCol w:w="1800"/>
      </w:tblGrid>
      <w:tr w:rsidR="00025866" w14:paraId="1D7DB53E" w14:textId="77777777" w:rsidTr="002057A9">
        <w:tc>
          <w:tcPr>
            <w:tcW w:w="2250" w:type="dxa"/>
            <w:shd w:val="clear" w:color="auto" w:fill="auto"/>
          </w:tcPr>
          <w:p w14:paraId="6BE7E661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Predictors</w:t>
            </w:r>
          </w:p>
        </w:tc>
        <w:tc>
          <w:tcPr>
            <w:tcW w:w="1219" w:type="dxa"/>
            <w:shd w:val="clear" w:color="auto" w:fill="auto"/>
          </w:tcPr>
          <w:p w14:paraId="3A7DFAD2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Estimate</w:t>
            </w:r>
          </w:p>
        </w:tc>
        <w:tc>
          <w:tcPr>
            <w:tcW w:w="1746" w:type="dxa"/>
            <w:shd w:val="clear" w:color="auto" w:fill="auto"/>
          </w:tcPr>
          <w:p w14:paraId="0E0C0D34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Standard error</w:t>
            </w:r>
          </w:p>
        </w:tc>
        <w:tc>
          <w:tcPr>
            <w:tcW w:w="1800" w:type="dxa"/>
            <w:shd w:val="clear" w:color="auto" w:fill="auto"/>
          </w:tcPr>
          <w:p w14:paraId="7F633F3B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p-value</w:t>
            </w:r>
          </w:p>
        </w:tc>
      </w:tr>
      <w:tr w:rsidR="00025866" w14:paraId="44064BCB" w14:textId="77777777" w:rsidTr="002057A9">
        <w:tc>
          <w:tcPr>
            <w:tcW w:w="2250" w:type="dxa"/>
            <w:shd w:val="clear" w:color="auto" w:fill="auto"/>
          </w:tcPr>
          <w:p w14:paraId="7A9EDA45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intercept</w:t>
            </w:r>
          </w:p>
        </w:tc>
        <w:tc>
          <w:tcPr>
            <w:tcW w:w="1219" w:type="dxa"/>
            <w:shd w:val="clear" w:color="auto" w:fill="auto"/>
          </w:tcPr>
          <w:p w14:paraId="3B288599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-6.7278</w:t>
            </w:r>
          </w:p>
        </w:tc>
        <w:tc>
          <w:tcPr>
            <w:tcW w:w="1746" w:type="dxa"/>
            <w:shd w:val="clear" w:color="auto" w:fill="auto"/>
          </w:tcPr>
          <w:p w14:paraId="1C9A143A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color w:val="000000"/>
                <w:lang w:val="en-US"/>
              </w:rPr>
              <w:t>1.6344</w:t>
            </w:r>
          </w:p>
        </w:tc>
        <w:tc>
          <w:tcPr>
            <w:tcW w:w="1800" w:type="dxa"/>
            <w:shd w:val="clear" w:color="auto" w:fill="auto"/>
          </w:tcPr>
          <w:p w14:paraId="5E06C026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&lt; 0.001</w:t>
            </w:r>
          </w:p>
        </w:tc>
      </w:tr>
      <w:tr w:rsidR="00025866" w14:paraId="56AFAE92" w14:textId="77777777" w:rsidTr="002057A9">
        <w:tc>
          <w:tcPr>
            <w:tcW w:w="2250" w:type="dxa"/>
            <w:shd w:val="clear" w:color="auto" w:fill="auto"/>
          </w:tcPr>
          <w:p w14:paraId="40968A5B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gestational age (GA)</w:t>
            </w:r>
          </w:p>
        </w:tc>
        <w:tc>
          <w:tcPr>
            <w:tcW w:w="1219" w:type="dxa"/>
            <w:shd w:val="clear" w:color="auto" w:fill="auto"/>
          </w:tcPr>
          <w:p w14:paraId="6A469634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0.2211</w:t>
            </w:r>
          </w:p>
        </w:tc>
        <w:tc>
          <w:tcPr>
            <w:tcW w:w="1746" w:type="dxa"/>
            <w:shd w:val="clear" w:color="auto" w:fill="auto"/>
          </w:tcPr>
          <w:p w14:paraId="30FD3E3B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color w:val="000000"/>
                <w:lang w:val="en-US"/>
              </w:rPr>
              <w:t>0.0948</w:t>
            </w:r>
          </w:p>
        </w:tc>
        <w:tc>
          <w:tcPr>
            <w:tcW w:w="1800" w:type="dxa"/>
            <w:shd w:val="clear" w:color="auto" w:fill="auto"/>
          </w:tcPr>
          <w:p w14:paraId="7E492224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0.020</w:t>
            </w:r>
          </w:p>
        </w:tc>
      </w:tr>
      <w:tr w:rsidR="00025866" w14:paraId="6864A286" w14:textId="77777777" w:rsidTr="002057A9">
        <w:tc>
          <w:tcPr>
            <w:tcW w:w="2250" w:type="dxa"/>
            <w:shd w:val="clear" w:color="auto" w:fill="auto"/>
          </w:tcPr>
          <w:p w14:paraId="2CC8FBAB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log (NT-</w:t>
            </w:r>
            <w:proofErr w:type="spellStart"/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proBNP</w:t>
            </w:r>
            <w:proofErr w:type="spellEnd"/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)</w:t>
            </w:r>
          </w:p>
        </w:tc>
        <w:tc>
          <w:tcPr>
            <w:tcW w:w="1219" w:type="dxa"/>
            <w:shd w:val="clear" w:color="auto" w:fill="auto"/>
          </w:tcPr>
          <w:p w14:paraId="356BA6CA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0.6611</w:t>
            </w:r>
          </w:p>
        </w:tc>
        <w:tc>
          <w:tcPr>
            <w:tcW w:w="1746" w:type="dxa"/>
            <w:shd w:val="clear" w:color="auto" w:fill="auto"/>
          </w:tcPr>
          <w:p w14:paraId="7DEA5AC9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0.1844</w:t>
            </w:r>
          </w:p>
        </w:tc>
        <w:tc>
          <w:tcPr>
            <w:tcW w:w="1800" w:type="dxa"/>
            <w:shd w:val="clear" w:color="auto" w:fill="auto"/>
          </w:tcPr>
          <w:p w14:paraId="22A9D532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&lt; 0.001</w:t>
            </w:r>
          </w:p>
        </w:tc>
      </w:tr>
      <w:tr w:rsidR="00025866" w14:paraId="1098D8C3" w14:textId="77777777" w:rsidTr="002057A9">
        <w:tc>
          <w:tcPr>
            <w:tcW w:w="2250" w:type="dxa"/>
            <w:shd w:val="clear" w:color="auto" w:fill="auto"/>
          </w:tcPr>
          <w:p w14:paraId="77BBD3D4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b/>
                <w:bCs/>
                <w:lang w:val="en-US"/>
              </w:rPr>
              <w:t>log (sFlt-1 MoM)</w:t>
            </w:r>
          </w:p>
        </w:tc>
        <w:tc>
          <w:tcPr>
            <w:tcW w:w="1219" w:type="dxa"/>
            <w:shd w:val="clear" w:color="auto" w:fill="auto"/>
          </w:tcPr>
          <w:p w14:paraId="7BBA7475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1.0039</w:t>
            </w:r>
          </w:p>
        </w:tc>
        <w:tc>
          <w:tcPr>
            <w:tcW w:w="1746" w:type="dxa"/>
            <w:shd w:val="clear" w:color="auto" w:fill="auto"/>
          </w:tcPr>
          <w:p w14:paraId="3B12A3DE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0.3750</w:t>
            </w:r>
          </w:p>
        </w:tc>
        <w:tc>
          <w:tcPr>
            <w:tcW w:w="1800" w:type="dxa"/>
            <w:shd w:val="clear" w:color="auto" w:fill="auto"/>
          </w:tcPr>
          <w:p w14:paraId="55253CC3" w14:textId="77777777" w:rsidR="00025866" w:rsidRPr="00D01B24" w:rsidRDefault="00516ADD">
            <w:pPr>
              <w:spacing w:beforeAutospacing="1" w:after="144" w:line="240" w:lineRule="auto"/>
              <w:rPr>
                <w:rFonts w:asciiTheme="minorHAnsi" w:eastAsia="Times New Roman" w:hAnsiTheme="minorHAnsi" w:cs="Calibri"/>
              </w:rPr>
            </w:pPr>
            <w:r w:rsidRPr="00D01B24">
              <w:rPr>
                <w:rFonts w:asciiTheme="minorHAnsi" w:eastAsia="Times New Roman" w:hAnsiTheme="minorHAnsi" w:cs="Calibri"/>
                <w:lang w:val="en-US"/>
              </w:rPr>
              <w:t>0.007</w:t>
            </w:r>
          </w:p>
        </w:tc>
      </w:tr>
    </w:tbl>
    <w:p w14:paraId="52C07519" w14:textId="66596D4A" w:rsidR="00025866" w:rsidRPr="002057A9" w:rsidRDefault="002057A9">
      <w:pPr>
        <w:spacing w:line="480" w:lineRule="auto"/>
        <w:jc w:val="both"/>
        <w:rPr>
          <w:b/>
          <w:bCs/>
          <w:szCs w:val="20"/>
          <w:lang w:val="en-US"/>
        </w:rPr>
      </w:pPr>
      <w:r w:rsidRPr="002057A9">
        <w:rPr>
          <w:rFonts w:eastAsia="Times New Roman" w:cs="Calibri"/>
          <w:lang w:val="en-US"/>
        </w:rPr>
        <w:t xml:space="preserve">Fixed effects coefficients of the selected linear mixed model built from 213 observations from 123 pregnancies with </w:t>
      </w:r>
      <w:proofErr w:type="spellStart"/>
      <w:r w:rsidRPr="002057A9">
        <w:rPr>
          <w:rFonts w:eastAsia="Times New Roman" w:cs="Calibri"/>
          <w:lang w:val="en-US"/>
        </w:rPr>
        <w:t>probit</w:t>
      </w:r>
      <w:proofErr w:type="spellEnd"/>
      <w:r w:rsidRPr="002057A9">
        <w:rPr>
          <w:rFonts w:eastAsia="Times New Roman" w:cs="Calibri"/>
          <w:lang w:val="en-US"/>
        </w:rPr>
        <w:t xml:space="preserve"> link function. As fixed effects, we entered gestational age at determination (GA), log transformed values of NT-</w:t>
      </w:r>
      <w:proofErr w:type="spellStart"/>
      <w:r w:rsidRPr="002057A9">
        <w:rPr>
          <w:rFonts w:eastAsia="Times New Roman" w:cs="Calibri"/>
          <w:lang w:val="en-US"/>
        </w:rPr>
        <w:t>proBNP</w:t>
      </w:r>
      <w:proofErr w:type="spellEnd"/>
      <w:r w:rsidRPr="002057A9">
        <w:rPr>
          <w:rFonts w:eastAsia="Times New Roman" w:cs="Calibri"/>
          <w:lang w:val="en-US"/>
        </w:rPr>
        <w:t xml:space="preserve"> and sFlt-1 MoM (without interaction terms) into the model. As random effects, we had intercepts for each pregnancy. The random effect variance between pregnancies was 0.3</w:t>
      </w:r>
      <w:r w:rsidRPr="002057A9">
        <w:rPr>
          <w:rFonts w:eastAsia="Times New Roman" w:cs="Calibri"/>
          <w:color w:val="000000"/>
          <w:lang w:val="en-US"/>
        </w:rPr>
        <w:t xml:space="preserve">. Akaike information criterion was 153.1. </w:t>
      </w:r>
      <w:r w:rsidRPr="002057A9">
        <w:rPr>
          <w:rFonts w:eastAsia="Times New Roman" w:cs="Calibri"/>
          <w:lang w:val="en-US"/>
        </w:rPr>
        <w:t xml:space="preserve">From the y value provided by the model, the posterior risk (π) for delivery with early-onset preeclampsia </w:t>
      </w:r>
      <w:r w:rsidRPr="002057A9">
        <w:rPr>
          <w:rFonts w:eastAsia="Times New Roman" w:cs="Calibri"/>
          <w:lang w:val="en-US"/>
        </w:rPr>
        <w:lastRenderedPageBreak/>
        <w:t>within one week is given by the formula π= ɸ(y), where ɸ is the cumulative distribution function of the standard normal distribution. Visual inspection of residual plots did not reveal any obvious deviations from homoscedasticity or normality.</w:t>
      </w:r>
    </w:p>
    <w:p w14:paraId="3C592C21" w14:textId="77777777" w:rsidR="00025866" w:rsidRPr="002057A9" w:rsidRDefault="00516ADD">
      <w:pPr>
        <w:spacing w:line="480" w:lineRule="auto"/>
        <w:jc w:val="both"/>
        <w:rPr>
          <w:szCs w:val="20"/>
          <w:lang w:val="en-US"/>
        </w:rPr>
      </w:pPr>
      <w:r w:rsidRPr="002057A9">
        <w:rPr>
          <w:b/>
          <w:bCs/>
          <w:szCs w:val="20"/>
          <w:lang w:val="en-US"/>
        </w:rPr>
        <w:t xml:space="preserve">Figure S1: </w:t>
      </w:r>
      <w:r w:rsidRPr="002057A9">
        <w:rPr>
          <w:szCs w:val="20"/>
          <w:lang w:val="en-US"/>
        </w:rPr>
        <w:t>Distribution of number of samples per patient.</w:t>
      </w:r>
    </w:p>
    <w:p w14:paraId="43FEC4FB" w14:textId="77777777" w:rsidR="00025866" w:rsidRDefault="00516ADD">
      <w:pPr>
        <w:spacing w:line="480" w:lineRule="auto"/>
        <w:jc w:val="both"/>
        <w:rPr>
          <w:sz w:val="24"/>
          <w:lang w:val="en-US"/>
        </w:rPr>
      </w:pPr>
      <w:r>
        <w:rPr>
          <w:noProof/>
        </w:rPr>
        <w:drawing>
          <wp:inline distT="0" distB="0" distL="0" distR="5080" wp14:anchorId="6E5BC6C0" wp14:editId="51E4B5D3">
            <wp:extent cx="3481070" cy="5627370"/>
            <wp:effectExtent l="0" t="0" r="0" b="0"/>
            <wp:docPr id="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A69B" w14:textId="7F0768A7" w:rsidR="00025866" w:rsidRPr="002057A9" w:rsidRDefault="00516ADD">
      <w:pPr>
        <w:spacing w:beforeAutospacing="1" w:after="240" w:line="480" w:lineRule="auto"/>
        <w:rPr>
          <w:rFonts w:eastAsia="Times New Roman" w:cs="Calibri"/>
          <w:lang w:val="en-US"/>
        </w:rPr>
      </w:pPr>
      <w:r w:rsidRPr="002057A9">
        <w:rPr>
          <w:rFonts w:eastAsia="Times New Roman" w:cs="Calibri"/>
          <w:b/>
          <w:bCs/>
          <w:lang w:val="en-US"/>
        </w:rPr>
        <w:t>Figure S2:</w:t>
      </w:r>
      <w:r w:rsidRPr="002057A9">
        <w:rPr>
          <w:rFonts w:eastAsia="Times New Roman" w:cs="Calibri"/>
          <w:lang w:val="en-US"/>
        </w:rPr>
        <w:t xml:space="preserve"> Distribution of NT-</w:t>
      </w:r>
      <w:proofErr w:type="spellStart"/>
      <w:r w:rsidRPr="002057A9">
        <w:rPr>
          <w:rFonts w:eastAsia="Times New Roman" w:cs="Calibri"/>
          <w:lang w:val="en-US"/>
        </w:rPr>
        <w:t>proBNP</w:t>
      </w:r>
      <w:proofErr w:type="spellEnd"/>
      <w:r w:rsidRPr="002057A9">
        <w:rPr>
          <w:rFonts w:eastAsia="Times New Roman" w:cs="Calibri"/>
          <w:lang w:val="en-US"/>
        </w:rPr>
        <w:t xml:space="preserve"> against gestational age at determination in 250 pregnancies that did not develop preeclampsia. Pearson correlation of -0.092 (p= 0.149).</w:t>
      </w:r>
      <w:r w:rsidRPr="002057A9">
        <w:rPr>
          <w:sz w:val="20"/>
          <w:szCs w:val="20"/>
          <w:lang w:val="en-US"/>
        </w:rPr>
        <w:t xml:space="preserve"> </w:t>
      </w:r>
    </w:p>
    <w:p w14:paraId="42E2DC00" w14:textId="7CA10EE0" w:rsidR="00516ADD" w:rsidRDefault="00516ADD">
      <w:pPr>
        <w:spacing w:after="0" w:line="480" w:lineRule="auto"/>
        <w:rPr>
          <w:b/>
          <w:bCs/>
          <w:sz w:val="24"/>
          <w:lang w:val="en-US"/>
        </w:rPr>
      </w:pPr>
      <w:r>
        <w:rPr>
          <w:b/>
          <w:bCs/>
          <w:noProof/>
          <w:sz w:val="24"/>
          <w:lang w:val="en-US"/>
        </w:rPr>
        <w:lastRenderedPageBreak/>
        <w:drawing>
          <wp:inline distT="0" distB="0" distL="0" distR="0" wp14:anchorId="49C4ABA0" wp14:editId="194B7655">
            <wp:extent cx="5400040" cy="316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3E7C" w14:textId="2567FFCC" w:rsidR="00025866" w:rsidRPr="002057A9" w:rsidRDefault="00516ADD">
      <w:pPr>
        <w:spacing w:after="0" w:line="480" w:lineRule="auto"/>
        <w:rPr>
          <w:b/>
          <w:lang w:val="en-US"/>
        </w:rPr>
      </w:pPr>
      <w:r w:rsidRPr="002057A9">
        <w:rPr>
          <w:b/>
          <w:bCs/>
          <w:lang w:val="en-US"/>
        </w:rPr>
        <w:t>Figure S3:</w:t>
      </w:r>
      <w:r w:rsidRPr="002057A9">
        <w:rPr>
          <w:lang w:val="en-US"/>
        </w:rPr>
        <w:t xml:space="preserve"> </w:t>
      </w:r>
      <w:r w:rsidR="002057A9" w:rsidRPr="002057A9">
        <w:rPr>
          <w:rFonts w:asciiTheme="minorHAnsi" w:hAnsiTheme="minorHAnsi" w:cstheme="minorHAnsi"/>
          <w:bCs/>
          <w:lang w:val="en-US"/>
        </w:rPr>
        <w:t>ROC curves for early-onset preeclampsia leading to delivery within one week of linear mixed models based on gestational age (GA) and sFlt-1 MoM with and without NT-</w:t>
      </w:r>
      <w:proofErr w:type="spellStart"/>
      <w:r w:rsidR="002057A9" w:rsidRPr="002057A9">
        <w:rPr>
          <w:rFonts w:asciiTheme="minorHAnsi" w:hAnsiTheme="minorHAnsi" w:cstheme="minorHAnsi"/>
          <w:bCs/>
          <w:lang w:val="en-US"/>
        </w:rPr>
        <w:t>proBNP</w:t>
      </w:r>
      <w:proofErr w:type="spellEnd"/>
      <w:r w:rsidR="002057A9" w:rsidRPr="002057A9">
        <w:rPr>
          <w:rFonts w:asciiTheme="minorHAnsi" w:hAnsiTheme="minorHAnsi" w:cstheme="minorHAnsi"/>
          <w:bCs/>
          <w:lang w:val="en-US"/>
        </w:rPr>
        <w:t xml:space="preserve"> </w:t>
      </w:r>
      <w:r w:rsidR="002057A9" w:rsidRPr="002057A9">
        <w:rPr>
          <w:bCs/>
          <w:lang w:val="en-US"/>
        </w:rPr>
        <w:t xml:space="preserve">in the </w:t>
      </w:r>
      <w:proofErr w:type="spellStart"/>
      <w:r w:rsidR="002057A9" w:rsidRPr="002057A9">
        <w:rPr>
          <w:bCs/>
          <w:lang w:val="en-US"/>
        </w:rPr>
        <w:t>subcohort</w:t>
      </w:r>
      <w:proofErr w:type="spellEnd"/>
      <w:r w:rsidR="002057A9" w:rsidRPr="002057A9">
        <w:rPr>
          <w:bCs/>
          <w:lang w:val="en-US"/>
        </w:rPr>
        <w:t xml:space="preserve"> with an sFlt-1/</w:t>
      </w:r>
      <w:proofErr w:type="spellStart"/>
      <w:r w:rsidR="002057A9" w:rsidRPr="002057A9">
        <w:rPr>
          <w:bCs/>
          <w:lang w:val="en-US"/>
        </w:rPr>
        <w:t>PlGF</w:t>
      </w:r>
      <w:proofErr w:type="spellEnd"/>
      <w:r w:rsidR="002057A9" w:rsidRPr="002057A9">
        <w:rPr>
          <w:bCs/>
          <w:lang w:val="en-US"/>
        </w:rPr>
        <w:t xml:space="preserve"> ratio above 38 and </w:t>
      </w:r>
      <w:r w:rsidR="002057A9" w:rsidRPr="002057A9">
        <w:rPr>
          <w:lang w:val="en-US"/>
        </w:rPr>
        <w:t>intrauterine growth restriction</w:t>
      </w:r>
      <w:r w:rsidR="002057A9" w:rsidRPr="002057A9">
        <w:rPr>
          <w:bCs/>
          <w:lang w:val="en-US"/>
        </w:rPr>
        <w:t xml:space="preserve"> (93 samples, 14 of which developed the assessed outcome) in the left panel and </w:t>
      </w:r>
      <w:r w:rsidR="002057A9" w:rsidRPr="002057A9">
        <w:rPr>
          <w:lang w:val="en-US"/>
        </w:rPr>
        <w:t xml:space="preserve">with </w:t>
      </w:r>
      <w:r w:rsidR="002057A9" w:rsidRPr="002057A9">
        <w:rPr>
          <w:bCs/>
          <w:lang w:val="en-US"/>
        </w:rPr>
        <w:t>chronic hypertension (20 samples, 4 of which developed the assessed outcome) in the right panel</w:t>
      </w:r>
      <w:r w:rsidR="002057A9" w:rsidRPr="002057A9">
        <w:rPr>
          <w:bCs/>
          <w:lang w:val="en-US"/>
        </w:rPr>
        <w:t>.</w:t>
      </w:r>
      <w:r w:rsidRPr="002057A9">
        <w:rPr>
          <w:b/>
          <w:lang w:val="en-US"/>
        </w:rPr>
        <w:t xml:space="preserve"> </w:t>
      </w:r>
    </w:p>
    <w:p w14:paraId="51E58BA9" w14:textId="1B58F888" w:rsidR="00516ADD" w:rsidRDefault="00516ADD">
      <w:pPr>
        <w:spacing w:after="0" w:line="480" w:lineRule="auto"/>
        <w:rPr>
          <w:b/>
          <w:sz w:val="24"/>
          <w:lang w:val="en-US"/>
        </w:rPr>
      </w:pPr>
      <w:r>
        <w:rPr>
          <w:b/>
          <w:noProof/>
          <w:sz w:val="24"/>
          <w:lang w:val="en-US"/>
        </w:rPr>
        <w:drawing>
          <wp:inline distT="0" distB="0" distL="0" distR="0" wp14:anchorId="3F434D1A" wp14:editId="2E026335">
            <wp:extent cx="540004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DB09" w14:textId="77777777" w:rsidR="00025866" w:rsidRPr="00516ADD" w:rsidRDefault="00025866">
      <w:pPr>
        <w:rPr>
          <w:lang w:val="en-US"/>
        </w:rPr>
      </w:pPr>
    </w:p>
    <w:sectPr w:rsidR="00025866" w:rsidRPr="00516AD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66"/>
    <w:rsid w:val="00025866"/>
    <w:rsid w:val="00091E8D"/>
    <w:rsid w:val="002057A9"/>
    <w:rsid w:val="00245934"/>
    <w:rsid w:val="00516ADD"/>
    <w:rsid w:val="00D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6D1F"/>
  <w15:docId w15:val="{99799958-230B-473B-BDE8-53C14EC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6F"/>
    <w:pPr>
      <w:spacing w:after="200" w:line="276" w:lineRule="auto"/>
    </w:pPr>
    <w:rPr>
      <w:rFonts w:ascii="Calibri" w:eastAsiaTheme="minorEastAsia" w:hAnsi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Light">
    <w:name w:val="Grid Table Light"/>
    <w:basedOn w:val="TableNormal"/>
    <w:uiPriority w:val="40"/>
    <w:rsid w:val="0004206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Sabrià</dc:creator>
  <dc:description/>
  <cp:lastModifiedBy>Enric Sabrià</cp:lastModifiedBy>
  <cp:revision>3</cp:revision>
  <dcterms:created xsi:type="dcterms:W3CDTF">2021-02-26T23:17:00Z</dcterms:created>
  <dcterms:modified xsi:type="dcterms:W3CDTF">2021-02-26T23:18:00Z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