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DDEC2" w14:textId="23E5B265" w:rsidR="00BE3837" w:rsidRPr="00567F9A" w:rsidRDefault="00BE3837" w:rsidP="00BE3837">
      <w:pPr>
        <w:tabs>
          <w:tab w:val="left" w:pos="3390"/>
        </w:tabs>
        <w:spacing w:before="120" w:after="120" w:line="360" w:lineRule="auto"/>
        <w:rPr>
          <w:rFonts w:ascii="Times New Roman" w:hAnsi="Times New Roman" w:cs="Times New Roman"/>
          <w:b/>
          <w:bCs/>
          <w:sz w:val="24"/>
          <w:szCs w:val="24"/>
        </w:rPr>
      </w:pPr>
      <w:r w:rsidRPr="00567F9A">
        <w:rPr>
          <w:rFonts w:ascii="Times New Roman" w:hAnsi="Times New Roman" w:cs="Times New Roman"/>
          <w:b/>
          <w:bCs/>
          <w:sz w:val="24"/>
          <w:szCs w:val="24"/>
        </w:rPr>
        <w:t>Supplementary Data</w:t>
      </w:r>
    </w:p>
    <w:p w14:paraId="04A57146" w14:textId="77777777" w:rsidR="00AF15F4" w:rsidRPr="00567F9A" w:rsidRDefault="00AF15F4" w:rsidP="00AF15F4">
      <w:pPr>
        <w:jc w:val="both"/>
        <w:rPr>
          <w:rFonts w:ascii="Times New Roman" w:hAnsi="Times New Roman" w:cs="Times New Roman"/>
          <w:b/>
          <w:bCs/>
          <w:sz w:val="24"/>
          <w:szCs w:val="24"/>
        </w:rPr>
      </w:pPr>
      <w:r w:rsidRPr="00567F9A">
        <w:rPr>
          <w:rFonts w:ascii="Times New Roman" w:hAnsi="Times New Roman" w:cs="Times New Roman"/>
          <w:b/>
          <w:bCs/>
          <w:sz w:val="24"/>
          <w:szCs w:val="24"/>
        </w:rPr>
        <w:t>Materials and Methods</w:t>
      </w:r>
    </w:p>
    <w:p w14:paraId="4CA28A04" w14:textId="77777777" w:rsidR="009952E1" w:rsidRPr="00567F9A" w:rsidRDefault="00CF614A" w:rsidP="0076170B">
      <w:pPr>
        <w:spacing w:before="120" w:line="360" w:lineRule="auto"/>
        <w:jc w:val="both"/>
        <w:rPr>
          <w:rFonts w:ascii="Times New Roman" w:hAnsi="Times New Roman" w:cs="Times New Roman"/>
          <w:b/>
          <w:bCs/>
          <w:sz w:val="24"/>
          <w:szCs w:val="24"/>
        </w:rPr>
      </w:pPr>
      <w:r w:rsidRPr="00567F9A">
        <w:rPr>
          <w:rFonts w:ascii="Times New Roman" w:hAnsi="Times New Roman" w:cs="Times New Roman"/>
          <w:b/>
          <w:bCs/>
          <w:sz w:val="24"/>
          <w:szCs w:val="24"/>
        </w:rPr>
        <w:t>Biomarker analysis</w:t>
      </w:r>
    </w:p>
    <w:p w14:paraId="26E076F3" w14:textId="4C5EC540" w:rsidR="008E6489" w:rsidRPr="00567F9A" w:rsidRDefault="0076170B" w:rsidP="0076170B">
      <w:pPr>
        <w:spacing w:before="120" w:line="360" w:lineRule="auto"/>
        <w:jc w:val="both"/>
        <w:rPr>
          <w:rFonts w:ascii="Times New Roman" w:hAnsi="Times New Roman" w:cs="Times New Roman"/>
          <w:bCs/>
          <w:sz w:val="24"/>
          <w:szCs w:val="24"/>
        </w:rPr>
      </w:pPr>
      <w:r w:rsidRPr="00567F9A">
        <w:rPr>
          <w:rFonts w:ascii="Times New Roman" w:hAnsi="Times New Roman" w:cs="Times New Roman"/>
          <w:bCs/>
          <w:sz w:val="24"/>
          <w:szCs w:val="24"/>
        </w:rPr>
        <w:t>D</w:t>
      </w:r>
      <w:r w:rsidR="008E6489" w:rsidRPr="00567F9A">
        <w:rPr>
          <w:rFonts w:ascii="Times New Roman" w:hAnsi="Times New Roman" w:cs="Times New Roman"/>
          <w:bCs/>
          <w:sz w:val="24"/>
          <w:szCs w:val="24"/>
        </w:rPr>
        <w:t>uring dose escalation, newly obtain</w:t>
      </w:r>
      <w:r w:rsidR="00BE5321" w:rsidRPr="00567F9A">
        <w:rPr>
          <w:rFonts w:ascii="Times New Roman" w:hAnsi="Times New Roman" w:cs="Times New Roman"/>
          <w:bCs/>
          <w:sz w:val="24"/>
          <w:szCs w:val="24"/>
        </w:rPr>
        <w:t xml:space="preserve">ed tumor or archival tumor were </w:t>
      </w:r>
      <w:r w:rsidR="008E6489" w:rsidRPr="00567F9A">
        <w:rPr>
          <w:rFonts w:ascii="Times New Roman" w:hAnsi="Times New Roman" w:cs="Times New Roman"/>
          <w:bCs/>
          <w:sz w:val="24"/>
          <w:szCs w:val="24"/>
        </w:rPr>
        <w:t>collected at screening/baseline to assess CDH6 expression, surface expression markers, characterization of TIL phenotypes, myeloid cell populations, and to assess other biomarkers of immunologic response. Newly obtained tumor</w:t>
      </w:r>
      <w:r w:rsidR="00FC0E3D" w:rsidRPr="00567F9A">
        <w:rPr>
          <w:rFonts w:ascii="Times New Roman" w:hAnsi="Times New Roman" w:cs="Times New Roman"/>
          <w:bCs/>
          <w:sz w:val="24"/>
          <w:szCs w:val="24"/>
        </w:rPr>
        <w:t xml:space="preserve"> were the n</w:t>
      </w:r>
      <w:r w:rsidR="008E6489" w:rsidRPr="00567F9A">
        <w:rPr>
          <w:rFonts w:ascii="Times New Roman" w:hAnsi="Times New Roman" w:cs="Times New Roman"/>
          <w:bCs/>
          <w:sz w:val="24"/>
          <w:szCs w:val="24"/>
        </w:rPr>
        <w:t>ewly obtained formalin fixed tumor biopsy sample</w:t>
      </w:r>
      <w:r w:rsidR="00FC0E3D" w:rsidRPr="00567F9A">
        <w:rPr>
          <w:rFonts w:ascii="Times New Roman" w:hAnsi="Times New Roman" w:cs="Times New Roman"/>
          <w:bCs/>
          <w:sz w:val="24"/>
          <w:szCs w:val="24"/>
        </w:rPr>
        <w:t>s</w:t>
      </w:r>
      <w:r w:rsidR="008E6489" w:rsidRPr="00567F9A">
        <w:rPr>
          <w:rFonts w:ascii="Times New Roman" w:hAnsi="Times New Roman" w:cs="Times New Roman"/>
          <w:bCs/>
          <w:sz w:val="24"/>
          <w:szCs w:val="24"/>
        </w:rPr>
        <w:t xml:space="preserve"> in ethanol (3-6 passes). Archival tumor</w:t>
      </w:r>
      <w:r w:rsidR="00FC0E3D" w:rsidRPr="00567F9A">
        <w:rPr>
          <w:rFonts w:ascii="Times New Roman" w:hAnsi="Times New Roman" w:cs="Times New Roman"/>
          <w:bCs/>
          <w:sz w:val="24"/>
          <w:szCs w:val="24"/>
        </w:rPr>
        <w:t xml:space="preserve"> were the</w:t>
      </w:r>
      <w:r w:rsidR="008E6489" w:rsidRPr="00567F9A">
        <w:rPr>
          <w:rFonts w:ascii="Times New Roman" w:hAnsi="Times New Roman" w:cs="Times New Roman"/>
          <w:bCs/>
          <w:sz w:val="24"/>
          <w:szCs w:val="24"/>
        </w:rPr>
        <w:t xml:space="preserve"> FFPE block preferred or newly cut slide.</w:t>
      </w:r>
    </w:p>
    <w:p w14:paraId="0CA50747" w14:textId="118DFA4F" w:rsidR="00C42FBE" w:rsidRPr="00567F9A" w:rsidRDefault="00304AB8" w:rsidP="008E6489">
      <w:pPr>
        <w:spacing w:before="120" w:line="360" w:lineRule="auto"/>
        <w:jc w:val="both"/>
        <w:rPr>
          <w:rFonts w:ascii="Times New Roman" w:hAnsi="Times New Roman" w:cs="Times New Roman"/>
          <w:bCs/>
          <w:sz w:val="24"/>
          <w:szCs w:val="24"/>
        </w:rPr>
      </w:pPr>
      <w:r w:rsidRPr="00567F9A">
        <w:rPr>
          <w:rFonts w:ascii="Times New Roman" w:hAnsi="Times New Roman" w:cs="Times New Roman"/>
          <w:bCs/>
          <w:sz w:val="24"/>
          <w:szCs w:val="24"/>
        </w:rPr>
        <w:t>I</w:t>
      </w:r>
      <w:r w:rsidR="008E6489" w:rsidRPr="00567F9A">
        <w:rPr>
          <w:rFonts w:ascii="Times New Roman" w:hAnsi="Times New Roman" w:cs="Times New Roman"/>
          <w:bCs/>
          <w:sz w:val="24"/>
          <w:szCs w:val="24"/>
        </w:rPr>
        <w:t xml:space="preserve">n addition to the biomarkers specified above, exploratory biomarker analysis may be conducted on any remaining tumor samples. </w:t>
      </w:r>
      <w:r w:rsidR="00DA370B" w:rsidRPr="00567F9A">
        <w:rPr>
          <w:rFonts w:ascii="Times New Roman" w:hAnsi="Times New Roman" w:cs="Times New Roman"/>
          <w:bCs/>
          <w:sz w:val="24"/>
          <w:szCs w:val="24"/>
        </w:rPr>
        <w:t>For safety related investigation</w:t>
      </w:r>
      <w:r w:rsidR="008E6489" w:rsidRPr="00567F9A">
        <w:rPr>
          <w:rFonts w:ascii="Times New Roman" w:hAnsi="Times New Roman" w:cs="Times New Roman"/>
          <w:bCs/>
          <w:sz w:val="24"/>
          <w:szCs w:val="24"/>
        </w:rPr>
        <w:t xml:space="preserve">, cytokine panel analysis were performed using back up PK samples. </w:t>
      </w:r>
    </w:p>
    <w:p w14:paraId="16CF746F" w14:textId="50EBF6CA" w:rsidR="002D44D5" w:rsidRPr="00567F9A" w:rsidRDefault="002D44D5" w:rsidP="00AA1D6E">
      <w:pPr>
        <w:spacing w:before="120" w:line="360" w:lineRule="auto"/>
        <w:jc w:val="both"/>
        <w:rPr>
          <w:rFonts w:ascii="Times New Roman" w:hAnsi="Times New Roman" w:cs="Times New Roman"/>
          <w:bCs/>
          <w:sz w:val="24"/>
          <w:szCs w:val="24"/>
        </w:rPr>
      </w:pPr>
      <w:r w:rsidRPr="00567F9A">
        <w:rPr>
          <w:rFonts w:ascii="Times New Roman" w:hAnsi="Times New Roman" w:cs="Times New Roman"/>
          <w:bCs/>
          <w:i/>
          <w:sz w:val="24"/>
          <w:szCs w:val="24"/>
        </w:rPr>
        <w:t>CDH6 expression (IHC and qPCR)</w:t>
      </w:r>
      <w:r w:rsidR="00E77825" w:rsidRPr="00567F9A">
        <w:rPr>
          <w:rFonts w:ascii="Times New Roman" w:hAnsi="Times New Roman" w:cs="Times New Roman"/>
          <w:bCs/>
          <w:i/>
          <w:sz w:val="24"/>
          <w:szCs w:val="24"/>
        </w:rPr>
        <w:t xml:space="preserve"> in patient tumor samples</w:t>
      </w:r>
    </w:p>
    <w:p w14:paraId="3F6D33AB" w14:textId="4A95E045" w:rsidR="00FC28D3" w:rsidRPr="00567F9A" w:rsidRDefault="00AD3F2E" w:rsidP="00AA1D6E">
      <w:pPr>
        <w:spacing w:before="120" w:line="360" w:lineRule="auto"/>
        <w:jc w:val="both"/>
        <w:rPr>
          <w:rFonts w:ascii="Times New Roman" w:hAnsi="Times New Roman" w:cs="Times New Roman"/>
          <w:bCs/>
          <w:sz w:val="24"/>
          <w:szCs w:val="24"/>
        </w:rPr>
      </w:pPr>
      <w:r w:rsidRPr="00567F9A">
        <w:rPr>
          <w:rFonts w:ascii="Times New Roman" w:hAnsi="Times New Roman" w:cs="Times New Roman"/>
          <w:bCs/>
          <w:sz w:val="24"/>
          <w:szCs w:val="24"/>
        </w:rPr>
        <w:t xml:space="preserve">Tumor samples were available for retrospective CDH6 expression testing. </w:t>
      </w:r>
      <w:r w:rsidR="009E014A" w:rsidRPr="00567F9A">
        <w:rPr>
          <w:rFonts w:ascii="Times New Roman" w:hAnsi="Times New Roman" w:cs="Times New Roman"/>
          <w:bCs/>
          <w:sz w:val="24"/>
          <w:szCs w:val="24"/>
        </w:rPr>
        <w:t xml:space="preserve">CDH6 </w:t>
      </w:r>
      <w:r w:rsidR="00A51825" w:rsidRPr="00567F9A">
        <w:rPr>
          <w:rFonts w:ascii="Times New Roman" w:hAnsi="Times New Roman" w:cs="Times New Roman"/>
          <w:bCs/>
          <w:sz w:val="24"/>
          <w:szCs w:val="24"/>
        </w:rPr>
        <w:t>mRNA and protein expression of clinical samples</w:t>
      </w:r>
      <w:r w:rsidR="008614E2" w:rsidRPr="00567F9A">
        <w:rPr>
          <w:rFonts w:ascii="Times New Roman" w:hAnsi="Times New Roman" w:cs="Times New Roman"/>
          <w:bCs/>
          <w:sz w:val="24"/>
          <w:szCs w:val="24"/>
        </w:rPr>
        <w:t xml:space="preserve"> </w:t>
      </w:r>
      <w:r w:rsidR="00A51825" w:rsidRPr="00567F9A">
        <w:rPr>
          <w:rFonts w:ascii="Times New Roman" w:hAnsi="Times New Roman" w:cs="Times New Roman"/>
          <w:bCs/>
          <w:sz w:val="24"/>
          <w:szCs w:val="24"/>
        </w:rPr>
        <w:t xml:space="preserve">were measured by immunohistochemistry (IHC) and quantitative polymerase chain reaction (qPCR) by </w:t>
      </w:r>
      <w:r w:rsidR="00F413BB" w:rsidRPr="00567F9A">
        <w:rPr>
          <w:rFonts w:ascii="Times New Roman" w:hAnsi="Times New Roman" w:cs="Times New Roman"/>
          <w:bCs/>
          <w:sz w:val="24"/>
          <w:szCs w:val="24"/>
        </w:rPr>
        <w:t xml:space="preserve">ICON Specialty Laboratories (formerly </w:t>
      </w:r>
      <w:proofErr w:type="spellStart"/>
      <w:r w:rsidR="00A51825" w:rsidRPr="00567F9A">
        <w:rPr>
          <w:rFonts w:ascii="Times New Roman" w:hAnsi="Times New Roman" w:cs="Times New Roman"/>
          <w:bCs/>
          <w:sz w:val="24"/>
          <w:szCs w:val="24"/>
        </w:rPr>
        <w:t>MolecularMD</w:t>
      </w:r>
      <w:proofErr w:type="spellEnd"/>
      <w:r w:rsidR="00F413BB" w:rsidRPr="00567F9A">
        <w:rPr>
          <w:rFonts w:ascii="Times New Roman" w:hAnsi="Times New Roman" w:cs="Times New Roman"/>
          <w:bCs/>
          <w:sz w:val="24"/>
          <w:szCs w:val="24"/>
        </w:rPr>
        <w:t>)</w:t>
      </w:r>
      <w:r w:rsidR="00A51825" w:rsidRPr="00567F9A">
        <w:rPr>
          <w:rFonts w:ascii="Times New Roman" w:hAnsi="Times New Roman" w:cs="Times New Roman"/>
          <w:bCs/>
          <w:sz w:val="24"/>
          <w:szCs w:val="24"/>
        </w:rPr>
        <w:t>.</w:t>
      </w:r>
      <w:r w:rsidR="00492272" w:rsidRPr="00567F9A">
        <w:rPr>
          <w:rFonts w:ascii="Times New Roman" w:hAnsi="Times New Roman" w:cs="Times New Roman"/>
          <w:bCs/>
          <w:sz w:val="24"/>
          <w:szCs w:val="24"/>
        </w:rPr>
        <w:t xml:space="preserve"> The sample c</w:t>
      </w:r>
      <w:r w:rsidR="00A55836" w:rsidRPr="00567F9A">
        <w:rPr>
          <w:rFonts w:ascii="Times New Roman" w:hAnsi="Times New Roman" w:cs="Times New Roman"/>
          <w:bCs/>
          <w:sz w:val="24"/>
          <w:szCs w:val="24"/>
        </w:rPr>
        <w:t>ollection was mandatory and the</w:t>
      </w:r>
      <w:r w:rsidR="00492272" w:rsidRPr="00567F9A">
        <w:rPr>
          <w:rFonts w:ascii="Times New Roman" w:hAnsi="Times New Roman" w:cs="Times New Roman"/>
          <w:bCs/>
          <w:sz w:val="24"/>
          <w:szCs w:val="24"/>
        </w:rPr>
        <w:t xml:space="preserve"> biopsy could be either primary or metastatic </w:t>
      </w:r>
      <w:r w:rsidR="00AB2606" w:rsidRPr="00567F9A">
        <w:rPr>
          <w:rFonts w:ascii="Times New Roman" w:hAnsi="Times New Roman" w:cs="Times New Roman"/>
          <w:bCs/>
          <w:sz w:val="24"/>
          <w:szCs w:val="24"/>
        </w:rPr>
        <w:t>lesion</w:t>
      </w:r>
      <w:r w:rsidR="00492272" w:rsidRPr="00567F9A">
        <w:rPr>
          <w:rFonts w:ascii="Times New Roman" w:hAnsi="Times New Roman" w:cs="Times New Roman"/>
          <w:bCs/>
          <w:sz w:val="24"/>
          <w:szCs w:val="24"/>
        </w:rPr>
        <w:t>.</w:t>
      </w:r>
      <w:r w:rsidR="00A51825" w:rsidRPr="00567F9A">
        <w:rPr>
          <w:rFonts w:ascii="Times New Roman" w:hAnsi="Times New Roman" w:cs="Times New Roman"/>
          <w:bCs/>
          <w:sz w:val="24"/>
          <w:szCs w:val="24"/>
        </w:rPr>
        <w:t xml:space="preserve"> </w:t>
      </w:r>
      <w:r w:rsidR="00D21A50" w:rsidRPr="00567F9A">
        <w:rPr>
          <w:rFonts w:ascii="Times New Roman" w:hAnsi="Times New Roman" w:cs="Times New Roman"/>
          <w:bCs/>
          <w:sz w:val="24"/>
          <w:szCs w:val="24"/>
        </w:rPr>
        <w:t>For IHC, slides were stained on the Ventana Benchmark ULTRA platform. Slide-mounted FFPE sections were dewaxed (EZ Prep</w:t>
      </w:r>
      <w:r w:rsidR="00841EEF" w:rsidRPr="00567F9A">
        <w:rPr>
          <w:rFonts w:ascii="Times New Roman" w:hAnsi="Times New Roman" w:cs="Times New Roman"/>
          <w:bCs/>
          <w:sz w:val="24"/>
          <w:szCs w:val="24"/>
        </w:rPr>
        <w:t>, Ventana/Roche</w:t>
      </w:r>
      <w:r w:rsidR="00D21A50" w:rsidRPr="00567F9A">
        <w:rPr>
          <w:rFonts w:ascii="Times New Roman" w:hAnsi="Times New Roman" w:cs="Times New Roman"/>
          <w:bCs/>
          <w:sz w:val="24"/>
          <w:szCs w:val="24"/>
        </w:rPr>
        <w:t>), subjected to head-induced epitope retrieval (</w:t>
      </w:r>
      <w:r w:rsidR="00841EEF" w:rsidRPr="00567F9A">
        <w:rPr>
          <w:rFonts w:ascii="Times New Roman" w:hAnsi="Times New Roman" w:cs="Times New Roman"/>
          <w:bCs/>
          <w:sz w:val="24"/>
          <w:szCs w:val="24"/>
        </w:rPr>
        <w:t>ULTRA Cell Conditioning 1 (</w:t>
      </w:r>
      <w:r w:rsidR="00D21A50" w:rsidRPr="00567F9A">
        <w:rPr>
          <w:rFonts w:ascii="Times New Roman" w:hAnsi="Times New Roman" w:cs="Times New Roman"/>
          <w:bCs/>
          <w:sz w:val="24"/>
          <w:szCs w:val="24"/>
        </w:rPr>
        <w:t>CC1</w:t>
      </w:r>
      <w:r w:rsidR="00841EEF" w:rsidRPr="00567F9A">
        <w:rPr>
          <w:rFonts w:ascii="Times New Roman" w:hAnsi="Times New Roman" w:cs="Times New Roman"/>
          <w:bCs/>
          <w:sz w:val="24"/>
          <w:szCs w:val="24"/>
        </w:rPr>
        <w:t>), Ventana/Roche</w:t>
      </w:r>
      <w:r w:rsidR="00D21A50" w:rsidRPr="00567F9A">
        <w:rPr>
          <w:rFonts w:ascii="Times New Roman" w:hAnsi="Times New Roman" w:cs="Times New Roman"/>
          <w:bCs/>
          <w:sz w:val="24"/>
          <w:szCs w:val="24"/>
        </w:rPr>
        <w:t>), quenched with endogenous peroxidase blocker (</w:t>
      </w:r>
      <w:proofErr w:type="spellStart"/>
      <w:r w:rsidR="00D21A50" w:rsidRPr="00567F9A">
        <w:rPr>
          <w:rFonts w:ascii="Times New Roman" w:hAnsi="Times New Roman" w:cs="Times New Roman"/>
          <w:bCs/>
          <w:sz w:val="24"/>
          <w:szCs w:val="24"/>
        </w:rPr>
        <w:t>UltraView</w:t>
      </w:r>
      <w:proofErr w:type="spellEnd"/>
      <w:r w:rsidR="00841EEF" w:rsidRPr="00567F9A">
        <w:rPr>
          <w:rFonts w:ascii="Times New Roman" w:hAnsi="Times New Roman" w:cs="Times New Roman"/>
          <w:bCs/>
          <w:sz w:val="24"/>
          <w:szCs w:val="24"/>
        </w:rPr>
        <w:t xml:space="preserve"> Ventana/Roche</w:t>
      </w:r>
      <w:r w:rsidR="00D21A50" w:rsidRPr="00567F9A">
        <w:rPr>
          <w:rFonts w:ascii="Times New Roman" w:hAnsi="Times New Roman" w:cs="Times New Roman"/>
          <w:bCs/>
          <w:sz w:val="24"/>
          <w:szCs w:val="24"/>
        </w:rPr>
        <w:t>), and washed (Reaction Buffer, deionized water</w:t>
      </w:r>
      <w:r w:rsidR="00841EEF" w:rsidRPr="00567F9A">
        <w:rPr>
          <w:rFonts w:ascii="Times New Roman" w:hAnsi="Times New Roman" w:cs="Times New Roman"/>
          <w:bCs/>
          <w:sz w:val="24"/>
          <w:szCs w:val="24"/>
        </w:rPr>
        <w:t>, Ventana/Roche</w:t>
      </w:r>
      <w:r w:rsidR="009C06AF" w:rsidRPr="00567F9A">
        <w:rPr>
          <w:rFonts w:ascii="Times New Roman" w:hAnsi="Times New Roman" w:cs="Times New Roman"/>
          <w:bCs/>
          <w:sz w:val="24"/>
          <w:szCs w:val="24"/>
        </w:rPr>
        <w:t xml:space="preserve"> #808-0021</w:t>
      </w:r>
      <w:r w:rsidR="00D21A50" w:rsidRPr="00567F9A">
        <w:rPr>
          <w:rFonts w:ascii="Times New Roman" w:hAnsi="Times New Roman" w:cs="Times New Roman"/>
          <w:bCs/>
          <w:sz w:val="24"/>
          <w:szCs w:val="24"/>
        </w:rPr>
        <w:t xml:space="preserve">) prior to application of the primary antibody. The primary antibody was a mouse </w:t>
      </w:r>
      <w:r w:rsidR="00982CA1" w:rsidRPr="00567F9A">
        <w:rPr>
          <w:rFonts w:ascii="Times New Roman" w:hAnsi="Times New Roman" w:cs="Times New Roman"/>
          <w:bCs/>
          <w:sz w:val="24"/>
          <w:szCs w:val="24"/>
        </w:rPr>
        <w:t>monoclonal antibody (</w:t>
      </w:r>
      <w:proofErr w:type="spellStart"/>
      <w:r w:rsidR="00D21A50" w:rsidRPr="00567F9A">
        <w:rPr>
          <w:rFonts w:ascii="Times New Roman" w:hAnsi="Times New Roman" w:cs="Times New Roman"/>
          <w:bCs/>
          <w:sz w:val="24"/>
          <w:szCs w:val="24"/>
        </w:rPr>
        <w:t>mA</w:t>
      </w:r>
      <w:r w:rsidR="00D91492" w:rsidRPr="00567F9A">
        <w:rPr>
          <w:rFonts w:ascii="Times New Roman" w:hAnsi="Times New Roman" w:cs="Times New Roman"/>
          <w:bCs/>
          <w:sz w:val="24"/>
          <w:szCs w:val="24"/>
        </w:rPr>
        <w:t>b</w:t>
      </w:r>
      <w:proofErr w:type="spellEnd"/>
      <w:r w:rsidR="00982CA1" w:rsidRPr="00567F9A">
        <w:rPr>
          <w:rFonts w:ascii="Times New Roman" w:hAnsi="Times New Roman" w:cs="Times New Roman"/>
          <w:bCs/>
          <w:sz w:val="24"/>
          <w:szCs w:val="24"/>
        </w:rPr>
        <w:t>)</w:t>
      </w:r>
      <w:r w:rsidR="00D21A50" w:rsidRPr="00567F9A">
        <w:rPr>
          <w:rFonts w:ascii="Times New Roman" w:hAnsi="Times New Roman" w:cs="Times New Roman"/>
          <w:bCs/>
          <w:sz w:val="24"/>
          <w:szCs w:val="24"/>
        </w:rPr>
        <w:t xml:space="preserve"> to CDH6/K (clone 2B6, </w:t>
      </w:r>
      <w:proofErr w:type="spellStart"/>
      <w:r w:rsidR="00D21A50" w:rsidRPr="00567F9A">
        <w:rPr>
          <w:rFonts w:ascii="Times New Roman" w:hAnsi="Times New Roman" w:cs="Times New Roman"/>
          <w:bCs/>
          <w:sz w:val="24"/>
          <w:szCs w:val="24"/>
        </w:rPr>
        <w:t>ThermoFisher</w:t>
      </w:r>
      <w:proofErr w:type="spellEnd"/>
      <w:r w:rsidR="00D21A50" w:rsidRPr="00567F9A">
        <w:rPr>
          <w:rFonts w:ascii="Times New Roman" w:hAnsi="Times New Roman" w:cs="Times New Roman"/>
          <w:bCs/>
          <w:sz w:val="24"/>
          <w:szCs w:val="24"/>
        </w:rPr>
        <w:t xml:space="preserve"> Scientific). A mouse IgG1 isotype control </w:t>
      </w:r>
      <w:proofErr w:type="spellStart"/>
      <w:r w:rsidR="00D21A50" w:rsidRPr="00567F9A">
        <w:rPr>
          <w:rFonts w:ascii="Times New Roman" w:hAnsi="Times New Roman" w:cs="Times New Roman"/>
          <w:bCs/>
          <w:sz w:val="24"/>
          <w:szCs w:val="24"/>
        </w:rPr>
        <w:t>mAb</w:t>
      </w:r>
      <w:proofErr w:type="spellEnd"/>
      <w:r w:rsidR="00D21A50" w:rsidRPr="00567F9A">
        <w:rPr>
          <w:rFonts w:ascii="Times New Roman" w:hAnsi="Times New Roman" w:cs="Times New Roman"/>
          <w:bCs/>
          <w:sz w:val="24"/>
          <w:szCs w:val="24"/>
        </w:rPr>
        <w:t xml:space="preserve"> (</w:t>
      </w:r>
      <w:r w:rsidR="00841EEF" w:rsidRPr="00567F9A">
        <w:rPr>
          <w:rFonts w:ascii="Times New Roman" w:hAnsi="Times New Roman" w:cs="Times New Roman"/>
          <w:bCs/>
          <w:sz w:val="24"/>
          <w:szCs w:val="24"/>
        </w:rPr>
        <w:t xml:space="preserve">clone MOPC-21, </w:t>
      </w:r>
      <w:r w:rsidR="00D21A50" w:rsidRPr="00567F9A">
        <w:rPr>
          <w:rFonts w:ascii="Times New Roman" w:hAnsi="Times New Roman" w:cs="Times New Roman"/>
          <w:bCs/>
          <w:sz w:val="24"/>
          <w:szCs w:val="24"/>
        </w:rPr>
        <w:t xml:space="preserve">Abcam) was used to discriminate specific staining from background. </w:t>
      </w:r>
      <w:r w:rsidR="00AF13B9" w:rsidRPr="00567F9A">
        <w:rPr>
          <w:rFonts w:ascii="Times New Roman" w:hAnsi="Times New Roman" w:cs="Times New Roman"/>
          <w:bCs/>
          <w:sz w:val="24"/>
          <w:szCs w:val="24"/>
        </w:rPr>
        <w:t>The bound primary antibody was detected using an anti-mouse IgG-HRP conjugate (</w:t>
      </w:r>
      <w:proofErr w:type="spellStart"/>
      <w:r w:rsidR="00AF13B9" w:rsidRPr="00567F9A">
        <w:rPr>
          <w:rFonts w:ascii="Times New Roman" w:hAnsi="Times New Roman" w:cs="Times New Roman"/>
          <w:bCs/>
          <w:sz w:val="24"/>
          <w:szCs w:val="24"/>
        </w:rPr>
        <w:t>UltraView</w:t>
      </w:r>
      <w:proofErr w:type="spellEnd"/>
      <w:r w:rsidR="00AF13B9" w:rsidRPr="00567F9A">
        <w:rPr>
          <w:rFonts w:ascii="Times New Roman" w:hAnsi="Times New Roman" w:cs="Times New Roman"/>
          <w:bCs/>
          <w:sz w:val="24"/>
          <w:szCs w:val="24"/>
        </w:rPr>
        <w:t xml:space="preserve"> DAB kit</w:t>
      </w:r>
      <w:r w:rsidR="00841EEF" w:rsidRPr="00567F9A">
        <w:rPr>
          <w:rFonts w:ascii="Times New Roman" w:hAnsi="Times New Roman" w:cs="Times New Roman"/>
          <w:bCs/>
          <w:sz w:val="24"/>
          <w:szCs w:val="24"/>
        </w:rPr>
        <w:t>, Ventana/Roche</w:t>
      </w:r>
      <w:r w:rsidR="00AF13B9" w:rsidRPr="00567F9A">
        <w:rPr>
          <w:rFonts w:ascii="Times New Roman" w:hAnsi="Times New Roman" w:cs="Times New Roman"/>
          <w:bCs/>
          <w:sz w:val="24"/>
          <w:szCs w:val="24"/>
        </w:rPr>
        <w:t>). DAB was used as the chromogen to visualize the sites of antibody binding within tissue (</w:t>
      </w:r>
      <w:proofErr w:type="spellStart"/>
      <w:r w:rsidR="00AF13B9" w:rsidRPr="00567F9A">
        <w:rPr>
          <w:rFonts w:ascii="Times New Roman" w:hAnsi="Times New Roman" w:cs="Times New Roman"/>
          <w:bCs/>
          <w:sz w:val="24"/>
          <w:szCs w:val="24"/>
        </w:rPr>
        <w:t>UltraView</w:t>
      </w:r>
      <w:proofErr w:type="spellEnd"/>
      <w:r w:rsidR="00AF13B9" w:rsidRPr="00567F9A">
        <w:rPr>
          <w:rFonts w:ascii="Times New Roman" w:hAnsi="Times New Roman" w:cs="Times New Roman"/>
          <w:bCs/>
          <w:sz w:val="24"/>
          <w:szCs w:val="24"/>
        </w:rPr>
        <w:t xml:space="preserve"> DAB</w:t>
      </w:r>
      <w:r w:rsidR="00805B53" w:rsidRPr="00567F9A">
        <w:rPr>
          <w:rFonts w:ascii="Times New Roman" w:hAnsi="Times New Roman" w:cs="Times New Roman"/>
          <w:bCs/>
          <w:sz w:val="24"/>
          <w:szCs w:val="24"/>
        </w:rPr>
        <w:t>, Ventana/Roche</w:t>
      </w:r>
      <w:r w:rsidR="00AF13B9" w:rsidRPr="00567F9A">
        <w:rPr>
          <w:rFonts w:ascii="Times New Roman" w:hAnsi="Times New Roman" w:cs="Times New Roman"/>
          <w:bCs/>
          <w:sz w:val="24"/>
          <w:szCs w:val="24"/>
        </w:rPr>
        <w:t xml:space="preserve">). Slides were counterstained with hematoxylin to label cell nuclei. Slides were </w:t>
      </w:r>
      <w:r w:rsidR="008F5857" w:rsidRPr="00567F9A">
        <w:rPr>
          <w:rFonts w:ascii="Times New Roman" w:hAnsi="Times New Roman" w:cs="Times New Roman"/>
          <w:bCs/>
          <w:sz w:val="24"/>
          <w:szCs w:val="24"/>
        </w:rPr>
        <w:t>cover slipped</w:t>
      </w:r>
      <w:r w:rsidR="00AF13B9" w:rsidRPr="00567F9A">
        <w:rPr>
          <w:rFonts w:ascii="Times New Roman" w:hAnsi="Times New Roman" w:cs="Times New Roman"/>
          <w:bCs/>
          <w:sz w:val="24"/>
          <w:szCs w:val="24"/>
        </w:rPr>
        <w:t xml:space="preserve"> using permanent mounting medium (</w:t>
      </w:r>
      <w:proofErr w:type="spellStart"/>
      <w:r w:rsidR="00AF13B9" w:rsidRPr="00567F9A">
        <w:rPr>
          <w:rFonts w:ascii="Times New Roman" w:hAnsi="Times New Roman" w:cs="Times New Roman"/>
          <w:bCs/>
          <w:sz w:val="24"/>
          <w:szCs w:val="24"/>
        </w:rPr>
        <w:t>Cytoseal</w:t>
      </w:r>
      <w:proofErr w:type="spellEnd"/>
      <w:r w:rsidR="009C06AF" w:rsidRPr="00567F9A">
        <w:rPr>
          <w:rFonts w:ascii="Times New Roman" w:hAnsi="Times New Roman" w:cs="Times New Roman"/>
          <w:bCs/>
          <w:sz w:val="24"/>
          <w:szCs w:val="24"/>
        </w:rPr>
        <w:t>, Thermo Scientific</w:t>
      </w:r>
      <w:r w:rsidR="00AF13B9" w:rsidRPr="00567F9A">
        <w:rPr>
          <w:rFonts w:ascii="Times New Roman" w:hAnsi="Times New Roman" w:cs="Times New Roman"/>
          <w:bCs/>
          <w:sz w:val="24"/>
          <w:szCs w:val="24"/>
        </w:rPr>
        <w:t xml:space="preserve">) and glass coverslips. </w:t>
      </w:r>
      <w:r w:rsidR="00495F02" w:rsidRPr="00567F9A">
        <w:rPr>
          <w:rFonts w:ascii="Times New Roman" w:hAnsi="Times New Roman" w:cs="Times New Roman"/>
          <w:bCs/>
          <w:sz w:val="24"/>
          <w:szCs w:val="24"/>
        </w:rPr>
        <w:t>IHC</w:t>
      </w:r>
      <w:r w:rsidR="00AF13B9" w:rsidRPr="00567F9A">
        <w:rPr>
          <w:rFonts w:ascii="Times New Roman" w:hAnsi="Times New Roman" w:cs="Times New Roman"/>
          <w:bCs/>
          <w:sz w:val="24"/>
          <w:szCs w:val="24"/>
        </w:rPr>
        <w:t xml:space="preserve"> staining results were reported as positive (any detectable membrane-associated </w:t>
      </w:r>
      <w:r w:rsidR="00AF13B9" w:rsidRPr="00567F9A">
        <w:rPr>
          <w:rFonts w:ascii="Times New Roman" w:hAnsi="Times New Roman" w:cs="Times New Roman"/>
          <w:bCs/>
          <w:sz w:val="24"/>
          <w:szCs w:val="24"/>
        </w:rPr>
        <w:lastRenderedPageBreak/>
        <w:t>staining within the tumor) or negative (no detectable membrane-associated staining within the tumor). Staining intensity w</w:t>
      </w:r>
      <w:r w:rsidR="001540F8" w:rsidRPr="00567F9A">
        <w:rPr>
          <w:rFonts w:ascii="Times New Roman" w:hAnsi="Times New Roman" w:cs="Times New Roman"/>
          <w:bCs/>
          <w:sz w:val="24"/>
          <w:szCs w:val="24"/>
        </w:rPr>
        <w:t>as</w:t>
      </w:r>
      <w:r w:rsidR="00AF13B9" w:rsidRPr="00567F9A">
        <w:rPr>
          <w:rFonts w:ascii="Times New Roman" w:hAnsi="Times New Roman" w:cs="Times New Roman"/>
          <w:bCs/>
          <w:sz w:val="24"/>
          <w:szCs w:val="24"/>
        </w:rPr>
        <w:t xml:space="preserve"> reported as 0, 1+, 2+, or 3+</w:t>
      </w:r>
      <w:r w:rsidR="001057ED" w:rsidRPr="00567F9A">
        <w:rPr>
          <w:rFonts w:ascii="Times New Roman" w:hAnsi="Times New Roman" w:cs="Times New Roman"/>
          <w:bCs/>
          <w:sz w:val="24"/>
          <w:szCs w:val="24"/>
        </w:rPr>
        <w:t xml:space="preserve">. </w:t>
      </w:r>
      <w:r w:rsidR="00AF13B9" w:rsidRPr="00567F9A">
        <w:rPr>
          <w:rFonts w:ascii="Times New Roman" w:hAnsi="Times New Roman" w:cs="Times New Roman"/>
          <w:bCs/>
          <w:sz w:val="24"/>
          <w:szCs w:val="24"/>
        </w:rPr>
        <w:t>Percentage of positively stained tumor cells were reported as 0-100% a</w:t>
      </w:r>
      <w:r w:rsidR="00E34A04" w:rsidRPr="00567F9A">
        <w:rPr>
          <w:rFonts w:ascii="Times New Roman" w:hAnsi="Times New Roman" w:cs="Times New Roman"/>
          <w:bCs/>
          <w:sz w:val="24"/>
          <w:szCs w:val="24"/>
        </w:rPr>
        <w:t>s well as the computed H-score</w:t>
      </w:r>
      <w:r w:rsidR="0064770E" w:rsidRPr="00567F9A">
        <w:rPr>
          <w:rFonts w:ascii="Times New Roman" w:hAnsi="Times New Roman" w:cs="Times New Roman"/>
          <w:bCs/>
          <w:sz w:val="24"/>
          <w:szCs w:val="24"/>
        </w:rPr>
        <w:t xml:space="preserve"> </w:t>
      </w:r>
      <w:r w:rsidR="0031496A" w:rsidRPr="00567F9A">
        <w:rPr>
          <w:rFonts w:ascii="Times New Roman" w:hAnsi="Times New Roman" w:cs="Times New Roman"/>
          <w:bCs/>
          <w:sz w:val="24"/>
          <w:szCs w:val="24"/>
        </w:rPr>
        <w:t>(</w:t>
      </w:r>
      <w:r w:rsidR="0064770E" w:rsidRPr="00567F9A">
        <w:rPr>
          <w:rFonts w:ascii="Times New Roman" w:hAnsi="Times New Roman" w:cs="Times New Roman"/>
          <w:bCs/>
          <w:sz w:val="24"/>
          <w:szCs w:val="24"/>
        </w:rPr>
        <w:t xml:space="preserve">Computed H-score was calculated using the following formula: </w:t>
      </w:r>
      <w:r w:rsidR="00100E3B" w:rsidRPr="00567F9A">
        <w:rPr>
          <w:rFonts w:ascii="Times New Roman" w:hAnsi="Times New Roman" w:cs="Times New Roman"/>
          <w:bCs/>
          <w:sz w:val="24"/>
          <w:szCs w:val="24"/>
        </w:rPr>
        <w:t>3×</w:t>
      </w:r>
      <w:r w:rsidR="0064770E" w:rsidRPr="00567F9A">
        <w:rPr>
          <w:rFonts w:ascii="Times New Roman" w:hAnsi="Times New Roman" w:cs="Times New Roman"/>
          <w:bCs/>
          <w:sz w:val="24"/>
          <w:szCs w:val="24"/>
        </w:rPr>
        <w:t xml:space="preserve">(% tumor cells 3+) + </w:t>
      </w:r>
      <w:r w:rsidR="00100E3B" w:rsidRPr="00567F9A">
        <w:rPr>
          <w:rFonts w:ascii="Times New Roman" w:hAnsi="Times New Roman" w:cs="Times New Roman"/>
          <w:bCs/>
          <w:sz w:val="24"/>
          <w:szCs w:val="24"/>
        </w:rPr>
        <w:t>2×</w:t>
      </w:r>
      <w:r w:rsidR="0064770E" w:rsidRPr="00567F9A">
        <w:rPr>
          <w:rFonts w:ascii="Times New Roman" w:hAnsi="Times New Roman" w:cs="Times New Roman"/>
          <w:bCs/>
          <w:sz w:val="24"/>
          <w:szCs w:val="24"/>
        </w:rPr>
        <w:t>(%</w:t>
      </w:r>
      <w:r w:rsidR="00100E3B" w:rsidRPr="00567F9A">
        <w:rPr>
          <w:rFonts w:ascii="Times New Roman" w:hAnsi="Times New Roman" w:cs="Times New Roman"/>
          <w:bCs/>
          <w:sz w:val="24"/>
          <w:szCs w:val="24"/>
        </w:rPr>
        <w:t xml:space="preserve">tumor cells </w:t>
      </w:r>
      <w:r w:rsidR="0064770E" w:rsidRPr="00567F9A">
        <w:rPr>
          <w:rFonts w:ascii="Times New Roman" w:hAnsi="Times New Roman" w:cs="Times New Roman"/>
          <w:bCs/>
          <w:sz w:val="24"/>
          <w:szCs w:val="24"/>
        </w:rPr>
        <w:t xml:space="preserve">2+) + </w:t>
      </w:r>
      <w:r w:rsidR="00100E3B" w:rsidRPr="00567F9A">
        <w:rPr>
          <w:rFonts w:ascii="Times New Roman" w:hAnsi="Times New Roman" w:cs="Times New Roman"/>
          <w:bCs/>
          <w:sz w:val="24"/>
          <w:szCs w:val="24"/>
        </w:rPr>
        <w:t>1×</w:t>
      </w:r>
      <w:r w:rsidR="0064770E" w:rsidRPr="00567F9A">
        <w:rPr>
          <w:rFonts w:ascii="Times New Roman" w:hAnsi="Times New Roman" w:cs="Times New Roman"/>
          <w:bCs/>
          <w:sz w:val="24"/>
          <w:szCs w:val="24"/>
        </w:rPr>
        <w:t>(%</w:t>
      </w:r>
      <w:r w:rsidR="00100E3B" w:rsidRPr="00567F9A">
        <w:rPr>
          <w:rFonts w:ascii="Times New Roman" w:hAnsi="Times New Roman" w:cs="Times New Roman"/>
          <w:bCs/>
          <w:sz w:val="24"/>
          <w:szCs w:val="24"/>
        </w:rPr>
        <w:t xml:space="preserve">tumor cells </w:t>
      </w:r>
      <w:r w:rsidR="001D0AE9" w:rsidRPr="00567F9A">
        <w:rPr>
          <w:rFonts w:ascii="Times New Roman" w:hAnsi="Times New Roman" w:cs="Times New Roman"/>
          <w:bCs/>
          <w:sz w:val="24"/>
          <w:szCs w:val="24"/>
        </w:rPr>
        <w:t>1+</w:t>
      </w:r>
      <w:r w:rsidR="0064770E" w:rsidRPr="00567F9A">
        <w:rPr>
          <w:rFonts w:ascii="Times New Roman" w:hAnsi="Times New Roman" w:cs="Times New Roman"/>
          <w:bCs/>
          <w:sz w:val="24"/>
          <w:szCs w:val="24"/>
        </w:rPr>
        <w:t>) for a max total of 300</w:t>
      </w:r>
      <w:r w:rsidR="0031496A" w:rsidRPr="00567F9A">
        <w:rPr>
          <w:rFonts w:ascii="Times New Roman" w:hAnsi="Times New Roman" w:cs="Times New Roman"/>
          <w:bCs/>
          <w:sz w:val="24"/>
          <w:szCs w:val="24"/>
        </w:rPr>
        <w:t>)</w:t>
      </w:r>
      <w:r w:rsidR="00E34A04" w:rsidRPr="00567F9A">
        <w:rPr>
          <w:rFonts w:ascii="Times New Roman" w:hAnsi="Times New Roman" w:cs="Times New Roman"/>
          <w:bCs/>
          <w:sz w:val="24"/>
          <w:szCs w:val="24"/>
        </w:rPr>
        <w:t xml:space="preserve">. </w:t>
      </w:r>
    </w:p>
    <w:p w14:paraId="05505B79" w14:textId="547F61F0" w:rsidR="00713259" w:rsidRPr="00567F9A" w:rsidRDefault="00AF13B9" w:rsidP="00AA1D6E">
      <w:pPr>
        <w:spacing w:before="120" w:line="360" w:lineRule="auto"/>
        <w:jc w:val="both"/>
        <w:rPr>
          <w:rFonts w:ascii="Times New Roman" w:hAnsi="Times New Roman" w:cs="Times New Roman"/>
          <w:bCs/>
          <w:sz w:val="24"/>
          <w:szCs w:val="24"/>
        </w:rPr>
      </w:pPr>
      <w:r w:rsidRPr="00567F9A">
        <w:rPr>
          <w:rFonts w:ascii="Times New Roman" w:hAnsi="Times New Roman" w:cs="Times New Roman"/>
          <w:bCs/>
          <w:sz w:val="24"/>
          <w:szCs w:val="24"/>
        </w:rPr>
        <w:t xml:space="preserve">For </w:t>
      </w:r>
      <w:r w:rsidR="000C5A6E" w:rsidRPr="00567F9A">
        <w:rPr>
          <w:rFonts w:ascii="Times New Roman" w:hAnsi="Times New Roman" w:cs="Times New Roman"/>
          <w:bCs/>
          <w:sz w:val="24"/>
          <w:szCs w:val="24"/>
        </w:rPr>
        <w:t>qPCR</w:t>
      </w:r>
      <w:r w:rsidR="00E34A04" w:rsidRPr="00567F9A">
        <w:rPr>
          <w:rFonts w:ascii="Times New Roman" w:hAnsi="Times New Roman" w:cs="Times New Roman"/>
          <w:bCs/>
          <w:sz w:val="24"/>
          <w:szCs w:val="24"/>
        </w:rPr>
        <w:t xml:space="preserve">, the Maxwell FFPE RNA Extraction Kit was employed to extract RNA from </w:t>
      </w:r>
      <w:r w:rsidR="00F91DFE" w:rsidRPr="00567F9A">
        <w:rPr>
          <w:rFonts w:ascii="Times New Roman" w:hAnsi="Times New Roman" w:cs="Times New Roman"/>
          <w:bCs/>
          <w:sz w:val="24"/>
          <w:szCs w:val="24"/>
        </w:rPr>
        <w:t>FFPE</w:t>
      </w:r>
      <w:r w:rsidR="00E34A04" w:rsidRPr="00567F9A">
        <w:rPr>
          <w:rFonts w:ascii="Times New Roman" w:hAnsi="Times New Roman" w:cs="Times New Roman"/>
          <w:bCs/>
          <w:sz w:val="24"/>
          <w:szCs w:val="24"/>
        </w:rPr>
        <w:t xml:space="preserve"> sampl</w:t>
      </w:r>
      <w:r w:rsidR="00553D37" w:rsidRPr="00567F9A">
        <w:rPr>
          <w:rFonts w:ascii="Times New Roman" w:hAnsi="Times New Roman" w:cs="Times New Roman"/>
          <w:bCs/>
          <w:sz w:val="24"/>
          <w:szCs w:val="24"/>
        </w:rPr>
        <w:t xml:space="preserve">es. The </w:t>
      </w:r>
      <w:proofErr w:type="spellStart"/>
      <w:r w:rsidR="00553D37" w:rsidRPr="00567F9A">
        <w:rPr>
          <w:rFonts w:ascii="Times New Roman" w:hAnsi="Times New Roman" w:cs="Times New Roman"/>
          <w:bCs/>
          <w:sz w:val="24"/>
          <w:szCs w:val="24"/>
        </w:rPr>
        <w:t>NanoDrop</w:t>
      </w:r>
      <w:proofErr w:type="spellEnd"/>
      <w:r w:rsidR="00553D37" w:rsidRPr="00567F9A">
        <w:rPr>
          <w:rFonts w:ascii="Times New Roman" w:hAnsi="Times New Roman" w:cs="Times New Roman"/>
          <w:bCs/>
          <w:sz w:val="24"/>
          <w:szCs w:val="24"/>
        </w:rPr>
        <w:t xml:space="preserve"> 2000c instrument was used to estimate RNA concentration (ng/µL). The High Capacity cDNA Kit was used to synthesize cDNA from FFPE RNA templates per manufacturer’s instructions. </w:t>
      </w:r>
      <w:r w:rsidR="00413B35" w:rsidRPr="00567F9A">
        <w:rPr>
          <w:rFonts w:ascii="Times New Roman" w:hAnsi="Times New Roman" w:cs="Times New Roman"/>
          <w:bCs/>
          <w:sz w:val="24"/>
          <w:szCs w:val="24"/>
        </w:rPr>
        <w:t xml:space="preserve">qPCR was performed on the ABI </w:t>
      </w:r>
      <w:proofErr w:type="spellStart"/>
      <w:r w:rsidR="00413B35" w:rsidRPr="00567F9A">
        <w:rPr>
          <w:rFonts w:ascii="Times New Roman" w:hAnsi="Times New Roman" w:cs="Times New Roman"/>
          <w:bCs/>
          <w:sz w:val="24"/>
          <w:szCs w:val="24"/>
        </w:rPr>
        <w:t>QuantStudio</w:t>
      </w:r>
      <w:proofErr w:type="spellEnd"/>
      <w:r w:rsidR="00413B35" w:rsidRPr="00567F9A">
        <w:rPr>
          <w:rFonts w:ascii="Times New Roman" w:hAnsi="Times New Roman" w:cs="Times New Roman"/>
          <w:bCs/>
          <w:sz w:val="24"/>
          <w:szCs w:val="24"/>
        </w:rPr>
        <w:t xml:space="preserve">™ DX Real-Time PCR Instrument. </w:t>
      </w:r>
      <w:proofErr w:type="spellStart"/>
      <w:r w:rsidR="00413B35" w:rsidRPr="00567F9A">
        <w:rPr>
          <w:rFonts w:ascii="Times New Roman" w:hAnsi="Times New Roman" w:cs="Times New Roman"/>
          <w:bCs/>
          <w:sz w:val="24"/>
          <w:szCs w:val="24"/>
        </w:rPr>
        <w:t>ThermoFisher</w:t>
      </w:r>
      <w:proofErr w:type="spellEnd"/>
      <w:r w:rsidR="00413B35" w:rsidRPr="00567F9A">
        <w:rPr>
          <w:rFonts w:ascii="Times New Roman" w:hAnsi="Times New Roman" w:cs="Times New Roman"/>
          <w:bCs/>
          <w:sz w:val="24"/>
          <w:szCs w:val="24"/>
        </w:rPr>
        <w:t xml:space="preserve"> TaqMan Gene Expression Master Mix was used for qPCR amplification per manufacturer’s instructions. Universal TaqMan gene expression cycling conditions were employed. RNA input per reaction varied depending on the experimental parameters per </w:t>
      </w:r>
      <w:r w:rsidR="006F0448" w:rsidRPr="00567F9A">
        <w:rPr>
          <w:rFonts w:ascii="Times New Roman" w:hAnsi="Times New Roman" w:cs="Times New Roman"/>
          <w:bCs/>
          <w:sz w:val="24"/>
          <w:szCs w:val="24"/>
        </w:rPr>
        <w:t>50-µL</w:t>
      </w:r>
      <w:r w:rsidR="00413B35" w:rsidRPr="00567F9A">
        <w:rPr>
          <w:rFonts w:ascii="Times New Roman" w:hAnsi="Times New Roman" w:cs="Times New Roman"/>
          <w:bCs/>
          <w:sz w:val="24"/>
          <w:szCs w:val="24"/>
        </w:rPr>
        <w:t xml:space="preserve"> reaction. The validated input for clinical samples was 250ng per 50µL</w:t>
      </w:r>
      <w:r w:rsidR="00086786" w:rsidRPr="00567F9A">
        <w:rPr>
          <w:rFonts w:ascii="Times New Roman" w:hAnsi="Times New Roman" w:cs="Times New Roman"/>
          <w:bCs/>
          <w:sz w:val="24"/>
          <w:szCs w:val="24"/>
        </w:rPr>
        <w:t xml:space="preserve"> real-time</w:t>
      </w:r>
      <w:r w:rsidR="00413B35" w:rsidRPr="00567F9A">
        <w:rPr>
          <w:rFonts w:ascii="Times New Roman" w:hAnsi="Times New Roman" w:cs="Times New Roman"/>
          <w:bCs/>
          <w:sz w:val="24"/>
          <w:szCs w:val="24"/>
        </w:rPr>
        <w:t xml:space="preserve"> </w:t>
      </w:r>
      <w:r w:rsidR="00086786" w:rsidRPr="00567F9A">
        <w:rPr>
          <w:rFonts w:ascii="Times New Roman" w:hAnsi="Times New Roman" w:cs="Times New Roman"/>
          <w:bCs/>
          <w:sz w:val="24"/>
          <w:szCs w:val="24"/>
        </w:rPr>
        <w:t>(</w:t>
      </w:r>
      <w:r w:rsidR="00413B35" w:rsidRPr="00567F9A">
        <w:rPr>
          <w:rFonts w:ascii="Times New Roman" w:hAnsi="Times New Roman" w:cs="Times New Roman"/>
          <w:bCs/>
          <w:sz w:val="24"/>
          <w:szCs w:val="24"/>
        </w:rPr>
        <w:t>RT</w:t>
      </w:r>
      <w:r w:rsidR="00086786" w:rsidRPr="00567F9A">
        <w:rPr>
          <w:rFonts w:ascii="Times New Roman" w:hAnsi="Times New Roman" w:cs="Times New Roman"/>
          <w:bCs/>
          <w:sz w:val="24"/>
          <w:szCs w:val="24"/>
        </w:rPr>
        <w:t>)</w:t>
      </w:r>
      <w:r w:rsidR="00413B35" w:rsidRPr="00567F9A">
        <w:rPr>
          <w:rFonts w:ascii="Times New Roman" w:hAnsi="Times New Roman" w:cs="Times New Roman"/>
          <w:bCs/>
          <w:sz w:val="24"/>
          <w:szCs w:val="24"/>
        </w:rPr>
        <w:t xml:space="preserve"> reaction and 25ng per qPCR reaction. Singleton RT and triplicate qPCR reactions for the CDH6 assay and two reference gene assays were performed. To run controls, the CDH6 RT-qPCR Test included a </w:t>
      </w:r>
      <w:r w:rsidR="00DA4668" w:rsidRPr="00567F9A">
        <w:rPr>
          <w:rFonts w:ascii="Times New Roman" w:hAnsi="Times New Roman" w:cs="Times New Roman"/>
          <w:bCs/>
          <w:sz w:val="24"/>
          <w:szCs w:val="24"/>
        </w:rPr>
        <w:t>no template control (</w:t>
      </w:r>
      <w:r w:rsidR="00413B35" w:rsidRPr="00567F9A">
        <w:rPr>
          <w:rFonts w:ascii="Times New Roman" w:hAnsi="Times New Roman" w:cs="Times New Roman"/>
          <w:bCs/>
          <w:sz w:val="24"/>
          <w:szCs w:val="24"/>
        </w:rPr>
        <w:t>NTC</w:t>
      </w:r>
      <w:r w:rsidR="00DA4668" w:rsidRPr="00567F9A">
        <w:rPr>
          <w:rFonts w:ascii="Times New Roman" w:hAnsi="Times New Roman" w:cs="Times New Roman"/>
          <w:bCs/>
          <w:sz w:val="24"/>
          <w:szCs w:val="24"/>
        </w:rPr>
        <w:t>)</w:t>
      </w:r>
      <w:r w:rsidR="00413B35" w:rsidRPr="00567F9A">
        <w:rPr>
          <w:rFonts w:ascii="Times New Roman" w:hAnsi="Times New Roman" w:cs="Times New Roman"/>
          <w:bCs/>
          <w:sz w:val="24"/>
          <w:szCs w:val="24"/>
        </w:rPr>
        <w:t xml:space="preserve">, two CDH6 positive controls (i.e., High and Medium CDH6 expression) and a </w:t>
      </w:r>
      <w:r w:rsidR="00DA4668" w:rsidRPr="00567F9A">
        <w:rPr>
          <w:rFonts w:ascii="Times New Roman" w:hAnsi="Times New Roman" w:cs="Times New Roman"/>
          <w:bCs/>
          <w:sz w:val="24"/>
          <w:szCs w:val="24"/>
        </w:rPr>
        <w:t>universal human reference (</w:t>
      </w:r>
      <w:r w:rsidR="00413B35" w:rsidRPr="00567F9A">
        <w:rPr>
          <w:rFonts w:ascii="Times New Roman" w:hAnsi="Times New Roman" w:cs="Times New Roman"/>
          <w:bCs/>
          <w:sz w:val="24"/>
          <w:szCs w:val="24"/>
        </w:rPr>
        <w:t>UHR</w:t>
      </w:r>
      <w:r w:rsidR="00DA4668" w:rsidRPr="00567F9A">
        <w:rPr>
          <w:rFonts w:ascii="Times New Roman" w:hAnsi="Times New Roman" w:cs="Times New Roman"/>
          <w:bCs/>
          <w:sz w:val="24"/>
          <w:szCs w:val="24"/>
        </w:rPr>
        <w:t>)</w:t>
      </w:r>
      <w:r w:rsidR="00561C5F" w:rsidRPr="00567F9A">
        <w:rPr>
          <w:rFonts w:ascii="Times New Roman" w:hAnsi="Times New Roman" w:cs="Times New Roman"/>
          <w:bCs/>
          <w:sz w:val="24"/>
          <w:szCs w:val="24"/>
        </w:rPr>
        <w:t xml:space="preserve"> </w:t>
      </w:r>
      <w:r w:rsidR="00413B35" w:rsidRPr="00567F9A">
        <w:rPr>
          <w:rFonts w:ascii="Times New Roman" w:hAnsi="Times New Roman" w:cs="Times New Roman"/>
          <w:bCs/>
          <w:sz w:val="24"/>
          <w:szCs w:val="24"/>
        </w:rPr>
        <w:t>(</w:t>
      </w:r>
      <w:r w:rsidR="00DA4668" w:rsidRPr="00567F9A">
        <w:rPr>
          <w:rFonts w:ascii="Times New Roman" w:hAnsi="Times New Roman" w:cs="Times New Roman"/>
          <w:bCs/>
          <w:sz w:val="24"/>
          <w:szCs w:val="24"/>
        </w:rPr>
        <w:t>l</w:t>
      </w:r>
      <w:r w:rsidR="00413B35" w:rsidRPr="00567F9A">
        <w:rPr>
          <w:rFonts w:ascii="Times New Roman" w:hAnsi="Times New Roman" w:cs="Times New Roman"/>
          <w:bCs/>
          <w:sz w:val="24"/>
          <w:szCs w:val="24"/>
        </w:rPr>
        <w:t xml:space="preserve">ow CDH6 expression) control on each plate. The High and Medium controls were comprised of OVCAR-3 and SKOV3 FFPE </w:t>
      </w:r>
      <w:r w:rsidR="003E3668" w:rsidRPr="00567F9A">
        <w:rPr>
          <w:rFonts w:ascii="Times New Roman" w:hAnsi="Times New Roman" w:cs="Times New Roman"/>
          <w:bCs/>
          <w:sz w:val="24"/>
          <w:szCs w:val="24"/>
        </w:rPr>
        <w:t>c</w:t>
      </w:r>
      <w:r w:rsidR="00413B35" w:rsidRPr="00567F9A">
        <w:rPr>
          <w:rFonts w:ascii="Times New Roman" w:hAnsi="Times New Roman" w:cs="Times New Roman"/>
          <w:bCs/>
          <w:sz w:val="24"/>
          <w:szCs w:val="24"/>
        </w:rPr>
        <w:t xml:space="preserve">ell </w:t>
      </w:r>
      <w:r w:rsidR="004D2A88" w:rsidRPr="00567F9A">
        <w:rPr>
          <w:rFonts w:ascii="Times New Roman" w:hAnsi="Times New Roman" w:cs="Times New Roman"/>
          <w:bCs/>
          <w:sz w:val="24"/>
          <w:szCs w:val="24"/>
        </w:rPr>
        <w:t>l</w:t>
      </w:r>
      <w:r w:rsidR="00413B35" w:rsidRPr="00567F9A">
        <w:rPr>
          <w:rFonts w:ascii="Times New Roman" w:hAnsi="Times New Roman" w:cs="Times New Roman"/>
          <w:bCs/>
          <w:sz w:val="24"/>
          <w:szCs w:val="24"/>
        </w:rPr>
        <w:t xml:space="preserve">ine RNA, respectively. Successful plate control performance validated individual runs. Reverse transcription-No Template Control (RT-NTC) was nuclease-free water used in lieu of template. The RT-NTC was used to detect the presence of potential contamination during the RT assay setup that could result in false positive sample data. </w:t>
      </w:r>
      <w:proofErr w:type="spellStart"/>
      <w:r w:rsidR="00413B35" w:rsidRPr="00567F9A">
        <w:rPr>
          <w:rFonts w:ascii="Times New Roman" w:hAnsi="Times New Roman" w:cs="Times New Roman"/>
          <w:bCs/>
          <w:sz w:val="24"/>
          <w:szCs w:val="24"/>
        </w:rPr>
        <w:t>QuantStudio</w:t>
      </w:r>
      <w:proofErr w:type="spellEnd"/>
      <w:r w:rsidR="00413B35" w:rsidRPr="00567F9A">
        <w:rPr>
          <w:rFonts w:ascii="Times New Roman" w:hAnsi="Times New Roman" w:cs="Times New Roman"/>
          <w:bCs/>
          <w:sz w:val="24"/>
          <w:szCs w:val="24"/>
        </w:rPr>
        <w:t xml:space="preserve"> software analyses employed automatic baseline and a manual threshold setting of 0.1 for all </w:t>
      </w:r>
      <w:r w:rsidR="006F7BEE" w:rsidRPr="00567F9A">
        <w:rPr>
          <w:rFonts w:ascii="Times New Roman" w:hAnsi="Times New Roman" w:cs="Times New Roman"/>
          <w:bCs/>
          <w:sz w:val="24"/>
          <w:szCs w:val="24"/>
        </w:rPr>
        <w:t>three-gene</w:t>
      </w:r>
      <w:r w:rsidR="00413B35" w:rsidRPr="00567F9A">
        <w:rPr>
          <w:rFonts w:ascii="Times New Roman" w:hAnsi="Times New Roman" w:cs="Times New Roman"/>
          <w:bCs/>
          <w:sz w:val="24"/>
          <w:szCs w:val="24"/>
        </w:rPr>
        <w:t xml:space="preserve"> expression assays. Average </w:t>
      </w:r>
      <w:r w:rsidR="009D2332" w:rsidRPr="00567F9A">
        <w:rPr>
          <w:rFonts w:ascii="Times New Roman" w:hAnsi="Times New Roman" w:cs="Times New Roman"/>
          <w:bCs/>
          <w:sz w:val="24"/>
          <w:szCs w:val="24"/>
        </w:rPr>
        <w:t>cycle quantification (</w:t>
      </w:r>
      <w:proofErr w:type="spellStart"/>
      <w:r w:rsidR="00512DFE" w:rsidRPr="00567F9A">
        <w:rPr>
          <w:rFonts w:ascii="Times New Roman" w:hAnsi="Times New Roman" w:cs="Times New Roman"/>
          <w:bCs/>
          <w:sz w:val="24"/>
          <w:szCs w:val="24"/>
        </w:rPr>
        <w:t>Cq</w:t>
      </w:r>
      <w:proofErr w:type="spellEnd"/>
      <w:r w:rsidR="009D2332" w:rsidRPr="00567F9A">
        <w:rPr>
          <w:rFonts w:ascii="Times New Roman" w:hAnsi="Times New Roman" w:cs="Times New Roman"/>
          <w:bCs/>
          <w:sz w:val="24"/>
          <w:szCs w:val="24"/>
        </w:rPr>
        <w:t xml:space="preserve">) </w:t>
      </w:r>
      <w:r w:rsidR="00413B35" w:rsidRPr="00567F9A">
        <w:rPr>
          <w:rFonts w:ascii="Times New Roman" w:hAnsi="Times New Roman" w:cs="Times New Roman"/>
          <w:bCs/>
          <w:sz w:val="24"/>
          <w:szCs w:val="24"/>
        </w:rPr>
        <w:t>values and associated standard deviation (SD) values for reference genes and CDH6 were calculated</w:t>
      </w:r>
      <w:r w:rsidR="000F32B2" w:rsidRPr="00567F9A">
        <w:rPr>
          <w:rFonts w:ascii="Times New Roman" w:hAnsi="Times New Roman" w:cs="Times New Roman"/>
          <w:bCs/>
          <w:sz w:val="24"/>
          <w:szCs w:val="24"/>
        </w:rPr>
        <w:t xml:space="preserve">. Individual samples were scored as evaluable when average reference gene </w:t>
      </w:r>
      <w:proofErr w:type="spellStart"/>
      <w:r w:rsidR="000F32B2" w:rsidRPr="00567F9A">
        <w:rPr>
          <w:rFonts w:ascii="Times New Roman" w:hAnsi="Times New Roman" w:cs="Times New Roman"/>
          <w:bCs/>
          <w:sz w:val="24"/>
          <w:szCs w:val="24"/>
        </w:rPr>
        <w:t>Cq</w:t>
      </w:r>
      <w:proofErr w:type="spellEnd"/>
      <w:r w:rsidR="000F32B2" w:rsidRPr="00567F9A">
        <w:rPr>
          <w:rFonts w:ascii="Times New Roman" w:hAnsi="Times New Roman" w:cs="Times New Roman"/>
          <w:bCs/>
          <w:sz w:val="24"/>
          <w:szCs w:val="24"/>
        </w:rPr>
        <w:t xml:space="preserve"> values were ≤35. Only samples with CDH6 </w:t>
      </w:r>
      <w:proofErr w:type="spellStart"/>
      <w:r w:rsidR="000F32B2" w:rsidRPr="00567F9A">
        <w:rPr>
          <w:rFonts w:ascii="Times New Roman" w:hAnsi="Times New Roman" w:cs="Times New Roman"/>
          <w:bCs/>
          <w:sz w:val="24"/>
          <w:szCs w:val="24"/>
        </w:rPr>
        <w:t>Cq</w:t>
      </w:r>
      <w:proofErr w:type="spellEnd"/>
      <w:r w:rsidR="000F32B2" w:rsidRPr="00567F9A">
        <w:rPr>
          <w:rFonts w:ascii="Times New Roman" w:hAnsi="Times New Roman" w:cs="Times New Roman"/>
          <w:bCs/>
          <w:sz w:val="24"/>
          <w:szCs w:val="24"/>
        </w:rPr>
        <w:t xml:space="preserve"> values ≤ </w:t>
      </w:r>
      <w:proofErr w:type="spellStart"/>
      <w:r w:rsidR="000F32B2" w:rsidRPr="00567F9A">
        <w:rPr>
          <w:rFonts w:ascii="Times New Roman" w:hAnsi="Times New Roman" w:cs="Times New Roman"/>
          <w:bCs/>
          <w:sz w:val="24"/>
          <w:szCs w:val="24"/>
        </w:rPr>
        <w:t>LoQ</w:t>
      </w:r>
      <w:proofErr w:type="spellEnd"/>
      <w:r w:rsidR="000F32B2" w:rsidRPr="00567F9A">
        <w:rPr>
          <w:rFonts w:ascii="Times New Roman" w:hAnsi="Times New Roman" w:cs="Times New Roman"/>
          <w:bCs/>
          <w:sz w:val="24"/>
          <w:szCs w:val="24"/>
        </w:rPr>
        <w:t xml:space="preserve"> (i.e., </w:t>
      </w:r>
      <w:proofErr w:type="spellStart"/>
      <w:r w:rsidR="000F32B2" w:rsidRPr="00567F9A">
        <w:rPr>
          <w:rFonts w:ascii="Times New Roman" w:hAnsi="Times New Roman" w:cs="Times New Roman"/>
          <w:bCs/>
          <w:sz w:val="24"/>
          <w:szCs w:val="24"/>
        </w:rPr>
        <w:t>Cq</w:t>
      </w:r>
      <w:proofErr w:type="spellEnd"/>
      <w:r w:rsidR="000F32B2" w:rsidRPr="00567F9A">
        <w:rPr>
          <w:rFonts w:ascii="Times New Roman" w:hAnsi="Times New Roman" w:cs="Times New Roman"/>
          <w:bCs/>
          <w:sz w:val="24"/>
          <w:szCs w:val="24"/>
        </w:rPr>
        <w:t xml:space="preserve"> ≤ 36) were considered valid. Reference genes and CDH6 </w:t>
      </w:r>
      <w:proofErr w:type="spellStart"/>
      <w:r w:rsidR="000F32B2" w:rsidRPr="00567F9A">
        <w:rPr>
          <w:rFonts w:ascii="Times New Roman" w:hAnsi="Times New Roman" w:cs="Times New Roman"/>
          <w:bCs/>
          <w:sz w:val="24"/>
          <w:szCs w:val="24"/>
        </w:rPr>
        <w:t>Cq</w:t>
      </w:r>
      <w:proofErr w:type="spellEnd"/>
      <w:r w:rsidR="000F32B2" w:rsidRPr="00567F9A">
        <w:rPr>
          <w:rFonts w:ascii="Times New Roman" w:hAnsi="Times New Roman" w:cs="Times New Roman"/>
          <w:bCs/>
          <w:sz w:val="24"/>
          <w:szCs w:val="24"/>
        </w:rPr>
        <w:t xml:space="preserve"> SD values were required to be ≤0.5 where replicates were collected.</w:t>
      </w:r>
    </w:p>
    <w:p w14:paraId="245207AD" w14:textId="77777777" w:rsidR="00B40BF9" w:rsidRPr="00567F9A" w:rsidRDefault="002D44D5" w:rsidP="00AA1D6E">
      <w:pPr>
        <w:spacing w:before="120" w:line="360" w:lineRule="auto"/>
        <w:jc w:val="both"/>
        <w:rPr>
          <w:rFonts w:ascii="Times New Roman" w:hAnsi="Times New Roman" w:cs="Times New Roman"/>
          <w:bCs/>
          <w:sz w:val="24"/>
          <w:szCs w:val="24"/>
        </w:rPr>
      </w:pPr>
      <w:r w:rsidRPr="00567F9A">
        <w:rPr>
          <w:rFonts w:ascii="Times New Roman" w:hAnsi="Times New Roman" w:cs="Times New Roman"/>
          <w:bCs/>
          <w:i/>
          <w:sz w:val="24"/>
          <w:szCs w:val="24"/>
        </w:rPr>
        <w:t>Cytokine analysis</w:t>
      </w:r>
      <w:r w:rsidR="00807DDC" w:rsidRPr="00567F9A">
        <w:rPr>
          <w:rFonts w:ascii="Times New Roman" w:hAnsi="Times New Roman" w:cs="Times New Roman"/>
          <w:bCs/>
          <w:sz w:val="24"/>
          <w:szCs w:val="24"/>
        </w:rPr>
        <w:t xml:space="preserve"> </w:t>
      </w:r>
    </w:p>
    <w:p w14:paraId="368EAF6E" w14:textId="2DB7660D" w:rsidR="00807DDC" w:rsidRPr="00567F9A" w:rsidRDefault="00022BD2" w:rsidP="00AA1D6E">
      <w:pPr>
        <w:spacing w:before="120" w:line="360" w:lineRule="auto"/>
        <w:jc w:val="both"/>
        <w:rPr>
          <w:rFonts w:ascii="Times New Roman" w:hAnsi="Times New Roman" w:cs="Times New Roman"/>
          <w:bCs/>
          <w:sz w:val="24"/>
          <w:szCs w:val="24"/>
        </w:rPr>
      </w:pPr>
      <w:r w:rsidRPr="00567F9A">
        <w:rPr>
          <w:rFonts w:ascii="Times New Roman" w:hAnsi="Times New Roman" w:cs="Times New Roman"/>
          <w:bCs/>
          <w:sz w:val="24"/>
          <w:szCs w:val="24"/>
        </w:rPr>
        <w:lastRenderedPageBreak/>
        <w:t>The cytokine analysis was performed using backup PK samples for cohorts 1 and 2 (all time points</w:t>
      </w:r>
      <w:r w:rsidR="001D0AE9" w:rsidRPr="00567F9A">
        <w:rPr>
          <w:rFonts w:ascii="Times New Roman" w:hAnsi="Times New Roman" w:cs="Times New Roman"/>
          <w:bCs/>
          <w:sz w:val="24"/>
          <w:szCs w:val="24"/>
        </w:rPr>
        <w:t>; Refer to Clinical PK Analysis section for time points</w:t>
      </w:r>
      <w:r w:rsidRPr="00567F9A">
        <w:rPr>
          <w:rFonts w:ascii="Times New Roman" w:hAnsi="Times New Roman" w:cs="Times New Roman"/>
          <w:bCs/>
          <w:sz w:val="24"/>
          <w:szCs w:val="24"/>
        </w:rPr>
        <w:t xml:space="preserve">). </w:t>
      </w:r>
      <w:r w:rsidR="00B40BF9" w:rsidRPr="00567F9A">
        <w:rPr>
          <w:rFonts w:ascii="Times New Roman" w:hAnsi="Times New Roman" w:cs="Times New Roman"/>
          <w:bCs/>
          <w:sz w:val="24"/>
          <w:szCs w:val="24"/>
        </w:rPr>
        <w:t xml:space="preserve">Cytokine analysis </w:t>
      </w:r>
      <w:r w:rsidR="00807DDC" w:rsidRPr="00567F9A">
        <w:rPr>
          <w:rFonts w:ascii="Times New Roman" w:hAnsi="Times New Roman" w:cs="Times New Roman"/>
          <w:bCs/>
          <w:sz w:val="24"/>
          <w:szCs w:val="24"/>
        </w:rPr>
        <w:t xml:space="preserve">was performed by Myriad </w:t>
      </w:r>
      <w:r w:rsidR="00646CF8" w:rsidRPr="00567F9A">
        <w:rPr>
          <w:rFonts w:ascii="Times New Roman" w:hAnsi="Times New Roman" w:cs="Times New Roman"/>
          <w:bCs/>
          <w:sz w:val="24"/>
          <w:szCs w:val="24"/>
        </w:rPr>
        <w:t>RBM</w:t>
      </w:r>
      <w:r w:rsidR="00807DDC" w:rsidRPr="00567F9A">
        <w:rPr>
          <w:rFonts w:ascii="Times New Roman" w:hAnsi="Times New Roman" w:cs="Times New Roman"/>
          <w:bCs/>
          <w:sz w:val="24"/>
          <w:szCs w:val="24"/>
        </w:rPr>
        <w:t xml:space="preserve">, Inc. using </w:t>
      </w:r>
      <w:r w:rsidR="00646CF8" w:rsidRPr="00567F9A">
        <w:rPr>
          <w:rFonts w:ascii="Times New Roman" w:hAnsi="Times New Roman" w:cs="Times New Roman"/>
          <w:bCs/>
          <w:sz w:val="24"/>
          <w:szCs w:val="24"/>
        </w:rPr>
        <w:t xml:space="preserve">the Human Inflammation </w:t>
      </w:r>
      <w:r w:rsidR="003A5499" w:rsidRPr="00567F9A">
        <w:rPr>
          <w:rFonts w:ascii="Times New Roman" w:hAnsi="Times New Roman" w:cs="Times New Roman"/>
          <w:bCs/>
          <w:sz w:val="24"/>
          <w:szCs w:val="24"/>
        </w:rPr>
        <w:t>Multi Analyte Profile (</w:t>
      </w:r>
      <w:r w:rsidR="00646CF8" w:rsidRPr="00567F9A">
        <w:rPr>
          <w:rFonts w:ascii="Times New Roman" w:hAnsi="Times New Roman" w:cs="Times New Roman"/>
          <w:bCs/>
          <w:sz w:val="24"/>
          <w:szCs w:val="24"/>
        </w:rPr>
        <w:t>MAP</w:t>
      </w:r>
      <w:r w:rsidR="00646CF8" w:rsidRPr="00567F9A">
        <w:rPr>
          <w:rFonts w:ascii="Times New Roman" w:hAnsi="Times New Roman" w:cs="Times New Roman"/>
          <w:bCs/>
          <w:sz w:val="24"/>
          <w:szCs w:val="24"/>
          <w:vertAlign w:val="superscript"/>
        </w:rPr>
        <w:t>®</w:t>
      </w:r>
      <w:r w:rsidR="003A5499" w:rsidRPr="00567F9A">
        <w:rPr>
          <w:rFonts w:ascii="Times New Roman" w:hAnsi="Times New Roman" w:cs="Times New Roman"/>
          <w:bCs/>
          <w:sz w:val="24"/>
          <w:szCs w:val="24"/>
        </w:rPr>
        <w:t>)</w:t>
      </w:r>
      <w:r w:rsidR="00646CF8" w:rsidRPr="00567F9A">
        <w:rPr>
          <w:rFonts w:ascii="Times New Roman" w:hAnsi="Times New Roman" w:cs="Times New Roman"/>
          <w:bCs/>
          <w:sz w:val="24"/>
          <w:szCs w:val="24"/>
        </w:rPr>
        <w:t xml:space="preserve"> v. 1.0 assay. </w:t>
      </w:r>
      <w:r w:rsidR="003B5784" w:rsidRPr="00567F9A">
        <w:rPr>
          <w:rFonts w:ascii="Times New Roman" w:hAnsi="Times New Roman" w:cs="Times New Roman"/>
          <w:bCs/>
          <w:sz w:val="24"/>
          <w:szCs w:val="24"/>
        </w:rPr>
        <w:t xml:space="preserve">All samples were stored at less than -70°C until tested. Samples were thawed at room temperature, vortexed, spun at </w:t>
      </w:r>
      <w:r w:rsidR="006F7BEE" w:rsidRPr="00567F9A">
        <w:rPr>
          <w:rFonts w:ascii="Times New Roman" w:hAnsi="Times New Roman" w:cs="Times New Roman"/>
          <w:bCs/>
          <w:sz w:val="24"/>
          <w:szCs w:val="24"/>
        </w:rPr>
        <w:t>3700-x</w:t>
      </w:r>
      <w:r w:rsidR="003B5784" w:rsidRPr="00567F9A">
        <w:rPr>
          <w:rFonts w:ascii="Times New Roman" w:hAnsi="Times New Roman" w:cs="Times New Roman"/>
          <w:bCs/>
          <w:sz w:val="24"/>
          <w:szCs w:val="24"/>
        </w:rPr>
        <w:t xml:space="preserve"> g for 5 min</w:t>
      </w:r>
      <w:r w:rsidR="00AE45C2" w:rsidRPr="00567F9A">
        <w:rPr>
          <w:rFonts w:ascii="Times New Roman" w:hAnsi="Times New Roman" w:cs="Times New Roman"/>
          <w:bCs/>
          <w:sz w:val="24"/>
          <w:szCs w:val="24"/>
        </w:rPr>
        <w:t>utes</w:t>
      </w:r>
      <w:r w:rsidR="003B5784" w:rsidRPr="00567F9A">
        <w:rPr>
          <w:rFonts w:ascii="Times New Roman" w:hAnsi="Times New Roman" w:cs="Times New Roman"/>
          <w:bCs/>
          <w:sz w:val="24"/>
          <w:szCs w:val="24"/>
        </w:rPr>
        <w:t xml:space="preserve"> for clarification and transferred to a master microtiter plate. Using automated pipetting, an aliquot of each sample was added to individual microsphere multiplexes of the selected MAP</w:t>
      </w:r>
      <w:r w:rsidR="003A5499" w:rsidRPr="00567F9A">
        <w:rPr>
          <w:rFonts w:ascii="Times New Roman" w:hAnsi="Times New Roman" w:cs="Times New Roman"/>
          <w:bCs/>
          <w:sz w:val="24"/>
          <w:szCs w:val="24"/>
          <w:vertAlign w:val="superscript"/>
        </w:rPr>
        <w:t>®</w:t>
      </w:r>
      <w:r w:rsidR="003B5784" w:rsidRPr="00567F9A">
        <w:rPr>
          <w:rFonts w:ascii="Times New Roman" w:hAnsi="Times New Roman" w:cs="Times New Roman"/>
          <w:bCs/>
          <w:sz w:val="24"/>
          <w:szCs w:val="24"/>
        </w:rPr>
        <w:t xml:space="preserve"> and blocker. This mixture was thoroughly mixed and incubated at room temperature for 1 hour. Multiplexed cocktails of biotinylated reporter antibodies were added robotically and after thorough mixing, incubated for an additional hour at room temperature. Multiplexes were labelled using an excess of streptavidin-phycoerythrin solution, thoroughly mixed and incubated for 1 hour at room temperature. The volume of each multiplexed reaction was reduced by vacuum filtration and washed 3 times.</w:t>
      </w:r>
      <w:r w:rsidR="008F5857" w:rsidRPr="00567F9A">
        <w:rPr>
          <w:rFonts w:ascii="Times New Roman" w:hAnsi="Times New Roman" w:cs="Times New Roman"/>
          <w:bCs/>
          <w:sz w:val="24"/>
          <w:szCs w:val="24"/>
        </w:rPr>
        <w:t xml:space="preserve"> </w:t>
      </w:r>
      <w:r w:rsidR="003B5784" w:rsidRPr="00567F9A">
        <w:rPr>
          <w:rFonts w:ascii="Times New Roman" w:hAnsi="Times New Roman" w:cs="Times New Roman"/>
          <w:bCs/>
          <w:sz w:val="24"/>
          <w:szCs w:val="24"/>
        </w:rPr>
        <w:t xml:space="preserve">After the final wash, the volume was increased by addition of buffer for analysis using a Luminex instrument and the resulting data interpreted using proprietary software developed by Myriad RBM. For each multiplex, both calibrators and controls were included on each microtiter plate. Eight-point calibrators to form a standard curve were run in the first and last column of each plate and controls at </w:t>
      </w:r>
      <w:r w:rsidR="003A6851" w:rsidRPr="00567F9A">
        <w:rPr>
          <w:rFonts w:ascii="Times New Roman" w:hAnsi="Times New Roman" w:cs="Times New Roman"/>
          <w:bCs/>
          <w:sz w:val="24"/>
          <w:szCs w:val="24"/>
        </w:rPr>
        <w:t>three</w:t>
      </w:r>
      <w:r w:rsidR="003B5784" w:rsidRPr="00567F9A">
        <w:rPr>
          <w:rFonts w:ascii="Times New Roman" w:hAnsi="Times New Roman" w:cs="Times New Roman"/>
          <w:bCs/>
          <w:sz w:val="24"/>
          <w:szCs w:val="24"/>
        </w:rPr>
        <w:t xml:space="preserve"> concentration levels were run in duplicate. Standard curve, control, and sample </w:t>
      </w:r>
      <w:r w:rsidR="004D2A88" w:rsidRPr="00567F9A">
        <w:rPr>
          <w:rFonts w:ascii="Times New Roman" w:hAnsi="Times New Roman" w:cs="Times New Roman"/>
          <w:bCs/>
          <w:sz w:val="24"/>
          <w:szCs w:val="24"/>
        </w:rPr>
        <w:t>quality control</w:t>
      </w:r>
      <w:r w:rsidR="003B5784" w:rsidRPr="00567F9A">
        <w:rPr>
          <w:rFonts w:ascii="Times New Roman" w:hAnsi="Times New Roman" w:cs="Times New Roman"/>
          <w:bCs/>
          <w:sz w:val="24"/>
          <w:szCs w:val="24"/>
        </w:rPr>
        <w:t xml:space="preserve"> were performed to ensure proper assay performance. Study sample values for each of the analytes were determined using 4 and 5 parameter logistic, </w:t>
      </w:r>
      <w:proofErr w:type="gramStart"/>
      <w:r w:rsidR="003B5784" w:rsidRPr="00567F9A">
        <w:rPr>
          <w:rFonts w:ascii="Times New Roman" w:hAnsi="Times New Roman" w:cs="Times New Roman"/>
          <w:bCs/>
          <w:sz w:val="24"/>
          <w:szCs w:val="24"/>
        </w:rPr>
        <w:t>weighted</w:t>
      </w:r>
      <w:proofErr w:type="gramEnd"/>
      <w:r w:rsidR="003B5784" w:rsidRPr="00567F9A">
        <w:rPr>
          <w:rFonts w:ascii="Times New Roman" w:hAnsi="Times New Roman" w:cs="Times New Roman"/>
          <w:bCs/>
          <w:sz w:val="24"/>
          <w:szCs w:val="24"/>
        </w:rPr>
        <w:t xml:space="preserve"> and non-weighted curve fitting algorithms included in the data analysis package.</w:t>
      </w:r>
    </w:p>
    <w:p w14:paraId="04D14A2C" w14:textId="77777777" w:rsidR="00A03F4D" w:rsidRPr="00567F9A" w:rsidRDefault="00A03F4D" w:rsidP="00A03F4D">
      <w:pPr>
        <w:spacing w:before="120" w:line="360" w:lineRule="auto"/>
        <w:jc w:val="both"/>
        <w:rPr>
          <w:rFonts w:ascii="Times New Roman" w:hAnsi="Times New Roman" w:cs="Times New Roman"/>
          <w:b/>
          <w:bCs/>
          <w:sz w:val="24"/>
          <w:szCs w:val="24"/>
        </w:rPr>
      </w:pPr>
      <w:r w:rsidRPr="00567F9A">
        <w:rPr>
          <w:rFonts w:ascii="Times New Roman" w:hAnsi="Times New Roman" w:cs="Times New Roman"/>
          <w:b/>
          <w:bCs/>
          <w:sz w:val="24"/>
          <w:szCs w:val="24"/>
        </w:rPr>
        <w:t xml:space="preserve">Translational and non-clinical methodology </w:t>
      </w:r>
    </w:p>
    <w:p w14:paraId="176DB98A" w14:textId="3F334B41" w:rsidR="009757BA" w:rsidRPr="00567F9A" w:rsidRDefault="005579B1" w:rsidP="00AA1D6E">
      <w:pPr>
        <w:spacing w:before="120" w:line="360" w:lineRule="auto"/>
        <w:jc w:val="both"/>
        <w:rPr>
          <w:rFonts w:ascii="Times New Roman" w:hAnsi="Times New Roman" w:cs="Times New Roman"/>
          <w:bCs/>
          <w:sz w:val="24"/>
          <w:szCs w:val="24"/>
        </w:rPr>
      </w:pPr>
      <w:r w:rsidRPr="00567F9A">
        <w:rPr>
          <w:rFonts w:ascii="Times New Roman" w:hAnsi="Times New Roman" w:cs="Times New Roman"/>
          <w:bCs/>
          <w:i/>
          <w:sz w:val="24"/>
          <w:szCs w:val="24"/>
        </w:rPr>
        <w:t>Molecular localization studies on archived normal and diseased tissues</w:t>
      </w:r>
      <w:r w:rsidR="005137C8" w:rsidRPr="00567F9A">
        <w:rPr>
          <w:rFonts w:ascii="Times New Roman" w:hAnsi="Times New Roman" w:cs="Times New Roman"/>
          <w:bCs/>
          <w:i/>
          <w:sz w:val="24"/>
          <w:szCs w:val="24"/>
        </w:rPr>
        <w:t xml:space="preserve"> (IHC and ISH)</w:t>
      </w:r>
      <w:r w:rsidR="005137C8" w:rsidRPr="00567F9A">
        <w:rPr>
          <w:rFonts w:ascii="Times New Roman" w:hAnsi="Times New Roman" w:cs="Times New Roman"/>
          <w:bCs/>
          <w:sz w:val="24"/>
          <w:szCs w:val="24"/>
        </w:rPr>
        <w:t xml:space="preserve"> </w:t>
      </w:r>
    </w:p>
    <w:p w14:paraId="30622067" w14:textId="1AD0BF90" w:rsidR="005579B1" w:rsidRPr="00567F9A" w:rsidRDefault="00D2391E" w:rsidP="00AA1D6E">
      <w:pPr>
        <w:spacing w:before="120" w:line="360" w:lineRule="auto"/>
        <w:jc w:val="both"/>
        <w:rPr>
          <w:rFonts w:ascii="Times New Roman" w:hAnsi="Times New Roman" w:cs="Times New Roman"/>
          <w:bCs/>
          <w:sz w:val="24"/>
          <w:szCs w:val="24"/>
        </w:rPr>
      </w:pPr>
      <w:r w:rsidRPr="00567F9A">
        <w:rPr>
          <w:rFonts w:ascii="Times New Roman" w:hAnsi="Times New Roman" w:cs="Times New Roman"/>
          <w:bCs/>
          <w:sz w:val="24"/>
          <w:szCs w:val="24"/>
        </w:rPr>
        <w:t xml:space="preserve">IHC </w:t>
      </w:r>
      <w:r w:rsidR="00961D3F" w:rsidRPr="00567F9A">
        <w:rPr>
          <w:rFonts w:ascii="Times New Roman" w:hAnsi="Times New Roman" w:cs="Times New Roman"/>
          <w:bCs/>
          <w:sz w:val="24"/>
          <w:szCs w:val="24"/>
        </w:rPr>
        <w:t xml:space="preserve">studies were conducted using </w:t>
      </w:r>
      <w:r w:rsidR="005579B1" w:rsidRPr="00567F9A">
        <w:rPr>
          <w:rFonts w:ascii="Times New Roman" w:hAnsi="Times New Roman" w:cs="Times New Roman"/>
          <w:bCs/>
          <w:sz w:val="24"/>
          <w:szCs w:val="24"/>
        </w:rPr>
        <w:t>FFPE tissues</w:t>
      </w:r>
      <w:r w:rsidR="00961D3F" w:rsidRPr="00567F9A">
        <w:rPr>
          <w:rFonts w:ascii="Times New Roman" w:hAnsi="Times New Roman" w:cs="Times New Roman"/>
          <w:bCs/>
          <w:sz w:val="24"/>
          <w:szCs w:val="24"/>
        </w:rPr>
        <w:t>; these tissues</w:t>
      </w:r>
      <w:r w:rsidR="005579B1" w:rsidRPr="00567F9A">
        <w:rPr>
          <w:rFonts w:ascii="Times New Roman" w:hAnsi="Times New Roman" w:cs="Times New Roman"/>
          <w:bCs/>
          <w:sz w:val="24"/>
          <w:szCs w:val="24"/>
        </w:rPr>
        <w:t xml:space="preserve"> were sectioned at 5μm, bar coded and placed in the Ventana Discovery XT </w:t>
      </w:r>
      <w:proofErr w:type="spellStart"/>
      <w:r w:rsidR="005579B1" w:rsidRPr="00567F9A">
        <w:rPr>
          <w:rFonts w:ascii="Times New Roman" w:hAnsi="Times New Roman" w:cs="Times New Roman"/>
          <w:bCs/>
          <w:sz w:val="24"/>
          <w:szCs w:val="24"/>
        </w:rPr>
        <w:t>autostainer</w:t>
      </w:r>
      <w:proofErr w:type="spellEnd"/>
      <w:r w:rsidR="005579B1" w:rsidRPr="00567F9A">
        <w:rPr>
          <w:rFonts w:ascii="Times New Roman" w:hAnsi="Times New Roman" w:cs="Times New Roman"/>
          <w:bCs/>
          <w:sz w:val="24"/>
          <w:szCs w:val="24"/>
        </w:rPr>
        <w:t xml:space="preserve"> (Roche</w:t>
      </w:r>
      <w:r w:rsidR="003C0504" w:rsidRPr="00567F9A">
        <w:rPr>
          <w:rFonts w:ascii="Times New Roman" w:hAnsi="Times New Roman" w:cs="Times New Roman"/>
          <w:bCs/>
          <w:sz w:val="24"/>
          <w:szCs w:val="24"/>
        </w:rPr>
        <w:t xml:space="preserve">). </w:t>
      </w:r>
      <w:r w:rsidR="005579B1" w:rsidRPr="00567F9A">
        <w:rPr>
          <w:rFonts w:ascii="Times New Roman" w:hAnsi="Times New Roman" w:cs="Times New Roman"/>
          <w:bCs/>
          <w:sz w:val="24"/>
          <w:szCs w:val="24"/>
        </w:rPr>
        <w:t>Antigen retrieval, primary antibody dilution, incubation temperature and duration, detection technique and chromogen were optimized on non-study archived tissue and included evaluation of an irrelevant antibody control (mouse IgG1, BD Biosciences, and known negative and positive cell lines and tissues. Staining with the anti-CDH6 antibody (</w:t>
      </w:r>
      <w:r w:rsidR="001D1C46" w:rsidRPr="00567F9A">
        <w:rPr>
          <w:rFonts w:ascii="Times New Roman" w:hAnsi="Times New Roman" w:cs="Times New Roman"/>
          <w:bCs/>
          <w:sz w:val="24"/>
          <w:szCs w:val="24"/>
        </w:rPr>
        <w:t xml:space="preserve">clone 2B6, </w:t>
      </w:r>
      <w:r w:rsidR="005579B1" w:rsidRPr="00567F9A">
        <w:rPr>
          <w:rFonts w:ascii="Times New Roman" w:hAnsi="Times New Roman" w:cs="Times New Roman"/>
          <w:bCs/>
          <w:sz w:val="24"/>
          <w:szCs w:val="24"/>
        </w:rPr>
        <w:t xml:space="preserve">Invitrogen, </w:t>
      </w:r>
      <w:r w:rsidR="001D1C46" w:rsidRPr="00567F9A">
        <w:rPr>
          <w:rFonts w:ascii="Times New Roman" w:hAnsi="Times New Roman" w:cs="Times New Roman"/>
          <w:bCs/>
          <w:sz w:val="24"/>
          <w:szCs w:val="24"/>
        </w:rPr>
        <w:t>#</w:t>
      </w:r>
      <w:r w:rsidR="005579B1" w:rsidRPr="00567F9A">
        <w:rPr>
          <w:rFonts w:ascii="Times New Roman" w:hAnsi="Times New Roman" w:cs="Times New Roman"/>
          <w:bCs/>
          <w:sz w:val="24"/>
          <w:szCs w:val="24"/>
        </w:rPr>
        <w:t xml:space="preserve"> MA1-06305) us</w:t>
      </w:r>
      <w:r w:rsidR="00B25270" w:rsidRPr="00567F9A">
        <w:rPr>
          <w:rFonts w:ascii="Times New Roman" w:hAnsi="Times New Roman" w:cs="Times New Roman"/>
          <w:bCs/>
          <w:sz w:val="24"/>
          <w:szCs w:val="24"/>
        </w:rPr>
        <w:t>ed</w:t>
      </w:r>
      <w:r w:rsidR="005579B1" w:rsidRPr="00567F9A">
        <w:rPr>
          <w:rFonts w:ascii="Times New Roman" w:hAnsi="Times New Roman" w:cs="Times New Roman"/>
          <w:bCs/>
          <w:sz w:val="24"/>
          <w:szCs w:val="24"/>
        </w:rPr>
        <w:t xml:space="preserve"> a final antibody dilution of 1 µg/ml. Staining was completed on a Ventana XT </w:t>
      </w:r>
      <w:proofErr w:type="spellStart"/>
      <w:r w:rsidR="005579B1" w:rsidRPr="00567F9A">
        <w:rPr>
          <w:rFonts w:ascii="Times New Roman" w:hAnsi="Times New Roman" w:cs="Times New Roman"/>
          <w:bCs/>
          <w:sz w:val="24"/>
          <w:szCs w:val="24"/>
        </w:rPr>
        <w:t>autostainer</w:t>
      </w:r>
      <w:proofErr w:type="spellEnd"/>
      <w:r w:rsidR="005579B1" w:rsidRPr="00567F9A">
        <w:rPr>
          <w:rFonts w:ascii="Times New Roman" w:hAnsi="Times New Roman" w:cs="Times New Roman"/>
          <w:bCs/>
          <w:sz w:val="24"/>
          <w:szCs w:val="24"/>
        </w:rPr>
        <w:t xml:space="preserve"> using a 60 min</w:t>
      </w:r>
      <w:r w:rsidR="00AE45C2" w:rsidRPr="00567F9A">
        <w:rPr>
          <w:rFonts w:ascii="Times New Roman" w:hAnsi="Times New Roman" w:cs="Times New Roman"/>
          <w:bCs/>
          <w:sz w:val="24"/>
          <w:szCs w:val="24"/>
        </w:rPr>
        <w:t>utes</w:t>
      </w:r>
      <w:r w:rsidR="005579B1" w:rsidRPr="00567F9A">
        <w:rPr>
          <w:rFonts w:ascii="Times New Roman" w:hAnsi="Times New Roman" w:cs="Times New Roman"/>
          <w:bCs/>
          <w:sz w:val="24"/>
          <w:szCs w:val="24"/>
        </w:rPr>
        <w:t xml:space="preserve"> primary incubation </w:t>
      </w:r>
      <w:r w:rsidR="005579B1" w:rsidRPr="00567F9A">
        <w:rPr>
          <w:rFonts w:ascii="Times New Roman" w:hAnsi="Times New Roman" w:cs="Times New Roman"/>
          <w:bCs/>
          <w:sz w:val="24"/>
          <w:szCs w:val="24"/>
        </w:rPr>
        <w:lastRenderedPageBreak/>
        <w:t>at a concentration of 1.0 µg/ml and a 4 min</w:t>
      </w:r>
      <w:r w:rsidR="00AE45C2" w:rsidRPr="00567F9A">
        <w:rPr>
          <w:rFonts w:ascii="Times New Roman" w:hAnsi="Times New Roman" w:cs="Times New Roman"/>
          <w:bCs/>
          <w:sz w:val="24"/>
          <w:szCs w:val="24"/>
        </w:rPr>
        <w:t>utes</w:t>
      </w:r>
      <w:r w:rsidR="005579B1" w:rsidRPr="00567F9A">
        <w:rPr>
          <w:rFonts w:ascii="Times New Roman" w:hAnsi="Times New Roman" w:cs="Times New Roman"/>
          <w:bCs/>
          <w:sz w:val="24"/>
          <w:szCs w:val="24"/>
        </w:rPr>
        <w:t xml:space="preserve"> </w:t>
      </w:r>
      <w:proofErr w:type="spellStart"/>
      <w:r w:rsidR="005579B1" w:rsidRPr="00567F9A">
        <w:rPr>
          <w:rFonts w:ascii="Times New Roman" w:hAnsi="Times New Roman" w:cs="Times New Roman"/>
          <w:bCs/>
          <w:sz w:val="24"/>
          <w:szCs w:val="24"/>
        </w:rPr>
        <w:t>OmniMap</w:t>
      </w:r>
      <w:proofErr w:type="spellEnd"/>
      <w:r w:rsidR="005579B1" w:rsidRPr="00567F9A">
        <w:rPr>
          <w:rFonts w:ascii="Times New Roman" w:hAnsi="Times New Roman" w:cs="Times New Roman"/>
          <w:bCs/>
          <w:sz w:val="24"/>
          <w:szCs w:val="24"/>
        </w:rPr>
        <w:t xml:space="preserve"> anti-Rabbit HRP (Multimer HRP) secondary. </w:t>
      </w:r>
    </w:p>
    <w:p w14:paraId="56C9DD41" w14:textId="75AC0AD3" w:rsidR="005579B1" w:rsidRPr="00567F9A" w:rsidRDefault="005579B1" w:rsidP="00AA1D6E">
      <w:pPr>
        <w:spacing w:before="120" w:line="360" w:lineRule="auto"/>
        <w:jc w:val="both"/>
        <w:rPr>
          <w:rFonts w:ascii="Times New Roman" w:hAnsi="Times New Roman" w:cs="Times New Roman"/>
          <w:bCs/>
          <w:sz w:val="24"/>
          <w:szCs w:val="24"/>
        </w:rPr>
      </w:pPr>
      <w:r w:rsidRPr="00567F9A">
        <w:rPr>
          <w:rFonts w:ascii="Times New Roman" w:hAnsi="Times New Roman" w:cs="Times New Roman"/>
          <w:bCs/>
          <w:sz w:val="24"/>
          <w:szCs w:val="24"/>
        </w:rPr>
        <w:t xml:space="preserve">In situ hybridization </w:t>
      </w:r>
      <w:r w:rsidR="005C13F3" w:rsidRPr="00567F9A">
        <w:rPr>
          <w:rFonts w:ascii="Times New Roman" w:hAnsi="Times New Roman" w:cs="Times New Roman"/>
          <w:bCs/>
          <w:sz w:val="24"/>
          <w:szCs w:val="24"/>
        </w:rPr>
        <w:t xml:space="preserve">(ISH) </w:t>
      </w:r>
      <w:r w:rsidRPr="00567F9A">
        <w:rPr>
          <w:rFonts w:ascii="Times New Roman" w:hAnsi="Times New Roman" w:cs="Times New Roman"/>
          <w:bCs/>
          <w:sz w:val="24"/>
          <w:szCs w:val="24"/>
        </w:rPr>
        <w:t>to detect CDH6 mRNA was performed using Advanced Cell Diagnostics (</w:t>
      </w:r>
      <w:proofErr w:type="spellStart"/>
      <w:r w:rsidRPr="00567F9A">
        <w:rPr>
          <w:rFonts w:ascii="Times New Roman" w:hAnsi="Times New Roman" w:cs="Times New Roman"/>
          <w:bCs/>
          <w:sz w:val="24"/>
          <w:szCs w:val="24"/>
        </w:rPr>
        <w:t>ACDBio</w:t>
      </w:r>
      <w:proofErr w:type="spellEnd"/>
      <w:r w:rsidRPr="00567F9A">
        <w:rPr>
          <w:rFonts w:ascii="Times New Roman" w:hAnsi="Times New Roman" w:cs="Times New Roman"/>
          <w:bCs/>
          <w:sz w:val="24"/>
          <w:szCs w:val="24"/>
        </w:rPr>
        <w:t xml:space="preserve">) and Ventana Medical Systems (Roche) reagents. The </w:t>
      </w:r>
      <w:r w:rsidR="005C13F3" w:rsidRPr="00567F9A">
        <w:rPr>
          <w:rFonts w:ascii="Times New Roman" w:hAnsi="Times New Roman" w:cs="Times New Roman"/>
          <w:bCs/>
          <w:sz w:val="24"/>
          <w:szCs w:val="24"/>
        </w:rPr>
        <w:t>ISH</w:t>
      </w:r>
      <w:r w:rsidRPr="00567F9A">
        <w:rPr>
          <w:rFonts w:ascii="Times New Roman" w:hAnsi="Times New Roman" w:cs="Times New Roman"/>
          <w:bCs/>
          <w:sz w:val="24"/>
          <w:szCs w:val="24"/>
        </w:rPr>
        <w:t xml:space="preserve"> probe for CDH6 (</w:t>
      </w:r>
      <w:proofErr w:type="spellStart"/>
      <w:r w:rsidR="001D1C46" w:rsidRPr="00567F9A">
        <w:rPr>
          <w:rFonts w:ascii="Times New Roman" w:hAnsi="Times New Roman" w:cs="Times New Roman"/>
          <w:bCs/>
          <w:sz w:val="24"/>
          <w:szCs w:val="24"/>
        </w:rPr>
        <w:t>ACDBio</w:t>
      </w:r>
      <w:proofErr w:type="spellEnd"/>
      <w:r w:rsidR="001D1C46" w:rsidRPr="00567F9A">
        <w:rPr>
          <w:rFonts w:ascii="Times New Roman" w:hAnsi="Times New Roman" w:cs="Times New Roman"/>
          <w:bCs/>
          <w:sz w:val="24"/>
          <w:szCs w:val="24"/>
        </w:rPr>
        <w:t>, #</w:t>
      </w:r>
      <w:r w:rsidRPr="00567F9A">
        <w:rPr>
          <w:rFonts w:ascii="Times New Roman" w:hAnsi="Times New Roman" w:cs="Times New Roman"/>
          <w:bCs/>
          <w:sz w:val="24"/>
          <w:szCs w:val="24"/>
        </w:rPr>
        <w:t xml:space="preserve">403019) targeted the region 326-1632 (accession number </w:t>
      </w:r>
      <w:r w:rsidR="00B766A0" w:rsidRPr="00567F9A">
        <w:rPr>
          <w:rFonts w:ascii="Times New Roman" w:hAnsi="Times New Roman" w:cs="Times New Roman"/>
          <w:bCs/>
          <w:sz w:val="24"/>
          <w:szCs w:val="24"/>
        </w:rPr>
        <w:t xml:space="preserve">NM_005910.5). </w:t>
      </w:r>
      <w:r w:rsidRPr="00567F9A">
        <w:rPr>
          <w:rFonts w:ascii="Times New Roman" w:hAnsi="Times New Roman" w:cs="Times New Roman"/>
          <w:bCs/>
          <w:sz w:val="24"/>
          <w:szCs w:val="24"/>
        </w:rPr>
        <w:t>Positive</w:t>
      </w:r>
      <w:r w:rsidR="00102715" w:rsidRPr="00567F9A">
        <w:rPr>
          <w:rFonts w:ascii="Times New Roman" w:hAnsi="Times New Roman" w:cs="Times New Roman"/>
          <w:bCs/>
          <w:sz w:val="24"/>
          <w:szCs w:val="24"/>
        </w:rPr>
        <w:t xml:space="preserve"> peptidylprolyl isomerase B</w:t>
      </w:r>
      <w:r w:rsidRPr="00567F9A">
        <w:rPr>
          <w:rFonts w:ascii="Times New Roman" w:hAnsi="Times New Roman" w:cs="Times New Roman"/>
          <w:bCs/>
          <w:sz w:val="24"/>
          <w:szCs w:val="24"/>
        </w:rPr>
        <w:t xml:space="preserve"> </w:t>
      </w:r>
      <w:r w:rsidR="00102715" w:rsidRPr="00567F9A">
        <w:rPr>
          <w:rFonts w:ascii="Times New Roman" w:hAnsi="Times New Roman" w:cs="Times New Roman"/>
          <w:bCs/>
          <w:sz w:val="24"/>
          <w:szCs w:val="24"/>
        </w:rPr>
        <w:t>(</w:t>
      </w:r>
      <w:r w:rsidRPr="00567F9A">
        <w:rPr>
          <w:rFonts w:ascii="Times New Roman" w:hAnsi="Times New Roman" w:cs="Times New Roman"/>
          <w:bCs/>
          <w:sz w:val="24"/>
          <w:szCs w:val="24"/>
        </w:rPr>
        <w:t>PPIB</w:t>
      </w:r>
      <w:r w:rsidR="00102715" w:rsidRPr="00567F9A">
        <w:rPr>
          <w:rFonts w:ascii="Times New Roman" w:hAnsi="Times New Roman" w:cs="Times New Roman"/>
          <w:bCs/>
          <w:sz w:val="24"/>
          <w:szCs w:val="24"/>
        </w:rPr>
        <w:t>)</w:t>
      </w:r>
      <w:r w:rsidRPr="00567F9A">
        <w:rPr>
          <w:rFonts w:ascii="Times New Roman" w:hAnsi="Times New Roman" w:cs="Times New Roman"/>
          <w:bCs/>
          <w:sz w:val="24"/>
          <w:szCs w:val="24"/>
        </w:rPr>
        <w:t xml:space="preserve"> (and negative</w:t>
      </w:r>
      <w:r w:rsidR="00D9186C" w:rsidRPr="00567F9A">
        <w:rPr>
          <w:rFonts w:ascii="Times New Roman" w:hAnsi="Times New Roman" w:cs="Times New Roman"/>
          <w:bCs/>
          <w:sz w:val="24"/>
          <w:szCs w:val="24"/>
        </w:rPr>
        <w:t xml:space="preserve"> bacterial dihydrodipicolinate reductase</w:t>
      </w:r>
      <w:r w:rsidRPr="00567F9A">
        <w:rPr>
          <w:rFonts w:ascii="Times New Roman" w:hAnsi="Times New Roman" w:cs="Times New Roman"/>
          <w:bCs/>
          <w:sz w:val="24"/>
          <w:szCs w:val="24"/>
        </w:rPr>
        <w:t xml:space="preserve"> </w:t>
      </w:r>
      <w:r w:rsidR="00D9186C" w:rsidRPr="00567F9A">
        <w:rPr>
          <w:rFonts w:ascii="Times New Roman" w:hAnsi="Times New Roman" w:cs="Times New Roman"/>
          <w:bCs/>
          <w:sz w:val="24"/>
          <w:szCs w:val="24"/>
        </w:rPr>
        <w:t>(</w:t>
      </w:r>
      <w:proofErr w:type="spellStart"/>
      <w:r w:rsidRPr="00567F9A">
        <w:rPr>
          <w:rFonts w:ascii="Times New Roman" w:hAnsi="Times New Roman" w:cs="Times New Roman"/>
          <w:bCs/>
          <w:sz w:val="24"/>
          <w:szCs w:val="24"/>
        </w:rPr>
        <w:t>DapB</w:t>
      </w:r>
      <w:proofErr w:type="spellEnd"/>
      <w:r w:rsidR="00D9186C" w:rsidRPr="00567F9A">
        <w:rPr>
          <w:rFonts w:ascii="Times New Roman" w:hAnsi="Times New Roman" w:cs="Times New Roman"/>
          <w:bCs/>
          <w:sz w:val="24"/>
          <w:szCs w:val="24"/>
        </w:rPr>
        <w:t>)</w:t>
      </w:r>
      <w:r w:rsidRPr="00567F9A">
        <w:rPr>
          <w:rFonts w:ascii="Times New Roman" w:hAnsi="Times New Roman" w:cs="Times New Roman"/>
          <w:bCs/>
          <w:sz w:val="24"/>
          <w:szCs w:val="24"/>
        </w:rPr>
        <w:t xml:space="preserve"> control probe sets were included for each tissue to ensure mRNA quality and specificity</w:t>
      </w:r>
      <w:r w:rsidR="008D6FBF" w:rsidRPr="00567F9A">
        <w:rPr>
          <w:rFonts w:ascii="Times New Roman" w:hAnsi="Times New Roman" w:cs="Times New Roman"/>
          <w:bCs/>
          <w:sz w:val="24"/>
          <w:szCs w:val="24"/>
        </w:rPr>
        <w:t>,</w:t>
      </w:r>
      <w:r w:rsidRPr="00567F9A">
        <w:rPr>
          <w:rFonts w:ascii="Times New Roman" w:hAnsi="Times New Roman" w:cs="Times New Roman"/>
          <w:bCs/>
          <w:sz w:val="24"/>
          <w:szCs w:val="24"/>
        </w:rPr>
        <w:t xml:space="preserve"> respectively. The </w:t>
      </w:r>
      <w:r w:rsidR="005C13F3" w:rsidRPr="00567F9A">
        <w:rPr>
          <w:rFonts w:ascii="Times New Roman" w:hAnsi="Times New Roman" w:cs="Times New Roman"/>
          <w:bCs/>
          <w:sz w:val="24"/>
          <w:szCs w:val="24"/>
        </w:rPr>
        <w:t>ISH</w:t>
      </w:r>
      <w:r w:rsidRPr="00567F9A">
        <w:rPr>
          <w:rFonts w:ascii="Times New Roman" w:hAnsi="Times New Roman" w:cs="Times New Roman"/>
          <w:bCs/>
          <w:sz w:val="24"/>
          <w:szCs w:val="24"/>
        </w:rPr>
        <w:t xml:space="preserve"> method followed protocols established by ACD Bio and Ventana systems using a 3,</w:t>
      </w:r>
      <w:r w:rsidR="008F5857" w:rsidRPr="00567F9A">
        <w:rPr>
          <w:rFonts w:ascii="Times New Roman" w:hAnsi="Times New Roman" w:cs="Times New Roman"/>
          <w:bCs/>
          <w:sz w:val="24"/>
          <w:szCs w:val="24"/>
        </w:rPr>
        <w:t xml:space="preserve"> </w:t>
      </w:r>
      <w:r w:rsidRPr="00567F9A">
        <w:rPr>
          <w:rFonts w:ascii="Times New Roman" w:hAnsi="Times New Roman" w:cs="Times New Roman"/>
          <w:bCs/>
          <w:sz w:val="24"/>
          <w:szCs w:val="24"/>
        </w:rPr>
        <w:t>3’-Diaminobenzidine (DAB) chromogen. Briefly, 5 µm sections were baked at 60</w:t>
      </w:r>
      <w:r w:rsidR="00D65E73" w:rsidRPr="00567F9A">
        <w:rPr>
          <w:rFonts w:ascii="Times New Roman" w:hAnsi="Times New Roman" w:cs="Times New Roman"/>
          <w:bCs/>
          <w:sz w:val="24"/>
          <w:szCs w:val="24"/>
        </w:rPr>
        <w:t>°C</w:t>
      </w:r>
      <w:r w:rsidRPr="00567F9A">
        <w:rPr>
          <w:rFonts w:ascii="Times New Roman" w:hAnsi="Times New Roman" w:cs="Times New Roman"/>
          <w:bCs/>
          <w:sz w:val="24"/>
          <w:szCs w:val="24"/>
        </w:rPr>
        <w:t xml:space="preserve"> for 30 minutes and used for hybridization.</w:t>
      </w:r>
      <w:r w:rsidR="008F5857" w:rsidRPr="00567F9A">
        <w:rPr>
          <w:rFonts w:ascii="Times New Roman" w:hAnsi="Times New Roman" w:cs="Times New Roman"/>
          <w:bCs/>
          <w:sz w:val="24"/>
          <w:szCs w:val="24"/>
        </w:rPr>
        <w:t xml:space="preserve"> </w:t>
      </w:r>
      <w:r w:rsidRPr="00567F9A">
        <w:rPr>
          <w:rFonts w:ascii="Times New Roman" w:hAnsi="Times New Roman" w:cs="Times New Roman"/>
          <w:bCs/>
          <w:sz w:val="24"/>
          <w:szCs w:val="24"/>
        </w:rPr>
        <w:t xml:space="preserve">The deparaffinization and rehydration protocol was performed using a Sakura Tissue-Tek DR5 </w:t>
      </w:r>
      <w:proofErr w:type="spellStart"/>
      <w:r w:rsidRPr="00567F9A">
        <w:rPr>
          <w:rFonts w:ascii="Times New Roman" w:hAnsi="Times New Roman" w:cs="Times New Roman"/>
          <w:bCs/>
          <w:sz w:val="24"/>
          <w:szCs w:val="24"/>
        </w:rPr>
        <w:t>stainer</w:t>
      </w:r>
      <w:proofErr w:type="spellEnd"/>
      <w:r w:rsidRPr="00567F9A">
        <w:rPr>
          <w:rFonts w:ascii="Times New Roman" w:hAnsi="Times New Roman" w:cs="Times New Roman"/>
          <w:bCs/>
          <w:sz w:val="24"/>
          <w:szCs w:val="24"/>
        </w:rPr>
        <w:t xml:space="preserve"> with the following steps: xylene for 3 minutes; 2 times 100% alcohol for 3 minutes; air dried for 5 minutes. Off-line manual pretreatment in 1X retrieval buffer at 98</w:t>
      </w:r>
      <w:r w:rsidR="00D65E73" w:rsidRPr="00567F9A">
        <w:rPr>
          <w:rFonts w:ascii="Times New Roman" w:hAnsi="Times New Roman" w:cs="Times New Roman"/>
          <w:bCs/>
          <w:sz w:val="24"/>
          <w:szCs w:val="24"/>
        </w:rPr>
        <w:t>°C</w:t>
      </w:r>
      <w:r w:rsidRPr="00567F9A">
        <w:rPr>
          <w:rFonts w:ascii="Times New Roman" w:hAnsi="Times New Roman" w:cs="Times New Roman"/>
          <w:bCs/>
          <w:sz w:val="24"/>
          <w:szCs w:val="24"/>
        </w:rPr>
        <w:t xml:space="preserve"> to 104</w:t>
      </w:r>
      <w:r w:rsidR="00D65E73" w:rsidRPr="00567F9A">
        <w:rPr>
          <w:rFonts w:ascii="Times New Roman" w:hAnsi="Times New Roman" w:cs="Times New Roman"/>
          <w:bCs/>
          <w:sz w:val="24"/>
          <w:szCs w:val="24"/>
        </w:rPr>
        <w:t>°</w:t>
      </w:r>
      <w:r w:rsidRPr="00567F9A">
        <w:rPr>
          <w:rFonts w:ascii="Times New Roman" w:hAnsi="Times New Roman" w:cs="Times New Roman"/>
          <w:bCs/>
          <w:sz w:val="24"/>
          <w:szCs w:val="24"/>
        </w:rPr>
        <w:t>C was optimized by first evaluating</w:t>
      </w:r>
      <w:r w:rsidR="00AB72AC" w:rsidRPr="00567F9A">
        <w:rPr>
          <w:rFonts w:ascii="Times New Roman" w:hAnsi="Times New Roman" w:cs="Times New Roman"/>
          <w:bCs/>
          <w:sz w:val="24"/>
          <w:szCs w:val="24"/>
        </w:rPr>
        <w:t xml:space="preserve"> PPIB</w:t>
      </w:r>
      <w:r w:rsidR="00102715" w:rsidRPr="00567F9A">
        <w:rPr>
          <w:rFonts w:ascii="Times New Roman" w:hAnsi="Times New Roman" w:cs="Times New Roman"/>
          <w:bCs/>
          <w:sz w:val="24"/>
          <w:szCs w:val="24"/>
        </w:rPr>
        <w:t xml:space="preserve"> </w:t>
      </w:r>
      <w:r w:rsidR="00273258" w:rsidRPr="00567F9A">
        <w:rPr>
          <w:rFonts w:ascii="Times New Roman" w:hAnsi="Times New Roman" w:cs="Times New Roman"/>
          <w:bCs/>
          <w:sz w:val="24"/>
          <w:szCs w:val="24"/>
        </w:rPr>
        <w:t xml:space="preserve">and </w:t>
      </w:r>
      <w:proofErr w:type="spellStart"/>
      <w:r w:rsidR="00273258" w:rsidRPr="00567F9A">
        <w:rPr>
          <w:rFonts w:ascii="Times New Roman" w:hAnsi="Times New Roman" w:cs="Times New Roman"/>
          <w:bCs/>
          <w:sz w:val="24"/>
          <w:szCs w:val="24"/>
        </w:rPr>
        <w:t>DapB</w:t>
      </w:r>
      <w:proofErr w:type="spellEnd"/>
      <w:r w:rsidR="002275DF" w:rsidRPr="00567F9A">
        <w:rPr>
          <w:rFonts w:ascii="Times New Roman" w:hAnsi="Times New Roman" w:cs="Times New Roman"/>
          <w:bCs/>
          <w:sz w:val="24"/>
          <w:szCs w:val="24"/>
        </w:rPr>
        <w:t xml:space="preserve"> </w:t>
      </w:r>
      <w:r w:rsidR="00102715" w:rsidRPr="00567F9A">
        <w:rPr>
          <w:rFonts w:ascii="Times New Roman" w:hAnsi="Times New Roman" w:cs="Times New Roman"/>
          <w:bCs/>
          <w:sz w:val="24"/>
          <w:szCs w:val="24"/>
        </w:rPr>
        <w:t>ISH</w:t>
      </w:r>
      <w:r w:rsidR="00273258" w:rsidRPr="00567F9A">
        <w:rPr>
          <w:rFonts w:ascii="Times New Roman" w:hAnsi="Times New Roman" w:cs="Times New Roman"/>
          <w:bCs/>
          <w:sz w:val="24"/>
          <w:szCs w:val="24"/>
        </w:rPr>
        <w:t xml:space="preserve"> </w:t>
      </w:r>
      <w:r w:rsidRPr="00567F9A">
        <w:rPr>
          <w:rFonts w:ascii="Times New Roman" w:hAnsi="Times New Roman" w:cs="Times New Roman"/>
          <w:bCs/>
          <w:sz w:val="24"/>
          <w:szCs w:val="24"/>
        </w:rPr>
        <w:t xml:space="preserve">signal and subsequently using the same conditions for all slides. Following </w:t>
      </w:r>
      <w:r w:rsidR="006F7BEE" w:rsidRPr="00567F9A">
        <w:rPr>
          <w:rFonts w:ascii="Times New Roman" w:hAnsi="Times New Roman" w:cs="Times New Roman"/>
          <w:bCs/>
          <w:sz w:val="24"/>
          <w:szCs w:val="24"/>
        </w:rPr>
        <w:t>pretreatment,</w:t>
      </w:r>
      <w:r w:rsidRPr="00567F9A">
        <w:rPr>
          <w:rFonts w:ascii="Times New Roman" w:hAnsi="Times New Roman" w:cs="Times New Roman"/>
          <w:bCs/>
          <w:sz w:val="24"/>
          <w:szCs w:val="24"/>
        </w:rPr>
        <w:t xml:space="preserve"> the slides were transferred to a Ventana XT </w:t>
      </w:r>
      <w:proofErr w:type="spellStart"/>
      <w:r w:rsidRPr="00567F9A">
        <w:rPr>
          <w:rFonts w:ascii="Times New Roman" w:hAnsi="Times New Roman" w:cs="Times New Roman"/>
          <w:bCs/>
          <w:sz w:val="24"/>
          <w:szCs w:val="24"/>
        </w:rPr>
        <w:t>autostainer</w:t>
      </w:r>
      <w:proofErr w:type="spellEnd"/>
      <w:r w:rsidRPr="00567F9A">
        <w:rPr>
          <w:rFonts w:ascii="Times New Roman" w:hAnsi="Times New Roman" w:cs="Times New Roman"/>
          <w:bCs/>
          <w:sz w:val="24"/>
          <w:szCs w:val="24"/>
        </w:rPr>
        <w:t xml:space="preserve"> for finishing the ISH procedure including protease pretreatment; hybridization at 43 degrees C for 2 hours followed by amplification; and detection with HRP and hematoxylin counter stain.</w:t>
      </w:r>
      <w:r w:rsidR="008F5857" w:rsidRPr="00567F9A">
        <w:rPr>
          <w:rFonts w:ascii="Times New Roman" w:hAnsi="Times New Roman" w:cs="Times New Roman"/>
          <w:bCs/>
          <w:sz w:val="24"/>
          <w:szCs w:val="24"/>
        </w:rPr>
        <w:t xml:space="preserve"> </w:t>
      </w:r>
      <w:r w:rsidRPr="00567F9A">
        <w:rPr>
          <w:rFonts w:ascii="Times New Roman" w:hAnsi="Times New Roman" w:cs="Times New Roman"/>
          <w:bCs/>
          <w:sz w:val="24"/>
          <w:szCs w:val="24"/>
        </w:rPr>
        <w:t xml:space="preserve">For photomicrographs, slides were scanned at </w:t>
      </w:r>
      <w:r w:rsidR="006F7BEE" w:rsidRPr="00567F9A">
        <w:rPr>
          <w:rFonts w:ascii="Times New Roman" w:hAnsi="Times New Roman" w:cs="Times New Roman"/>
          <w:bCs/>
          <w:sz w:val="24"/>
          <w:szCs w:val="24"/>
        </w:rPr>
        <w:t>20-x</w:t>
      </w:r>
      <w:r w:rsidRPr="00567F9A">
        <w:rPr>
          <w:rFonts w:ascii="Times New Roman" w:hAnsi="Times New Roman" w:cs="Times New Roman"/>
          <w:bCs/>
          <w:sz w:val="24"/>
          <w:szCs w:val="24"/>
        </w:rPr>
        <w:t xml:space="preserve"> magnification using a Leica </w:t>
      </w:r>
      <w:proofErr w:type="spellStart"/>
      <w:r w:rsidRPr="00567F9A">
        <w:rPr>
          <w:rFonts w:ascii="Times New Roman" w:hAnsi="Times New Roman" w:cs="Times New Roman"/>
          <w:bCs/>
          <w:sz w:val="24"/>
          <w:szCs w:val="24"/>
        </w:rPr>
        <w:t>Aperio</w:t>
      </w:r>
      <w:proofErr w:type="spellEnd"/>
      <w:r w:rsidRPr="00567F9A">
        <w:rPr>
          <w:rFonts w:ascii="Times New Roman" w:hAnsi="Times New Roman" w:cs="Times New Roman"/>
          <w:bCs/>
          <w:sz w:val="24"/>
          <w:szCs w:val="24"/>
        </w:rPr>
        <w:t xml:space="preserve"> AT2 slide scanner or images captured with an Olympus BX46 microscope coupled to an Olympus DP72 digital camera and DP2-BSW imaging software.</w:t>
      </w:r>
    </w:p>
    <w:p w14:paraId="05F101AC" w14:textId="2DDACCF0" w:rsidR="009757BA" w:rsidRPr="00567F9A" w:rsidRDefault="00BF0A3D" w:rsidP="00AA1D6E">
      <w:pPr>
        <w:spacing w:before="120" w:line="360" w:lineRule="auto"/>
        <w:jc w:val="both"/>
        <w:rPr>
          <w:rFonts w:ascii="Times New Roman" w:hAnsi="Times New Roman" w:cs="Times New Roman"/>
          <w:bCs/>
          <w:i/>
          <w:sz w:val="24"/>
          <w:szCs w:val="24"/>
        </w:rPr>
      </w:pPr>
      <w:r w:rsidRPr="00567F9A">
        <w:rPr>
          <w:rFonts w:ascii="Times New Roman" w:hAnsi="Times New Roman" w:cs="Times New Roman"/>
          <w:bCs/>
          <w:i/>
          <w:sz w:val="24"/>
          <w:szCs w:val="24"/>
        </w:rPr>
        <w:t>CDH6 expression on immune cells (</w:t>
      </w:r>
      <w:r w:rsidR="00535BFD" w:rsidRPr="00567F9A">
        <w:rPr>
          <w:rFonts w:ascii="Times New Roman" w:hAnsi="Times New Roman" w:cs="Times New Roman"/>
          <w:bCs/>
          <w:i/>
          <w:sz w:val="24"/>
          <w:szCs w:val="24"/>
        </w:rPr>
        <w:t>f</w:t>
      </w:r>
      <w:r w:rsidR="009757BA" w:rsidRPr="00567F9A">
        <w:rPr>
          <w:rFonts w:ascii="Times New Roman" w:hAnsi="Times New Roman" w:cs="Times New Roman"/>
          <w:bCs/>
          <w:i/>
          <w:sz w:val="24"/>
          <w:szCs w:val="24"/>
        </w:rPr>
        <w:t>low cytometry</w:t>
      </w:r>
      <w:r w:rsidRPr="00567F9A">
        <w:rPr>
          <w:rFonts w:ascii="Times New Roman" w:hAnsi="Times New Roman" w:cs="Times New Roman"/>
          <w:bCs/>
          <w:i/>
          <w:sz w:val="24"/>
          <w:szCs w:val="24"/>
        </w:rPr>
        <w:t xml:space="preserve"> and </w:t>
      </w:r>
      <w:proofErr w:type="spellStart"/>
      <w:r w:rsidRPr="00567F9A">
        <w:rPr>
          <w:rFonts w:ascii="Times New Roman" w:hAnsi="Times New Roman" w:cs="Times New Roman"/>
          <w:bCs/>
          <w:i/>
          <w:sz w:val="24"/>
          <w:szCs w:val="24"/>
        </w:rPr>
        <w:t>RTqPCR</w:t>
      </w:r>
      <w:proofErr w:type="spellEnd"/>
      <w:r w:rsidRPr="00567F9A">
        <w:rPr>
          <w:rFonts w:ascii="Times New Roman" w:hAnsi="Times New Roman" w:cs="Times New Roman"/>
          <w:bCs/>
          <w:i/>
          <w:sz w:val="24"/>
          <w:szCs w:val="24"/>
        </w:rPr>
        <w:t>)</w:t>
      </w:r>
    </w:p>
    <w:p w14:paraId="1B2F77FE" w14:textId="799AADE4" w:rsidR="00F11AA5" w:rsidRPr="00567F9A" w:rsidRDefault="00F11AA5" w:rsidP="00F11AA5">
      <w:pPr>
        <w:spacing w:before="120" w:line="360" w:lineRule="auto"/>
        <w:jc w:val="both"/>
        <w:rPr>
          <w:rFonts w:ascii="Times New Roman" w:hAnsi="Times New Roman" w:cs="Times New Roman"/>
          <w:bCs/>
          <w:sz w:val="24"/>
          <w:szCs w:val="24"/>
        </w:rPr>
      </w:pPr>
      <w:r w:rsidRPr="00567F9A">
        <w:rPr>
          <w:rFonts w:ascii="Times New Roman" w:hAnsi="Times New Roman" w:cs="Times New Roman"/>
          <w:bCs/>
          <w:sz w:val="24"/>
          <w:szCs w:val="24"/>
        </w:rPr>
        <w:t>For flow cytometry procedures, on healthy human volunteer samples</w:t>
      </w:r>
      <w:r w:rsidR="00CB4CED" w:rsidRPr="00567F9A">
        <w:rPr>
          <w:rFonts w:ascii="Times New Roman" w:hAnsi="Times New Roman" w:cs="Times New Roman"/>
          <w:bCs/>
          <w:sz w:val="24"/>
          <w:szCs w:val="24"/>
        </w:rPr>
        <w:t xml:space="preserve"> </w:t>
      </w:r>
      <w:r w:rsidRPr="00567F9A">
        <w:rPr>
          <w:rFonts w:ascii="Times New Roman" w:hAnsi="Times New Roman" w:cs="Times New Roman"/>
          <w:bCs/>
          <w:sz w:val="24"/>
          <w:szCs w:val="24"/>
        </w:rPr>
        <w:t xml:space="preserve">50 </w:t>
      </w:r>
      <w:proofErr w:type="spellStart"/>
      <w:r w:rsidRPr="00567F9A">
        <w:rPr>
          <w:rFonts w:ascii="Times New Roman" w:hAnsi="Times New Roman" w:cs="Times New Roman"/>
          <w:bCs/>
          <w:sz w:val="24"/>
          <w:szCs w:val="24"/>
        </w:rPr>
        <w:t>μl</w:t>
      </w:r>
      <w:proofErr w:type="spellEnd"/>
      <w:r w:rsidRPr="00567F9A">
        <w:rPr>
          <w:rFonts w:ascii="Times New Roman" w:hAnsi="Times New Roman" w:cs="Times New Roman"/>
          <w:bCs/>
          <w:sz w:val="24"/>
          <w:szCs w:val="24"/>
        </w:rPr>
        <w:t xml:space="preserve"> whole blood per well were added to a 96-well deep well plate. RBC were lysed with</w:t>
      </w:r>
      <w:r w:rsidR="00BF0F98" w:rsidRPr="00567F9A">
        <w:rPr>
          <w:rFonts w:ascii="Times New Roman" w:hAnsi="Times New Roman" w:cs="Times New Roman"/>
          <w:bCs/>
          <w:sz w:val="24"/>
          <w:szCs w:val="24"/>
        </w:rPr>
        <w:t xml:space="preserve"> ammonium-chloride-potassium</w:t>
      </w:r>
      <w:r w:rsidRPr="00567F9A">
        <w:rPr>
          <w:rFonts w:ascii="Times New Roman" w:hAnsi="Times New Roman" w:cs="Times New Roman"/>
          <w:bCs/>
          <w:sz w:val="24"/>
          <w:szCs w:val="24"/>
        </w:rPr>
        <w:t xml:space="preserve"> buffer. The remaining WBC were washed (centrifugation at 300xg, 5 min</w:t>
      </w:r>
      <w:r w:rsidR="00AE45C2" w:rsidRPr="00567F9A">
        <w:rPr>
          <w:rFonts w:ascii="Times New Roman" w:hAnsi="Times New Roman" w:cs="Times New Roman"/>
          <w:bCs/>
          <w:sz w:val="24"/>
          <w:szCs w:val="24"/>
        </w:rPr>
        <w:t>utes</w:t>
      </w:r>
      <w:r w:rsidRPr="00567F9A">
        <w:rPr>
          <w:rFonts w:ascii="Times New Roman" w:hAnsi="Times New Roman" w:cs="Times New Roman"/>
          <w:bCs/>
          <w:sz w:val="24"/>
          <w:szCs w:val="24"/>
        </w:rPr>
        <w:t xml:space="preserve">, 4°C) with </w:t>
      </w:r>
      <w:r w:rsidR="00FE19E1" w:rsidRPr="00567F9A">
        <w:rPr>
          <w:rFonts w:ascii="Times New Roman" w:hAnsi="Times New Roman" w:cs="Times New Roman"/>
          <w:bCs/>
          <w:sz w:val="24"/>
          <w:szCs w:val="24"/>
        </w:rPr>
        <w:t>fluorescence-activated cell sorting (</w:t>
      </w:r>
      <w:r w:rsidRPr="00567F9A">
        <w:rPr>
          <w:rFonts w:ascii="Times New Roman" w:hAnsi="Times New Roman" w:cs="Times New Roman"/>
          <w:bCs/>
          <w:sz w:val="24"/>
          <w:szCs w:val="24"/>
        </w:rPr>
        <w:t>FACS</w:t>
      </w:r>
      <w:r w:rsidR="00FE19E1" w:rsidRPr="00567F9A">
        <w:rPr>
          <w:rFonts w:ascii="Times New Roman" w:hAnsi="Times New Roman" w:cs="Times New Roman"/>
          <w:bCs/>
          <w:sz w:val="24"/>
          <w:szCs w:val="24"/>
        </w:rPr>
        <w:t>)</w:t>
      </w:r>
      <w:r w:rsidRPr="00567F9A">
        <w:rPr>
          <w:rFonts w:ascii="Times New Roman" w:hAnsi="Times New Roman" w:cs="Times New Roman"/>
          <w:bCs/>
          <w:sz w:val="24"/>
          <w:szCs w:val="24"/>
        </w:rPr>
        <w:t xml:space="preserve"> buffer and transferred to U-bottom 96-well plates. Control cell lines, previously grown as adherent cultures, were also added to the plate with the washed WBC. Human bone marrow aspirates</w:t>
      </w:r>
      <w:r w:rsidR="009E28C5" w:rsidRPr="00567F9A">
        <w:rPr>
          <w:rFonts w:ascii="Times New Roman" w:hAnsi="Times New Roman" w:cs="Times New Roman"/>
          <w:bCs/>
          <w:sz w:val="24"/>
          <w:szCs w:val="24"/>
        </w:rPr>
        <w:t xml:space="preserve"> from</w:t>
      </w:r>
      <w:r w:rsidRPr="00567F9A">
        <w:rPr>
          <w:rFonts w:ascii="Times New Roman" w:hAnsi="Times New Roman" w:cs="Times New Roman"/>
          <w:bCs/>
          <w:sz w:val="24"/>
          <w:szCs w:val="24"/>
        </w:rPr>
        <w:t xml:space="preserve"> </w:t>
      </w:r>
      <w:r w:rsidR="00DC2C5E" w:rsidRPr="00567F9A">
        <w:rPr>
          <w:rFonts w:ascii="Times New Roman" w:hAnsi="Times New Roman" w:cs="Times New Roman"/>
          <w:bCs/>
          <w:sz w:val="24"/>
          <w:szCs w:val="24"/>
        </w:rPr>
        <w:t xml:space="preserve">healthy human volunteers </w:t>
      </w:r>
      <w:r w:rsidRPr="00567F9A">
        <w:rPr>
          <w:rFonts w:ascii="Times New Roman" w:hAnsi="Times New Roman" w:cs="Times New Roman"/>
          <w:bCs/>
          <w:sz w:val="24"/>
          <w:szCs w:val="24"/>
        </w:rPr>
        <w:t xml:space="preserve">were processed by a brief RBC lysis, which was followed by a washing step, as described above. All cells were subjected to </w:t>
      </w:r>
      <w:r w:rsidR="009E28C5" w:rsidRPr="00567F9A">
        <w:rPr>
          <w:rFonts w:ascii="Times New Roman" w:hAnsi="Times New Roman" w:cs="Times New Roman"/>
          <w:bCs/>
          <w:sz w:val="24"/>
          <w:szCs w:val="24"/>
        </w:rPr>
        <w:t xml:space="preserve">an </w:t>
      </w:r>
      <w:r w:rsidRPr="00567F9A">
        <w:rPr>
          <w:rFonts w:ascii="Times New Roman" w:hAnsi="Times New Roman" w:cs="Times New Roman"/>
          <w:bCs/>
          <w:sz w:val="24"/>
          <w:szCs w:val="24"/>
        </w:rPr>
        <w:t>Fc-blocking step for 20 min</w:t>
      </w:r>
      <w:r w:rsidR="00AE45C2" w:rsidRPr="00567F9A">
        <w:rPr>
          <w:rFonts w:ascii="Times New Roman" w:hAnsi="Times New Roman" w:cs="Times New Roman"/>
          <w:bCs/>
          <w:sz w:val="24"/>
          <w:szCs w:val="24"/>
        </w:rPr>
        <w:t>utes</w:t>
      </w:r>
      <w:r w:rsidRPr="00567F9A">
        <w:rPr>
          <w:rFonts w:ascii="Times New Roman" w:hAnsi="Times New Roman" w:cs="Times New Roman"/>
          <w:bCs/>
          <w:sz w:val="24"/>
          <w:szCs w:val="24"/>
        </w:rPr>
        <w:t xml:space="preserve">, on ice, followed by incubation with the respective immunophenotype (IPT) mix and each of the individual </w:t>
      </w:r>
      <w:r w:rsidR="00047EFB" w:rsidRPr="00567F9A">
        <w:rPr>
          <w:rFonts w:ascii="Times New Roman" w:hAnsi="Times New Roman" w:cs="Times New Roman"/>
          <w:bCs/>
          <w:sz w:val="24"/>
          <w:szCs w:val="24"/>
        </w:rPr>
        <w:t>CDH6</w:t>
      </w:r>
      <w:r w:rsidRPr="00567F9A">
        <w:rPr>
          <w:rFonts w:ascii="Times New Roman" w:hAnsi="Times New Roman" w:cs="Times New Roman"/>
          <w:bCs/>
          <w:sz w:val="24"/>
          <w:szCs w:val="24"/>
        </w:rPr>
        <w:t xml:space="preserve"> antibodies/ADCs or their respective IgG controls. IPT mix only (</w:t>
      </w:r>
      <w:r w:rsidR="00401975" w:rsidRPr="00567F9A">
        <w:rPr>
          <w:rFonts w:ascii="Times New Roman" w:hAnsi="Times New Roman" w:cs="Times New Roman"/>
          <w:bCs/>
          <w:sz w:val="24"/>
          <w:szCs w:val="24"/>
        </w:rPr>
        <w:t>Fluorescence-m</w:t>
      </w:r>
      <w:r w:rsidR="00AF5BA6" w:rsidRPr="00567F9A">
        <w:rPr>
          <w:rFonts w:ascii="Times New Roman" w:hAnsi="Times New Roman" w:cs="Times New Roman"/>
          <w:bCs/>
          <w:sz w:val="24"/>
          <w:szCs w:val="24"/>
        </w:rPr>
        <w:t>inus</w:t>
      </w:r>
      <w:r w:rsidR="00401975" w:rsidRPr="00567F9A">
        <w:rPr>
          <w:rFonts w:ascii="Times New Roman" w:hAnsi="Times New Roman" w:cs="Times New Roman"/>
          <w:bCs/>
          <w:sz w:val="24"/>
          <w:szCs w:val="24"/>
        </w:rPr>
        <w:t>-o</w:t>
      </w:r>
      <w:r w:rsidR="00AF5BA6" w:rsidRPr="00567F9A">
        <w:rPr>
          <w:rFonts w:ascii="Times New Roman" w:hAnsi="Times New Roman" w:cs="Times New Roman"/>
          <w:bCs/>
          <w:sz w:val="24"/>
          <w:szCs w:val="24"/>
        </w:rPr>
        <w:t>ne</w:t>
      </w:r>
      <w:r w:rsidRPr="00567F9A">
        <w:rPr>
          <w:rFonts w:ascii="Times New Roman" w:hAnsi="Times New Roman" w:cs="Times New Roman"/>
          <w:bCs/>
          <w:sz w:val="24"/>
          <w:szCs w:val="24"/>
        </w:rPr>
        <w:t xml:space="preserve"> controls) or unstained controls </w:t>
      </w:r>
      <w:r w:rsidRPr="00567F9A">
        <w:rPr>
          <w:rFonts w:ascii="Times New Roman" w:hAnsi="Times New Roman" w:cs="Times New Roman"/>
          <w:bCs/>
          <w:sz w:val="24"/>
          <w:szCs w:val="24"/>
        </w:rPr>
        <w:lastRenderedPageBreak/>
        <w:t>were also included. Incubation with the antibodies was carried out for 30 min</w:t>
      </w:r>
      <w:r w:rsidR="00AE45C2" w:rsidRPr="00567F9A">
        <w:rPr>
          <w:rFonts w:ascii="Times New Roman" w:hAnsi="Times New Roman" w:cs="Times New Roman"/>
          <w:bCs/>
          <w:sz w:val="24"/>
          <w:szCs w:val="24"/>
        </w:rPr>
        <w:t>utes</w:t>
      </w:r>
      <w:r w:rsidRPr="00567F9A">
        <w:rPr>
          <w:rFonts w:ascii="Times New Roman" w:hAnsi="Times New Roman" w:cs="Times New Roman"/>
          <w:bCs/>
          <w:sz w:val="24"/>
          <w:szCs w:val="24"/>
        </w:rPr>
        <w:t xml:space="preserve"> on ice, in the dark. Cells were then washed and fixed with 2% </w:t>
      </w:r>
      <w:r w:rsidR="00957CD6" w:rsidRPr="00567F9A">
        <w:rPr>
          <w:rFonts w:ascii="Times New Roman" w:hAnsi="Times New Roman" w:cs="Times New Roman"/>
          <w:bCs/>
          <w:sz w:val="24"/>
          <w:szCs w:val="24"/>
        </w:rPr>
        <w:t>paraformaldehyde</w:t>
      </w:r>
      <w:r w:rsidRPr="00567F9A">
        <w:rPr>
          <w:rFonts w:ascii="Times New Roman" w:hAnsi="Times New Roman" w:cs="Times New Roman"/>
          <w:bCs/>
          <w:sz w:val="24"/>
          <w:szCs w:val="24"/>
        </w:rPr>
        <w:t xml:space="preserve"> for 30 min</w:t>
      </w:r>
      <w:r w:rsidR="00AE45C2" w:rsidRPr="00567F9A">
        <w:rPr>
          <w:rFonts w:ascii="Times New Roman" w:hAnsi="Times New Roman" w:cs="Times New Roman"/>
          <w:bCs/>
          <w:sz w:val="24"/>
          <w:szCs w:val="24"/>
        </w:rPr>
        <w:t>utes</w:t>
      </w:r>
      <w:r w:rsidRPr="00567F9A">
        <w:rPr>
          <w:rFonts w:ascii="Times New Roman" w:hAnsi="Times New Roman" w:cs="Times New Roman"/>
          <w:bCs/>
          <w:sz w:val="24"/>
          <w:szCs w:val="24"/>
        </w:rPr>
        <w:t xml:space="preserve"> on ice, in the dark. After </w:t>
      </w:r>
      <w:r w:rsidR="006F7BEE" w:rsidRPr="00567F9A">
        <w:rPr>
          <w:rFonts w:ascii="Times New Roman" w:hAnsi="Times New Roman" w:cs="Times New Roman"/>
          <w:bCs/>
          <w:sz w:val="24"/>
          <w:szCs w:val="24"/>
        </w:rPr>
        <w:t>fixation,</w:t>
      </w:r>
      <w:r w:rsidRPr="00567F9A">
        <w:rPr>
          <w:rFonts w:ascii="Times New Roman" w:hAnsi="Times New Roman" w:cs="Times New Roman"/>
          <w:bCs/>
          <w:sz w:val="24"/>
          <w:szCs w:val="24"/>
        </w:rPr>
        <w:t xml:space="preserve"> samples were washed and stored at 4°C until flow cytometry acquisition. </w:t>
      </w:r>
    </w:p>
    <w:p w14:paraId="42B89500" w14:textId="76CF8EAE" w:rsidR="008618A0" w:rsidRPr="00567F9A" w:rsidRDefault="008618A0" w:rsidP="00AA1D6E">
      <w:pPr>
        <w:spacing w:before="120" w:line="360" w:lineRule="auto"/>
        <w:jc w:val="both"/>
        <w:rPr>
          <w:rFonts w:ascii="Times New Roman" w:hAnsi="Times New Roman" w:cs="Times New Roman"/>
          <w:bCs/>
          <w:sz w:val="24"/>
          <w:szCs w:val="24"/>
        </w:rPr>
      </w:pPr>
      <w:r w:rsidRPr="00567F9A">
        <w:rPr>
          <w:rFonts w:ascii="Times New Roman" w:hAnsi="Times New Roman" w:cs="Times New Roman"/>
          <w:bCs/>
          <w:sz w:val="24"/>
          <w:szCs w:val="24"/>
        </w:rPr>
        <w:t xml:space="preserve">In addition, compensation controls were prepared for each individual fluorophore with the use of </w:t>
      </w:r>
      <w:proofErr w:type="spellStart"/>
      <w:r w:rsidRPr="00567F9A">
        <w:rPr>
          <w:rFonts w:ascii="Times New Roman" w:hAnsi="Times New Roman" w:cs="Times New Roman"/>
          <w:bCs/>
          <w:sz w:val="24"/>
          <w:szCs w:val="24"/>
        </w:rPr>
        <w:t>UltraComp</w:t>
      </w:r>
      <w:proofErr w:type="spellEnd"/>
      <w:r w:rsidRPr="00567F9A">
        <w:rPr>
          <w:rFonts w:ascii="Times New Roman" w:hAnsi="Times New Roman" w:cs="Times New Roman"/>
          <w:bCs/>
          <w:sz w:val="24"/>
          <w:szCs w:val="24"/>
        </w:rPr>
        <w:t xml:space="preserve"> beads (</w:t>
      </w:r>
      <w:proofErr w:type="spellStart"/>
      <w:r w:rsidRPr="00567F9A">
        <w:rPr>
          <w:rFonts w:ascii="Times New Roman" w:hAnsi="Times New Roman" w:cs="Times New Roman"/>
          <w:bCs/>
          <w:sz w:val="24"/>
          <w:szCs w:val="24"/>
        </w:rPr>
        <w:t>eBioscience</w:t>
      </w:r>
      <w:proofErr w:type="spellEnd"/>
      <w:r w:rsidRPr="00567F9A">
        <w:rPr>
          <w:rFonts w:ascii="Times New Roman" w:hAnsi="Times New Roman" w:cs="Times New Roman"/>
          <w:bCs/>
          <w:sz w:val="24"/>
          <w:szCs w:val="24"/>
        </w:rPr>
        <w:t xml:space="preserve">). In some </w:t>
      </w:r>
      <w:r w:rsidR="006F7BEE" w:rsidRPr="00567F9A">
        <w:rPr>
          <w:rFonts w:ascii="Times New Roman" w:hAnsi="Times New Roman" w:cs="Times New Roman"/>
          <w:bCs/>
          <w:sz w:val="24"/>
          <w:szCs w:val="24"/>
        </w:rPr>
        <w:t>cases,</w:t>
      </w:r>
      <w:r w:rsidRPr="00567F9A">
        <w:rPr>
          <w:rFonts w:ascii="Times New Roman" w:hAnsi="Times New Roman" w:cs="Times New Roman"/>
          <w:bCs/>
          <w:sz w:val="24"/>
          <w:szCs w:val="24"/>
        </w:rPr>
        <w:t xml:space="preserve"> single color cell-based compensation controls were used. All samples were acquired on</w:t>
      </w:r>
      <w:r w:rsidR="00672C7A" w:rsidRPr="00567F9A">
        <w:rPr>
          <w:rFonts w:ascii="Times New Roman" w:hAnsi="Times New Roman" w:cs="Times New Roman"/>
          <w:bCs/>
          <w:sz w:val="24"/>
          <w:szCs w:val="24"/>
        </w:rPr>
        <w:t xml:space="preserve"> the</w:t>
      </w:r>
      <w:r w:rsidRPr="00567F9A">
        <w:rPr>
          <w:rFonts w:ascii="Times New Roman" w:hAnsi="Times New Roman" w:cs="Times New Roman"/>
          <w:bCs/>
          <w:sz w:val="24"/>
          <w:szCs w:val="24"/>
        </w:rPr>
        <w:t xml:space="preserve"> </w:t>
      </w:r>
      <w:proofErr w:type="spellStart"/>
      <w:r w:rsidRPr="00567F9A">
        <w:rPr>
          <w:rFonts w:ascii="Times New Roman" w:hAnsi="Times New Roman" w:cs="Times New Roman"/>
          <w:bCs/>
          <w:sz w:val="24"/>
          <w:szCs w:val="24"/>
        </w:rPr>
        <w:t>Fortessa</w:t>
      </w:r>
      <w:proofErr w:type="spellEnd"/>
      <w:r w:rsidRPr="00567F9A">
        <w:rPr>
          <w:rFonts w:ascii="Times New Roman" w:hAnsi="Times New Roman" w:cs="Times New Roman"/>
          <w:bCs/>
          <w:sz w:val="24"/>
          <w:szCs w:val="24"/>
        </w:rPr>
        <w:t xml:space="preserve"> flow cytometer. Data was analyzed with </w:t>
      </w:r>
      <w:proofErr w:type="spellStart"/>
      <w:r w:rsidRPr="00567F9A">
        <w:rPr>
          <w:rFonts w:ascii="Times New Roman" w:hAnsi="Times New Roman" w:cs="Times New Roman"/>
          <w:bCs/>
          <w:sz w:val="24"/>
          <w:szCs w:val="24"/>
        </w:rPr>
        <w:t>FlowJo</w:t>
      </w:r>
      <w:proofErr w:type="spellEnd"/>
      <w:r w:rsidRPr="00567F9A">
        <w:rPr>
          <w:rFonts w:ascii="Times New Roman" w:hAnsi="Times New Roman" w:cs="Times New Roman"/>
          <w:bCs/>
          <w:sz w:val="24"/>
          <w:szCs w:val="24"/>
        </w:rPr>
        <w:t xml:space="preserve"> V.10 software. Expression of </w:t>
      </w:r>
      <w:r w:rsidR="00672C7A" w:rsidRPr="00567F9A">
        <w:rPr>
          <w:rFonts w:ascii="Times New Roman" w:hAnsi="Times New Roman" w:cs="Times New Roman"/>
          <w:bCs/>
          <w:sz w:val="24"/>
          <w:szCs w:val="24"/>
        </w:rPr>
        <w:t>CDH6</w:t>
      </w:r>
      <w:r w:rsidRPr="00567F9A">
        <w:rPr>
          <w:rFonts w:ascii="Times New Roman" w:hAnsi="Times New Roman" w:cs="Times New Roman"/>
          <w:bCs/>
          <w:sz w:val="24"/>
          <w:szCs w:val="24"/>
        </w:rPr>
        <w:t xml:space="preserve"> on immune cell populations was calculated and reported as GMFI (FITC) for </w:t>
      </w:r>
      <w:r w:rsidR="00672C7A" w:rsidRPr="00567F9A">
        <w:rPr>
          <w:rFonts w:ascii="Times New Roman" w:hAnsi="Times New Roman" w:cs="Times New Roman"/>
          <w:bCs/>
          <w:sz w:val="24"/>
          <w:szCs w:val="24"/>
        </w:rPr>
        <w:t>CDH6</w:t>
      </w:r>
      <w:r w:rsidRPr="00567F9A">
        <w:rPr>
          <w:rFonts w:ascii="Times New Roman" w:hAnsi="Times New Roman" w:cs="Times New Roman"/>
          <w:bCs/>
          <w:sz w:val="24"/>
          <w:szCs w:val="24"/>
        </w:rPr>
        <w:t>.</w:t>
      </w:r>
    </w:p>
    <w:p w14:paraId="15003C9C" w14:textId="32D30E85" w:rsidR="008618A0" w:rsidRPr="00567F9A" w:rsidRDefault="008618A0" w:rsidP="00AA1D6E">
      <w:pPr>
        <w:spacing w:before="120" w:line="360" w:lineRule="auto"/>
        <w:jc w:val="both"/>
        <w:rPr>
          <w:rFonts w:ascii="Times New Roman" w:hAnsi="Times New Roman" w:cs="Times New Roman"/>
          <w:bCs/>
          <w:sz w:val="24"/>
          <w:szCs w:val="24"/>
        </w:rPr>
      </w:pPr>
      <w:proofErr w:type="spellStart"/>
      <w:r w:rsidRPr="00567F9A">
        <w:rPr>
          <w:rFonts w:ascii="Times New Roman" w:hAnsi="Times New Roman" w:cs="Times New Roman"/>
          <w:bCs/>
          <w:sz w:val="24"/>
          <w:szCs w:val="24"/>
        </w:rPr>
        <w:t>RTqPCR</w:t>
      </w:r>
      <w:proofErr w:type="spellEnd"/>
      <w:r w:rsidRPr="00567F9A">
        <w:rPr>
          <w:rFonts w:ascii="Times New Roman" w:hAnsi="Times New Roman" w:cs="Times New Roman"/>
          <w:bCs/>
          <w:sz w:val="24"/>
          <w:szCs w:val="24"/>
        </w:rPr>
        <w:t xml:space="preserve"> was performed on RNA extracted from bone marrow, whole blood, kidney, and control cell lines. For flash-frozen tissues, approximately 30-50 mg tissue per sample was placed in tubes containing ceramic beads (</w:t>
      </w:r>
      <w:proofErr w:type="spellStart"/>
      <w:r w:rsidRPr="00567F9A">
        <w:rPr>
          <w:rFonts w:ascii="Times New Roman" w:hAnsi="Times New Roman" w:cs="Times New Roman"/>
          <w:bCs/>
          <w:sz w:val="24"/>
          <w:szCs w:val="24"/>
        </w:rPr>
        <w:t>MagNA</w:t>
      </w:r>
      <w:proofErr w:type="spellEnd"/>
      <w:r w:rsidRPr="00567F9A">
        <w:rPr>
          <w:rFonts w:ascii="Times New Roman" w:hAnsi="Times New Roman" w:cs="Times New Roman"/>
          <w:bCs/>
          <w:sz w:val="24"/>
          <w:szCs w:val="24"/>
        </w:rPr>
        <w:t xml:space="preserve"> </w:t>
      </w:r>
      <w:proofErr w:type="spellStart"/>
      <w:r w:rsidRPr="00567F9A">
        <w:rPr>
          <w:rFonts w:ascii="Times New Roman" w:hAnsi="Times New Roman" w:cs="Times New Roman"/>
          <w:bCs/>
          <w:sz w:val="24"/>
          <w:szCs w:val="24"/>
        </w:rPr>
        <w:t>Lyser</w:t>
      </w:r>
      <w:proofErr w:type="spellEnd"/>
      <w:r w:rsidRPr="00567F9A">
        <w:rPr>
          <w:rFonts w:ascii="Times New Roman" w:hAnsi="Times New Roman" w:cs="Times New Roman"/>
          <w:bCs/>
          <w:sz w:val="24"/>
          <w:szCs w:val="24"/>
        </w:rPr>
        <w:t xml:space="preserve"> Green Beads, Roche) and </w:t>
      </w:r>
      <w:r w:rsidR="006F7BEE" w:rsidRPr="00567F9A">
        <w:rPr>
          <w:rFonts w:ascii="Times New Roman" w:hAnsi="Times New Roman" w:cs="Times New Roman"/>
          <w:bCs/>
          <w:sz w:val="24"/>
          <w:szCs w:val="24"/>
        </w:rPr>
        <w:t>900-µl</w:t>
      </w:r>
      <w:r w:rsidRPr="00567F9A">
        <w:rPr>
          <w:rFonts w:ascii="Times New Roman" w:hAnsi="Times New Roman" w:cs="Times New Roman"/>
          <w:bCs/>
          <w:sz w:val="24"/>
          <w:szCs w:val="24"/>
        </w:rPr>
        <w:t xml:space="preserve"> </w:t>
      </w:r>
      <w:proofErr w:type="spellStart"/>
      <w:r w:rsidRPr="00567F9A">
        <w:rPr>
          <w:rFonts w:ascii="Times New Roman" w:hAnsi="Times New Roman" w:cs="Times New Roman"/>
          <w:bCs/>
          <w:sz w:val="24"/>
          <w:szCs w:val="24"/>
        </w:rPr>
        <w:t>Qiazol</w:t>
      </w:r>
      <w:proofErr w:type="spellEnd"/>
      <w:r w:rsidRPr="00567F9A">
        <w:rPr>
          <w:rFonts w:ascii="Times New Roman" w:hAnsi="Times New Roman" w:cs="Times New Roman"/>
          <w:bCs/>
          <w:sz w:val="24"/>
          <w:szCs w:val="24"/>
        </w:rPr>
        <w:t xml:space="preserve"> reagent (Qiagen RNe</w:t>
      </w:r>
      <w:r w:rsidR="00EF15F5" w:rsidRPr="00567F9A">
        <w:rPr>
          <w:rFonts w:ascii="Times New Roman" w:hAnsi="Times New Roman" w:cs="Times New Roman"/>
          <w:bCs/>
          <w:sz w:val="24"/>
          <w:szCs w:val="24"/>
        </w:rPr>
        <w:t>asy Universal Plus Kit, Qiagen</w:t>
      </w:r>
      <w:r w:rsidRPr="00567F9A">
        <w:rPr>
          <w:rFonts w:ascii="Times New Roman" w:hAnsi="Times New Roman" w:cs="Times New Roman"/>
          <w:bCs/>
          <w:sz w:val="24"/>
          <w:szCs w:val="24"/>
        </w:rPr>
        <w:t xml:space="preserve">). Samples were homogenized twice using the </w:t>
      </w:r>
      <w:proofErr w:type="spellStart"/>
      <w:r w:rsidRPr="00567F9A">
        <w:rPr>
          <w:rFonts w:ascii="Times New Roman" w:hAnsi="Times New Roman" w:cs="Times New Roman"/>
          <w:bCs/>
          <w:sz w:val="24"/>
          <w:szCs w:val="24"/>
        </w:rPr>
        <w:t>MagNA</w:t>
      </w:r>
      <w:proofErr w:type="spellEnd"/>
      <w:r w:rsidRPr="00567F9A">
        <w:rPr>
          <w:rFonts w:ascii="Times New Roman" w:hAnsi="Times New Roman" w:cs="Times New Roman"/>
          <w:bCs/>
          <w:sz w:val="24"/>
          <w:szCs w:val="24"/>
        </w:rPr>
        <w:t xml:space="preserve"> </w:t>
      </w:r>
      <w:proofErr w:type="spellStart"/>
      <w:r w:rsidRPr="00567F9A">
        <w:rPr>
          <w:rFonts w:ascii="Times New Roman" w:hAnsi="Times New Roman" w:cs="Times New Roman"/>
          <w:bCs/>
          <w:sz w:val="24"/>
          <w:szCs w:val="24"/>
        </w:rPr>
        <w:t>Lyser</w:t>
      </w:r>
      <w:proofErr w:type="spellEnd"/>
      <w:r w:rsidRPr="00567F9A">
        <w:rPr>
          <w:rFonts w:ascii="Times New Roman" w:hAnsi="Times New Roman" w:cs="Times New Roman"/>
          <w:bCs/>
          <w:sz w:val="24"/>
          <w:szCs w:val="24"/>
        </w:rPr>
        <w:t xml:space="preserve"> instrument (Roche) with a setting of 6500 rpm for 30 sec and 90 sec cooling on ice between cycles. The homogenate was processed for subsequent manual RNA isolation according to the manufacturer’s instructions for Qiagen RNeasy Universal Plus Kit. For fresh bone marrow aspirates, </w:t>
      </w:r>
      <w:r w:rsidR="00401975" w:rsidRPr="00567F9A">
        <w:rPr>
          <w:rFonts w:ascii="Times New Roman" w:hAnsi="Times New Roman" w:cs="Times New Roman"/>
          <w:bCs/>
          <w:sz w:val="24"/>
          <w:szCs w:val="24"/>
        </w:rPr>
        <w:t>e</w:t>
      </w:r>
      <w:r w:rsidRPr="00567F9A">
        <w:rPr>
          <w:rFonts w:ascii="Times New Roman" w:hAnsi="Times New Roman" w:cs="Times New Roman"/>
          <w:bCs/>
          <w:sz w:val="24"/>
          <w:szCs w:val="24"/>
        </w:rPr>
        <w:t>xtraction was carried out per the manufacturer’s instructions using the Qiagen RNeasy Plus</w:t>
      </w:r>
      <w:r w:rsidR="00EF15F5" w:rsidRPr="00567F9A">
        <w:rPr>
          <w:rFonts w:ascii="Times New Roman" w:hAnsi="Times New Roman" w:cs="Times New Roman"/>
          <w:bCs/>
          <w:sz w:val="24"/>
          <w:szCs w:val="24"/>
        </w:rPr>
        <w:t xml:space="preserve"> Mini Kit (Qiagen</w:t>
      </w:r>
      <w:r w:rsidRPr="00567F9A">
        <w:rPr>
          <w:rFonts w:ascii="Times New Roman" w:hAnsi="Times New Roman" w:cs="Times New Roman"/>
          <w:bCs/>
          <w:sz w:val="24"/>
          <w:szCs w:val="24"/>
        </w:rPr>
        <w:t>).</w:t>
      </w:r>
      <w:r w:rsidR="0048755E" w:rsidRPr="00567F9A">
        <w:rPr>
          <w:rFonts w:ascii="Times New Roman" w:hAnsi="Times New Roman" w:cs="Times New Roman"/>
          <w:bCs/>
          <w:sz w:val="24"/>
          <w:szCs w:val="24"/>
        </w:rPr>
        <w:t xml:space="preserve"> </w:t>
      </w:r>
      <w:r w:rsidRPr="00567F9A">
        <w:rPr>
          <w:rFonts w:ascii="Times New Roman" w:hAnsi="Times New Roman" w:cs="Times New Roman"/>
          <w:bCs/>
          <w:sz w:val="24"/>
          <w:szCs w:val="24"/>
        </w:rPr>
        <w:t xml:space="preserve">Whole blood samples in RNA protect tubes were brought to room temperature for 2 h before processing. Extraction was carried out per the manufacturer’s instructions using the Qiagen RNeasy Protect Animal Blood Kit (Qiagen). </w:t>
      </w:r>
    </w:p>
    <w:p w14:paraId="169696B2" w14:textId="0632C8F4" w:rsidR="008618A0" w:rsidRPr="00567F9A" w:rsidRDefault="008618A0" w:rsidP="00AA1D6E">
      <w:pPr>
        <w:spacing w:before="120" w:line="360" w:lineRule="auto"/>
        <w:jc w:val="both"/>
        <w:rPr>
          <w:rFonts w:ascii="Times New Roman" w:hAnsi="Times New Roman" w:cs="Times New Roman"/>
          <w:bCs/>
          <w:sz w:val="24"/>
          <w:szCs w:val="24"/>
        </w:rPr>
      </w:pPr>
      <w:r w:rsidRPr="00567F9A">
        <w:rPr>
          <w:rFonts w:ascii="Times New Roman" w:hAnsi="Times New Roman" w:cs="Times New Roman"/>
          <w:bCs/>
          <w:sz w:val="24"/>
          <w:szCs w:val="24"/>
        </w:rPr>
        <w:t xml:space="preserve">Synthesis of cDNA was carried out with 100 ng of total RNA per sample using the High-Capacity cDNA Reverse Transcription Kit (Applied Biosystems, </w:t>
      </w:r>
      <w:r w:rsidR="00266107" w:rsidRPr="00567F9A">
        <w:rPr>
          <w:rFonts w:ascii="Times New Roman" w:hAnsi="Times New Roman" w:cs="Times New Roman"/>
          <w:bCs/>
          <w:sz w:val="24"/>
          <w:szCs w:val="24"/>
        </w:rPr>
        <w:t>#</w:t>
      </w:r>
      <w:r w:rsidRPr="00567F9A">
        <w:rPr>
          <w:rFonts w:ascii="Times New Roman" w:hAnsi="Times New Roman" w:cs="Times New Roman"/>
          <w:bCs/>
          <w:sz w:val="24"/>
          <w:szCs w:val="24"/>
        </w:rPr>
        <w:t xml:space="preserve">4368814) per the manufacturer’s instructions. qPCR reactions were performed using the TaqMan Gene Expression Master Mix (Applied Biosystems, </w:t>
      </w:r>
      <w:r w:rsidR="00266107" w:rsidRPr="00567F9A">
        <w:rPr>
          <w:rFonts w:ascii="Times New Roman" w:hAnsi="Times New Roman" w:cs="Times New Roman"/>
          <w:bCs/>
          <w:sz w:val="24"/>
          <w:szCs w:val="24"/>
        </w:rPr>
        <w:t>#</w:t>
      </w:r>
      <w:r w:rsidRPr="00567F9A">
        <w:rPr>
          <w:rFonts w:ascii="Times New Roman" w:hAnsi="Times New Roman" w:cs="Times New Roman"/>
          <w:bCs/>
          <w:sz w:val="24"/>
          <w:szCs w:val="24"/>
        </w:rPr>
        <w:t xml:space="preserve">4369016) per the manufacturer’s instructions, using a 40 </w:t>
      </w:r>
      <w:proofErr w:type="spellStart"/>
      <w:r w:rsidRPr="00567F9A">
        <w:rPr>
          <w:rFonts w:ascii="Times New Roman" w:hAnsi="Times New Roman" w:cs="Times New Roman"/>
          <w:bCs/>
          <w:sz w:val="24"/>
          <w:szCs w:val="24"/>
        </w:rPr>
        <w:t>μl</w:t>
      </w:r>
      <w:proofErr w:type="spellEnd"/>
      <w:r w:rsidRPr="00567F9A">
        <w:rPr>
          <w:rFonts w:ascii="Times New Roman" w:hAnsi="Times New Roman" w:cs="Times New Roman"/>
          <w:bCs/>
          <w:sz w:val="24"/>
          <w:szCs w:val="24"/>
        </w:rPr>
        <w:t xml:space="preserve"> reaction volume and 5 ng cDNA per reaction. </w:t>
      </w:r>
      <w:r w:rsidR="00BE4AAB" w:rsidRPr="00567F9A">
        <w:rPr>
          <w:rFonts w:ascii="Times New Roman" w:hAnsi="Times New Roman" w:cs="Times New Roman"/>
          <w:bCs/>
          <w:sz w:val="24"/>
          <w:szCs w:val="24"/>
        </w:rPr>
        <w:t>RT-</w:t>
      </w:r>
      <w:r w:rsidRPr="00567F9A">
        <w:rPr>
          <w:rFonts w:ascii="Times New Roman" w:hAnsi="Times New Roman" w:cs="Times New Roman"/>
          <w:bCs/>
          <w:sz w:val="24"/>
          <w:szCs w:val="24"/>
        </w:rPr>
        <w:t>PCR</w:t>
      </w:r>
      <w:r w:rsidR="003B03BC" w:rsidRPr="00567F9A">
        <w:rPr>
          <w:rFonts w:ascii="Times New Roman" w:hAnsi="Times New Roman" w:cs="Times New Roman"/>
          <w:bCs/>
          <w:sz w:val="24"/>
          <w:szCs w:val="24"/>
        </w:rPr>
        <w:t xml:space="preserve"> </w:t>
      </w:r>
      <w:r w:rsidRPr="00567F9A">
        <w:rPr>
          <w:rFonts w:ascii="Times New Roman" w:hAnsi="Times New Roman" w:cs="Times New Roman"/>
          <w:bCs/>
          <w:sz w:val="24"/>
          <w:szCs w:val="24"/>
        </w:rPr>
        <w:t xml:space="preserve">amplification of cDNA samples was carried out on the </w:t>
      </w:r>
      <w:proofErr w:type="spellStart"/>
      <w:r w:rsidRPr="00567F9A">
        <w:rPr>
          <w:rFonts w:ascii="Times New Roman" w:hAnsi="Times New Roman" w:cs="Times New Roman"/>
          <w:bCs/>
          <w:sz w:val="24"/>
          <w:szCs w:val="24"/>
        </w:rPr>
        <w:t>QuantStudio</w:t>
      </w:r>
      <w:proofErr w:type="spellEnd"/>
      <w:r w:rsidRPr="00567F9A">
        <w:rPr>
          <w:rFonts w:ascii="Times New Roman" w:hAnsi="Times New Roman" w:cs="Times New Roman"/>
          <w:bCs/>
          <w:sz w:val="24"/>
          <w:szCs w:val="24"/>
        </w:rPr>
        <w:t xml:space="preserve"> 7 instrument (Applied Biosystems) using commercially available TaqMan P</w:t>
      </w:r>
      <w:r w:rsidR="0040028E" w:rsidRPr="00567F9A">
        <w:rPr>
          <w:rFonts w:ascii="Times New Roman" w:hAnsi="Times New Roman" w:cs="Times New Roman"/>
          <w:bCs/>
          <w:sz w:val="24"/>
          <w:szCs w:val="24"/>
        </w:rPr>
        <w:t>CR probes</w:t>
      </w:r>
      <w:r w:rsidRPr="00567F9A">
        <w:rPr>
          <w:rFonts w:ascii="Times New Roman" w:hAnsi="Times New Roman" w:cs="Times New Roman"/>
          <w:bCs/>
          <w:sz w:val="24"/>
          <w:szCs w:val="24"/>
        </w:rPr>
        <w:t>. Each reaction was performed in triplicate. Raw data were analyzed per individual sample utilizing a relative quantification method assuming equivalent reaction efficiencies of the reference gene (18S ribosomal RNA) and each gene of interest. After analysis, ratios of gene expression over 18S ribosomal RNA expression were graphed in arbitrary units.</w:t>
      </w:r>
    </w:p>
    <w:p w14:paraId="15D3E7E5" w14:textId="3DF4E23D" w:rsidR="00057E9D" w:rsidRPr="00567F9A" w:rsidRDefault="00AC5D8E" w:rsidP="00AC5D8E">
      <w:pPr>
        <w:spacing w:before="120" w:line="360" w:lineRule="auto"/>
        <w:jc w:val="both"/>
        <w:rPr>
          <w:rFonts w:ascii="Times New Roman" w:hAnsi="Times New Roman" w:cs="Times New Roman"/>
          <w:bCs/>
          <w:sz w:val="24"/>
          <w:szCs w:val="24"/>
        </w:rPr>
      </w:pPr>
      <w:r w:rsidRPr="00567F9A">
        <w:rPr>
          <w:rFonts w:ascii="Times New Roman" w:hAnsi="Times New Roman" w:cs="Times New Roman"/>
          <w:bCs/>
          <w:i/>
          <w:sz w:val="24"/>
          <w:szCs w:val="24"/>
        </w:rPr>
        <w:t>In vitro</w:t>
      </w:r>
      <w:r w:rsidRPr="00567F9A">
        <w:rPr>
          <w:rFonts w:ascii="Times New Roman" w:hAnsi="Times New Roman" w:cs="Times New Roman"/>
          <w:bCs/>
          <w:sz w:val="24"/>
          <w:szCs w:val="24"/>
        </w:rPr>
        <w:t xml:space="preserve"> </w:t>
      </w:r>
      <w:r w:rsidRPr="00567F9A">
        <w:rPr>
          <w:rFonts w:ascii="Times New Roman" w:hAnsi="Times New Roman" w:cs="Times New Roman"/>
          <w:bCs/>
          <w:i/>
          <w:sz w:val="24"/>
          <w:szCs w:val="24"/>
        </w:rPr>
        <w:t>cytokine release assay</w:t>
      </w:r>
      <w:r w:rsidRPr="00567F9A">
        <w:rPr>
          <w:rFonts w:ascii="Times New Roman" w:hAnsi="Times New Roman" w:cs="Times New Roman"/>
          <w:bCs/>
          <w:sz w:val="24"/>
          <w:szCs w:val="24"/>
        </w:rPr>
        <w:t xml:space="preserve"> </w:t>
      </w:r>
    </w:p>
    <w:p w14:paraId="2A7E3E8D" w14:textId="1D63B999" w:rsidR="00AC5D8E" w:rsidRPr="00567F9A" w:rsidRDefault="00AC5D8E" w:rsidP="00AC5D8E">
      <w:pPr>
        <w:spacing w:before="120" w:line="360" w:lineRule="auto"/>
        <w:jc w:val="both"/>
        <w:rPr>
          <w:rFonts w:ascii="Times New Roman" w:hAnsi="Times New Roman" w:cs="Times New Roman"/>
          <w:bCs/>
          <w:sz w:val="24"/>
          <w:szCs w:val="24"/>
        </w:rPr>
      </w:pPr>
      <w:r w:rsidRPr="00567F9A">
        <w:rPr>
          <w:rFonts w:ascii="Times New Roman" w:hAnsi="Times New Roman" w:cs="Times New Roman"/>
          <w:bCs/>
          <w:sz w:val="24"/>
          <w:szCs w:val="24"/>
        </w:rPr>
        <w:lastRenderedPageBreak/>
        <w:t xml:space="preserve">Whole blood from 5 healthy human donors was incubated with the ADC HKT288, </w:t>
      </w:r>
      <w:r w:rsidR="00815F62" w:rsidRPr="00567F9A">
        <w:rPr>
          <w:rFonts w:ascii="Times New Roman" w:hAnsi="Times New Roman" w:cs="Times New Roman"/>
          <w:bCs/>
          <w:sz w:val="24"/>
          <w:szCs w:val="24"/>
        </w:rPr>
        <w:t>the corresponding unconjugated CDH6 targeting antibody (LTV977),</w:t>
      </w:r>
      <w:r w:rsidRPr="00567F9A">
        <w:rPr>
          <w:rFonts w:ascii="Times New Roman" w:hAnsi="Times New Roman" w:cs="Times New Roman"/>
          <w:bCs/>
          <w:sz w:val="24"/>
          <w:szCs w:val="24"/>
        </w:rPr>
        <w:t>a non-binding IgG1 (hIgG1) antibody</w:t>
      </w:r>
      <w:r w:rsidR="00044014" w:rsidRPr="00567F9A">
        <w:rPr>
          <w:rFonts w:ascii="Times New Roman" w:hAnsi="Times New Roman" w:cs="Times New Roman"/>
          <w:bCs/>
          <w:sz w:val="24"/>
          <w:szCs w:val="24"/>
        </w:rPr>
        <w:t xml:space="preserve">, </w:t>
      </w:r>
      <w:r w:rsidRPr="00567F9A">
        <w:rPr>
          <w:rFonts w:ascii="Times New Roman" w:hAnsi="Times New Roman" w:cs="Times New Roman"/>
          <w:bCs/>
          <w:sz w:val="24"/>
          <w:szCs w:val="24"/>
        </w:rPr>
        <w:t xml:space="preserve">or a non-binding IgG1 antibody conjugated to a </w:t>
      </w:r>
      <w:proofErr w:type="spellStart"/>
      <w:r w:rsidRPr="00567F9A">
        <w:rPr>
          <w:rFonts w:ascii="Times New Roman" w:hAnsi="Times New Roman" w:cs="Times New Roman"/>
          <w:bCs/>
          <w:sz w:val="24"/>
          <w:szCs w:val="24"/>
        </w:rPr>
        <w:t>maytansinoid</w:t>
      </w:r>
      <w:proofErr w:type="spellEnd"/>
      <w:r w:rsidRPr="00567F9A">
        <w:rPr>
          <w:rFonts w:ascii="Times New Roman" w:hAnsi="Times New Roman" w:cs="Times New Roman"/>
          <w:bCs/>
          <w:sz w:val="24"/>
          <w:szCs w:val="24"/>
        </w:rPr>
        <w:t xml:space="preserve"> linker/payload sulfo-SPDB-DM4 (hIgG1-DM4). In parallel, the assay included two separate positive controls</w:t>
      </w:r>
      <w:r w:rsidR="00044014" w:rsidRPr="00567F9A">
        <w:rPr>
          <w:rFonts w:ascii="Times New Roman" w:hAnsi="Times New Roman" w:cs="Times New Roman"/>
          <w:bCs/>
          <w:sz w:val="24"/>
          <w:szCs w:val="24"/>
        </w:rPr>
        <w:t>:</w:t>
      </w:r>
      <w:r w:rsidRPr="00567F9A">
        <w:rPr>
          <w:rFonts w:ascii="Times New Roman" w:hAnsi="Times New Roman" w:cs="Times New Roman"/>
          <w:bCs/>
          <w:sz w:val="24"/>
          <w:szCs w:val="24"/>
        </w:rPr>
        <w:t xml:space="preserve"> </w:t>
      </w:r>
      <w:r w:rsidR="004E25C3" w:rsidRPr="00567F9A">
        <w:rPr>
          <w:rFonts w:ascii="Times New Roman" w:hAnsi="Times New Roman" w:cs="Times New Roman"/>
          <w:bCs/>
          <w:sz w:val="24"/>
          <w:szCs w:val="24"/>
        </w:rPr>
        <w:t>lipopolysaccharide (</w:t>
      </w:r>
      <w:r w:rsidRPr="00567F9A">
        <w:rPr>
          <w:rFonts w:ascii="Times New Roman" w:hAnsi="Times New Roman" w:cs="Times New Roman"/>
          <w:bCs/>
          <w:sz w:val="24"/>
          <w:szCs w:val="24"/>
        </w:rPr>
        <w:t>LPS</w:t>
      </w:r>
      <w:r w:rsidR="004E25C3" w:rsidRPr="00567F9A">
        <w:rPr>
          <w:rFonts w:ascii="Times New Roman" w:hAnsi="Times New Roman" w:cs="Times New Roman"/>
          <w:bCs/>
          <w:sz w:val="24"/>
          <w:szCs w:val="24"/>
        </w:rPr>
        <w:t>)</w:t>
      </w:r>
      <w:r w:rsidRPr="00567F9A">
        <w:rPr>
          <w:rFonts w:ascii="Times New Roman" w:hAnsi="Times New Roman" w:cs="Times New Roman"/>
          <w:bCs/>
          <w:sz w:val="24"/>
          <w:szCs w:val="24"/>
        </w:rPr>
        <w:t xml:space="preserve"> and </w:t>
      </w:r>
      <w:r w:rsidR="004E25C3" w:rsidRPr="00567F9A">
        <w:rPr>
          <w:rFonts w:ascii="Times New Roman" w:hAnsi="Times New Roman" w:cs="Times New Roman"/>
          <w:bCs/>
          <w:sz w:val="24"/>
          <w:szCs w:val="24"/>
        </w:rPr>
        <w:t>a</w:t>
      </w:r>
      <w:r w:rsidRPr="00567F9A">
        <w:rPr>
          <w:rFonts w:ascii="Times New Roman" w:hAnsi="Times New Roman" w:cs="Times New Roman"/>
          <w:bCs/>
          <w:sz w:val="24"/>
          <w:szCs w:val="24"/>
        </w:rPr>
        <w:t xml:space="preserve">lemtuzumab. LPS was included at 2 concentrations, 10 and 1 </w:t>
      </w:r>
      <w:proofErr w:type="spellStart"/>
      <w:r w:rsidRPr="00567F9A">
        <w:rPr>
          <w:rFonts w:ascii="Times New Roman" w:hAnsi="Times New Roman" w:cs="Times New Roman"/>
          <w:bCs/>
          <w:sz w:val="24"/>
          <w:szCs w:val="24"/>
        </w:rPr>
        <w:t>μg</w:t>
      </w:r>
      <w:proofErr w:type="spellEnd"/>
      <w:r w:rsidRPr="00567F9A">
        <w:rPr>
          <w:rFonts w:ascii="Times New Roman" w:hAnsi="Times New Roman" w:cs="Times New Roman"/>
          <w:bCs/>
          <w:sz w:val="24"/>
          <w:szCs w:val="24"/>
        </w:rPr>
        <w:t>/mL, concentrations selected to lead to a robust release of cytokines from activated immune cells subsets. This control was included to confirm the functionality of the assay matrix. The anti-CD52 antibody alemtuzumab was included as a positive control that allowed benchmarking to the clinical situation as administration of this drug leads to cytokine release syndrome</w:t>
      </w:r>
      <w:r w:rsidR="00FE6956" w:rsidRPr="00567F9A">
        <w:rPr>
          <w:rFonts w:ascii="Times New Roman" w:hAnsi="Times New Roman" w:cs="Times New Roman"/>
          <w:bCs/>
          <w:sz w:val="24"/>
          <w:szCs w:val="24"/>
        </w:rPr>
        <w:t xml:space="preserve"> (CRS)</w:t>
      </w:r>
      <w:r w:rsidRPr="00567F9A">
        <w:rPr>
          <w:rFonts w:ascii="Times New Roman" w:hAnsi="Times New Roman" w:cs="Times New Roman"/>
          <w:bCs/>
          <w:sz w:val="24"/>
          <w:szCs w:val="24"/>
        </w:rPr>
        <w:t xml:space="preserve"> in patients. The concentrations selected, 300 and 100 </w:t>
      </w:r>
      <w:proofErr w:type="spellStart"/>
      <w:r w:rsidRPr="00567F9A">
        <w:rPr>
          <w:rFonts w:ascii="Times New Roman" w:hAnsi="Times New Roman" w:cs="Times New Roman"/>
          <w:bCs/>
          <w:sz w:val="24"/>
          <w:szCs w:val="24"/>
        </w:rPr>
        <w:t>μg</w:t>
      </w:r>
      <w:proofErr w:type="spellEnd"/>
      <w:r w:rsidRPr="00567F9A">
        <w:rPr>
          <w:rFonts w:ascii="Times New Roman" w:hAnsi="Times New Roman" w:cs="Times New Roman"/>
          <w:bCs/>
          <w:sz w:val="24"/>
          <w:szCs w:val="24"/>
        </w:rPr>
        <w:t xml:space="preserve">/mL, have been shown to induce robust cytokine release in this in vitro system. As a negative control, whole blood was incubated with </w:t>
      </w:r>
      <w:r w:rsidR="00F20E19" w:rsidRPr="00567F9A">
        <w:rPr>
          <w:rFonts w:ascii="Times New Roman" w:hAnsi="Times New Roman" w:cs="Times New Roman"/>
          <w:bCs/>
          <w:sz w:val="24"/>
          <w:szCs w:val="24"/>
        </w:rPr>
        <w:t xml:space="preserve">phosphate buffered saline </w:t>
      </w:r>
      <w:r w:rsidRPr="00567F9A">
        <w:rPr>
          <w:rFonts w:ascii="Times New Roman" w:hAnsi="Times New Roman" w:cs="Times New Roman"/>
          <w:bCs/>
          <w:sz w:val="24"/>
          <w:szCs w:val="24"/>
        </w:rPr>
        <w:t xml:space="preserve">alone. After 24 hours, plasma supernatants were </w:t>
      </w:r>
      <w:proofErr w:type="gramStart"/>
      <w:r w:rsidRPr="00567F9A">
        <w:rPr>
          <w:rFonts w:ascii="Times New Roman" w:hAnsi="Times New Roman" w:cs="Times New Roman"/>
          <w:bCs/>
          <w:sz w:val="24"/>
          <w:szCs w:val="24"/>
        </w:rPr>
        <w:t>collected</w:t>
      </w:r>
      <w:proofErr w:type="gramEnd"/>
      <w:r w:rsidRPr="00567F9A">
        <w:rPr>
          <w:rFonts w:ascii="Times New Roman" w:hAnsi="Times New Roman" w:cs="Times New Roman"/>
          <w:bCs/>
          <w:sz w:val="24"/>
          <w:szCs w:val="24"/>
        </w:rPr>
        <w:t xml:space="preserve"> and the cytokine levels were determined using a bead-based multiplex immunoassay approach (Luminex). An 8-plex panel of proinflammatory cytokines (IL-1β, IL-2, IL-6, IL-8, IL-10, IFN-γ, TNF-α, </w:t>
      </w:r>
      <w:r w:rsidR="00D47E00" w:rsidRPr="00567F9A">
        <w:rPr>
          <w:rFonts w:ascii="Times New Roman" w:hAnsi="Times New Roman" w:cs="Times New Roman"/>
          <w:bCs/>
          <w:sz w:val="24"/>
          <w:szCs w:val="24"/>
        </w:rPr>
        <w:t xml:space="preserve">and </w:t>
      </w:r>
      <w:r w:rsidRPr="00567F9A">
        <w:rPr>
          <w:rFonts w:ascii="Times New Roman" w:hAnsi="Times New Roman" w:cs="Times New Roman"/>
          <w:bCs/>
          <w:sz w:val="24"/>
          <w:szCs w:val="24"/>
        </w:rPr>
        <w:t>MIP-1α) were included in this study.</w:t>
      </w:r>
    </w:p>
    <w:p w14:paraId="0FD62682" w14:textId="4268D2F1" w:rsidR="009757BA" w:rsidRPr="00567F9A" w:rsidRDefault="009757BA" w:rsidP="00AA1D6E">
      <w:pPr>
        <w:spacing w:before="120" w:line="360" w:lineRule="auto"/>
        <w:jc w:val="both"/>
        <w:rPr>
          <w:rFonts w:ascii="Times New Roman" w:hAnsi="Times New Roman" w:cs="Times New Roman"/>
          <w:bCs/>
          <w:i/>
          <w:sz w:val="24"/>
          <w:szCs w:val="24"/>
        </w:rPr>
      </w:pPr>
      <w:r w:rsidRPr="00567F9A">
        <w:rPr>
          <w:rFonts w:ascii="Times New Roman" w:hAnsi="Times New Roman" w:cs="Times New Roman"/>
          <w:bCs/>
          <w:i/>
          <w:sz w:val="24"/>
          <w:szCs w:val="24"/>
        </w:rPr>
        <w:t>Syngeneic mouse model in vivo study</w:t>
      </w:r>
    </w:p>
    <w:p w14:paraId="7883CDB1" w14:textId="204F699B" w:rsidR="00121E53" w:rsidRDefault="009757BA" w:rsidP="000B18B4">
      <w:pPr>
        <w:spacing w:before="120" w:line="360" w:lineRule="auto"/>
        <w:jc w:val="both"/>
        <w:rPr>
          <w:rFonts w:ascii="Times New Roman" w:hAnsi="Times New Roman" w:cs="Times New Roman"/>
          <w:bCs/>
          <w:sz w:val="24"/>
          <w:szCs w:val="24"/>
        </w:rPr>
      </w:pPr>
      <w:proofErr w:type="spellStart"/>
      <w:r w:rsidRPr="00567F9A">
        <w:rPr>
          <w:rFonts w:ascii="Times New Roman" w:hAnsi="Times New Roman" w:cs="Times New Roman"/>
          <w:bCs/>
          <w:sz w:val="24"/>
          <w:szCs w:val="24"/>
        </w:rPr>
        <w:t>Renca</w:t>
      </w:r>
      <w:proofErr w:type="spellEnd"/>
      <w:r w:rsidRPr="00567F9A">
        <w:rPr>
          <w:rFonts w:ascii="Times New Roman" w:hAnsi="Times New Roman" w:cs="Times New Roman"/>
          <w:bCs/>
          <w:sz w:val="24"/>
          <w:szCs w:val="24"/>
        </w:rPr>
        <w:t xml:space="preserve"> cells were obtained from ATCC (#CRL-2947) and engineered to express murine CDH6 (</w:t>
      </w:r>
      <w:proofErr w:type="spellStart"/>
      <w:r w:rsidRPr="00567F9A">
        <w:rPr>
          <w:rFonts w:ascii="Times New Roman" w:hAnsi="Times New Roman" w:cs="Times New Roman"/>
          <w:bCs/>
          <w:sz w:val="24"/>
          <w:szCs w:val="24"/>
        </w:rPr>
        <w:t>Genecopoeia</w:t>
      </w:r>
      <w:proofErr w:type="spellEnd"/>
      <w:r w:rsidRPr="00567F9A">
        <w:rPr>
          <w:rFonts w:ascii="Times New Roman" w:hAnsi="Times New Roman" w:cs="Times New Roman"/>
          <w:bCs/>
          <w:sz w:val="24"/>
          <w:szCs w:val="24"/>
        </w:rPr>
        <w:t xml:space="preserve"> #Mm29955) using an EF1 alpha-driven lentiviral vector. The resulting cell population was sorted twice by FACS to select for CDH6-positive </w:t>
      </w:r>
      <w:r w:rsidR="006F7BEE" w:rsidRPr="00567F9A">
        <w:rPr>
          <w:rFonts w:ascii="Times New Roman" w:hAnsi="Times New Roman" w:cs="Times New Roman"/>
          <w:bCs/>
          <w:sz w:val="24"/>
          <w:szCs w:val="24"/>
        </w:rPr>
        <w:t>cells that</w:t>
      </w:r>
      <w:r w:rsidRPr="00567F9A">
        <w:rPr>
          <w:rFonts w:ascii="Times New Roman" w:hAnsi="Times New Roman" w:cs="Times New Roman"/>
          <w:bCs/>
          <w:sz w:val="24"/>
          <w:szCs w:val="24"/>
        </w:rPr>
        <w:t xml:space="preserve"> were maintained in</w:t>
      </w:r>
      <w:r w:rsidR="000B7647" w:rsidRPr="00567F9A">
        <w:rPr>
          <w:rFonts w:ascii="Times New Roman" w:hAnsi="Times New Roman" w:cs="Times New Roman"/>
          <w:bCs/>
          <w:sz w:val="24"/>
          <w:szCs w:val="24"/>
        </w:rPr>
        <w:t xml:space="preserve"> Roswell Park Memorial Institute 1640 medium</w:t>
      </w:r>
      <w:r w:rsidR="00B37F70" w:rsidRPr="00567F9A">
        <w:rPr>
          <w:rFonts w:ascii="Times New Roman" w:hAnsi="Times New Roman" w:cs="Times New Roman"/>
          <w:bCs/>
          <w:sz w:val="24"/>
          <w:szCs w:val="24"/>
        </w:rPr>
        <w:t xml:space="preserve"> </w:t>
      </w:r>
      <w:r w:rsidRPr="00567F9A">
        <w:rPr>
          <w:rFonts w:ascii="Times New Roman" w:hAnsi="Times New Roman" w:cs="Times New Roman"/>
          <w:bCs/>
          <w:sz w:val="24"/>
          <w:szCs w:val="24"/>
        </w:rPr>
        <w:t xml:space="preserve">supplemented with 10% fetal bovine serum. All animal studies were performed according to the Novartis Institutes for </w:t>
      </w:r>
      <w:proofErr w:type="spellStart"/>
      <w:r w:rsidRPr="00567F9A">
        <w:rPr>
          <w:rFonts w:ascii="Times New Roman" w:hAnsi="Times New Roman" w:cs="Times New Roman"/>
          <w:bCs/>
          <w:sz w:val="24"/>
          <w:szCs w:val="24"/>
        </w:rPr>
        <w:t>BioMedical</w:t>
      </w:r>
      <w:proofErr w:type="spellEnd"/>
      <w:r w:rsidRPr="00567F9A">
        <w:rPr>
          <w:rFonts w:ascii="Times New Roman" w:hAnsi="Times New Roman" w:cs="Times New Roman"/>
          <w:bCs/>
          <w:sz w:val="24"/>
          <w:szCs w:val="24"/>
        </w:rPr>
        <w:t xml:space="preserve"> Research (NIBR) Animal Care and Use Committee protocols and regulations. For the Renca-mCDH6 xenograft studies, female </w:t>
      </w:r>
      <w:proofErr w:type="spellStart"/>
      <w:r w:rsidRPr="00567F9A">
        <w:rPr>
          <w:rFonts w:ascii="Times New Roman" w:hAnsi="Times New Roman" w:cs="Times New Roman"/>
          <w:bCs/>
          <w:sz w:val="24"/>
          <w:szCs w:val="24"/>
        </w:rPr>
        <w:t>Balb</w:t>
      </w:r>
      <w:proofErr w:type="spellEnd"/>
      <w:r w:rsidRPr="00567F9A">
        <w:rPr>
          <w:rFonts w:ascii="Times New Roman" w:hAnsi="Times New Roman" w:cs="Times New Roman"/>
          <w:bCs/>
          <w:sz w:val="24"/>
          <w:szCs w:val="24"/>
        </w:rPr>
        <w:t>/</w:t>
      </w:r>
      <w:proofErr w:type="spellStart"/>
      <w:r w:rsidRPr="00567F9A">
        <w:rPr>
          <w:rFonts w:ascii="Times New Roman" w:hAnsi="Times New Roman" w:cs="Times New Roman"/>
          <w:bCs/>
          <w:sz w:val="24"/>
          <w:szCs w:val="24"/>
        </w:rPr>
        <w:t>cJ</w:t>
      </w:r>
      <w:proofErr w:type="spellEnd"/>
      <w:r w:rsidRPr="00567F9A">
        <w:rPr>
          <w:rFonts w:ascii="Times New Roman" w:hAnsi="Times New Roman" w:cs="Times New Roman"/>
          <w:bCs/>
          <w:sz w:val="24"/>
          <w:szCs w:val="24"/>
        </w:rPr>
        <w:t xml:space="preserve"> mice from Jackson Laboratories were implanted subcutaneously with 5x10</w:t>
      </w:r>
      <w:r w:rsidRPr="00567F9A">
        <w:rPr>
          <w:rFonts w:ascii="Times New Roman" w:hAnsi="Times New Roman" w:cs="Times New Roman"/>
          <w:bCs/>
          <w:sz w:val="24"/>
          <w:szCs w:val="24"/>
          <w:vertAlign w:val="superscript"/>
        </w:rPr>
        <w:t>5</w:t>
      </w:r>
      <w:r w:rsidRPr="00567F9A">
        <w:rPr>
          <w:rFonts w:ascii="Times New Roman" w:hAnsi="Times New Roman" w:cs="Times New Roman"/>
          <w:bCs/>
          <w:sz w:val="24"/>
          <w:szCs w:val="24"/>
        </w:rPr>
        <w:t xml:space="preserve"> cells/mouse suspended in Hanks balanced salt solution. Tumors were measured following implant and animals were randomized into groups of equal mean tumor volume (150 mm</w:t>
      </w:r>
      <w:r w:rsidRPr="00567F9A">
        <w:rPr>
          <w:rFonts w:ascii="Times New Roman" w:hAnsi="Times New Roman" w:cs="Times New Roman"/>
          <w:bCs/>
          <w:sz w:val="24"/>
          <w:szCs w:val="24"/>
          <w:vertAlign w:val="superscript"/>
        </w:rPr>
        <w:t>3</w:t>
      </w:r>
      <w:r w:rsidRPr="00567F9A">
        <w:rPr>
          <w:rFonts w:ascii="Times New Roman" w:hAnsi="Times New Roman" w:cs="Times New Roman"/>
          <w:bCs/>
          <w:sz w:val="24"/>
          <w:szCs w:val="24"/>
        </w:rPr>
        <w:t xml:space="preserve">) prior to treatment initiation. Treatments were prepared in phosphate buffered saline and performed by single intravenous injection. In this experiment a single dose of 5 mg/kg HKT288 or isotype </w:t>
      </w:r>
      <w:r w:rsidR="006F7BEE" w:rsidRPr="00567F9A">
        <w:rPr>
          <w:rFonts w:ascii="Times New Roman" w:hAnsi="Times New Roman" w:cs="Times New Roman"/>
          <w:bCs/>
          <w:sz w:val="24"/>
          <w:szCs w:val="24"/>
        </w:rPr>
        <w:t>control,</w:t>
      </w:r>
      <w:r w:rsidRPr="00567F9A">
        <w:rPr>
          <w:rFonts w:ascii="Times New Roman" w:hAnsi="Times New Roman" w:cs="Times New Roman"/>
          <w:bCs/>
          <w:sz w:val="24"/>
          <w:szCs w:val="24"/>
        </w:rPr>
        <w:t xml:space="preserve"> ADC or vehicle was administered. Samples for cytokine analysis were collected 24 hours post dose and processed for Mesoscale Diagnostics (MSD) </w:t>
      </w:r>
      <w:proofErr w:type="spellStart"/>
      <w:r w:rsidRPr="00567F9A">
        <w:rPr>
          <w:rFonts w:ascii="Times New Roman" w:hAnsi="Times New Roman" w:cs="Times New Roman"/>
          <w:bCs/>
          <w:sz w:val="24"/>
          <w:szCs w:val="24"/>
        </w:rPr>
        <w:t>electrochemiluminescent</w:t>
      </w:r>
      <w:proofErr w:type="spellEnd"/>
      <w:r w:rsidRPr="00567F9A">
        <w:rPr>
          <w:rFonts w:ascii="Times New Roman" w:hAnsi="Times New Roman" w:cs="Times New Roman"/>
          <w:bCs/>
          <w:sz w:val="24"/>
          <w:szCs w:val="24"/>
        </w:rPr>
        <w:t xml:space="preserve"> </w:t>
      </w:r>
      <w:r w:rsidRPr="00567F9A">
        <w:rPr>
          <w:rFonts w:ascii="Times New Roman" w:hAnsi="Times New Roman" w:cs="Times New Roman"/>
          <w:bCs/>
          <w:sz w:val="24"/>
          <w:szCs w:val="24"/>
        </w:rPr>
        <w:lastRenderedPageBreak/>
        <w:t>immuno-assay measurement for murine MCP1 and MIP1</w:t>
      </w:r>
      <w:r w:rsidR="008716A7" w:rsidRPr="002B5E3A">
        <w:rPr>
          <w:rFonts w:ascii="Times New Roman" w:hAnsi="Times New Roman" w:cs="Times New Roman"/>
          <w:bCs/>
          <w:sz w:val="24"/>
          <w:szCs w:val="24"/>
        </w:rPr>
        <w:t>β</w:t>
      </w:r>
      <w:r w:rsidRPr="00567F9A">
        <w:rPr>
          <w:rFonts w:ascii="Times New Roman" w:hAnsi="Times New Roman" w:cs="Times New Roman"/>
          <w:bCs/>
          <w:sz w:val="24"/>
          <w:szCs w:val="24"/>
        </w:rPr>
        <w:t xml:space="preserve"> according to the manufacturer’s guidelines.</w:t>
      </w:r>
    </w:p>
    <w:p w14:paraId="36A2A2D2" w14:textId="12C707D2" w:rsidR="00121E53" w:rsidRPr="00121E53" w:rsidRDefault="00121E53" w:rsidP="00121E53">
      <w:pPr>
        <w:rPr>
          <w:rFonts w:ascii="Times New Roman" w:hAnsi="Times New Roman" w:cs="Times New Roman"/>
          <w:bCs/>
          <w:sz w:val="24"/>
          <w:szCs w:val="24"/>
        </w:rPr>
      </w:pPr>
      <w:r w:rsidRPr="00121E53">
        <w:rPr>
          <w:rFonts w:ascii="Times New Roman" w:hAnsi="Times New Roman" w:cs="Times New Roman"/>
          <w:b/>
          <w:sz w:val="24"/>
          <w:szCs w:val="24"/>
        </w:rPr>
        <w:t>Additional investigative safety studies</w:t>
      </w:r>
    </w:p>
    <w:p w14:paraId="411ABE40" w14:textId="77777777" w:rsidR="00121E53" w:rsidRPr="00503496" w:rsidRDefault="00121E53" w:rsidP="00121E53">
      <w:pPr>
        <w:spacing w:before="120" w:line="360" w:lineRule="auto"/>
        <w:jc w:val="both"/>
        <w:rPr>
          <w:rFonts w:ascii="Times New Roman" w:hAnsi="Times New Roman" w:cs="Times New Roman"/>
          <w:bCs/>
          <w:sz w:val="24"/>
          <w:szCs w:val="24"/>
        </w:rPr>
      </w:pPr>
      <w:r w:rsidRPr="00503496">
        <w:rPr>
          <w:rFonts w:ascii="Times New Roman" w:hAnsi="Times New Roman" w:cs="Times New Roman"/>
          <w:bCs/>
          <w:i/>
          <w:sz w:val="24"/>
          <w:szCs w:val="24"/>
        </w:rPr>
        <w:t>Low CDH6 expression on immune cells</w:t>
      </w:r>
    </w:p>
    <w:p w14:paraId="3A01663B" w14:textId="7DF1A9A2" w:rsidR="00121E53" w:rsidRPr="00503496" w:rsidRDefault="00121E53" w:rsidP="00121E53">
      <w:pPr>
        <w:spacing w:before="120" w:line="360" w:lineRule="auto"/>
        <w:jc w:val="both"/>
        <w:rPr>
          <w:rFonts w:ascii="Times New Roman" w:hAnsi="Times New Roman" w:cs="Times New Roman"/>
          <w:bCs/>
          <w:sz w:val="24"/>
          <w:szCs w:val="24"/>
        </w:rPr>
      </w:pPr>
      <w:r w:rsidRPr="00503496">
        <w:rPr>
          <w:rFonts w:ascii="Times New Roman" w:hAnsi="Times New Roman" w:cs="Times New Roman"/>
          <w:bCs/>
          <w:sz w:val="24"/>
          <w:szCs w:val="24"/>
        </w:rPr>
        <w:t>To investigate the relevance of CDH6 expression and possible HKT288 binding to immune cells, flow cytometry and qPCR were performed on blood and bone marrow cells obtained from healthy human volunteers</w:t>
      </w:r>
      <w:r w:rsidR="000B18B4">
        <w:rPr>
          <w:rFonts w:ascii="Times New Roman" w:hAnsi="Times New Roman" w:cs="Times New Roman"/>
          <w:bCs/>
          <w:sz w:val="24"/>
          <w:szCs w:val="24"/>
        </w:rPr>
        <w:t xml:space="preserve"> </w:t>
      </w:r>
      <w:r w:rsidR="000B18B4" w:rsidRPr="001E0EBA">
        <w:rPr>
          <w:rFonts w:ascii="Times New Roman" w:hAnsi="Times New Roman" w:cs="Times New Roman"/>
          <w:bCs/>
          <w:sz w:val="24"/>
          <w:szCs w:val="24"/>
        </w:rPr>
        <w:t xml:space="preserve">(Suppl. Fig </w:t>
      </w:r>
      <w:r w:rsidR="00175B04" w:rsidRPr="001E0EBA">
        <w:rPr>
          <w:rFonts w:ascii="Times New Roman" w:hAnsi="Times New Roman" w:cs="Times New Roman"/>
          <w:bCs/>
          <w:sz w:val="24"/>
          <w:szCs w:val="24"/>
        </w:rPr>
        <w:t>4</w:t>
      </w:r>
      <w:r w:rsidR="000B18B4" w:rsidRPr="001E0EBA">
        <w:rPr>
          <w:rFonts w:ascii="Times New Roman" w:hAnsi="Times New Roman" w:cs="Times New Roman"/>
          <w:bCs/>
          <w:sz w:val="24"/>
          <w:szCs w:val="24"/>
        </w:rPr>
        <w:t>)</w:t>
      </w:r>
      <w:r w:rsidRPr="001E0EBA">
        <w:rPr>
          <w:rFonts w:ascii="Times New Roman" w:hAnsi="Times New Roman" w:cs="Times New Roman"/>
          <w:bCs/>
          <w:sz w:val="24"/>
          <w:szCs w:val="24"/>
        </w:rPr>
        <w:t>.</w:t>
      </w:r>
      <w:r w:rsidRPr="00503496">
        <w:rPr>
          <w:rFonts w:ascii="Times New Roman" w:hAnsi="Times New Roman" w:cs="Times New Roman"/>
          <w:bCs/>
          <w:sz w:val="24"/>
          <w:szCs w:val="24"/>
        </w:rPr>
        <w:t xml:space="preserve"> Flow cytometry analysis demonstrated variable low levels of cell surface expression of CDH6 on myeloid cells and natural killer cells. This near- background CDH6 signal was detected almost exclusively with the unconjugated antibody and was not found or was very low when the cells were stained with the DM4-conjugate. The biological significance of this low CDH6 expression is questionable considering that CDH6 was not found in the same samples (blood and bone marrow aspirates) by qPCR. In addition, the immune cell populations identified in the flow cytometry analysis (bone marrow aspirates) were also CDH6 negative in the IHC analysis. The low levels of CDH6 expression measured by qPCR in a subset of the bone marrow samples are unlikely to represent expression on the immune cells because the CDH6-positive samples were from flash-frozen, cadaver bone marrow collections. It is likely that the low-level expression in these samples is a result of sample contamination with vascular tissue as CDH6 was found to be expressed in this cell type. Vascular tissue is not expected to be found in the fresh bone marrow aspirates collected from living donors, thus the difference in the collection methods could account for the lack of CDH6 expression in these donors.</w:t>
      </w:r>
    </w:p>
    <w:p w14:paraId="62BBBC20" w14:textId="77777777" w:rsidR="00121E53" w:rsidRPr="00503496" w:rsidRDefault="00121E53" w:rsidP="00121E53">
      <w:pPr>
        <w:spacing w:before="120" w:line="360" w:lineRule="auto"/>
        <w:jc w:val="both"/>
        <w:rPr>
          <w:rFonts w:ascii="Times New Roman" w:hAnsi="Times New Roman" w:cs="Times New Roman"/>
          <w:bCs/>
          <w:i/>
          <w:sz w:val="24"/>
          <w:szCs w:val="24"/>
        </w:rPr>
      </w:pPr>
      <w:r w:rsidRPr="00503496">
        <w:rPr>
          <w:rFonts w:ascii="Times New Roman" w:hAnsi="Times New Roman" w:cs="Times New Roman"/>
          <w:bCs/>
          <w:i/>
          <w:sz w:val="24"/>
          <w:szCs w:val="24"/>
        </w:rPr>
        <w:t>No induction of cytokine release in whole blood in vitro by HKT288</w:t>
      </w:r>
    </w:p>
    <w:p w14:paraId="7D50594F" w14:textId="016AB266" w:rsidR="00D415E9" w:rsidRDefault="00121E53" w:rsidP="004C7CF1">
      <w:pPr>
        <w:spacing w:before="120" w:line="360" w:lineRule="auto"/>
        <w:jc w:val="both"/>
        <w:rPr>
          <w:rFonts w:ascii="Times New Roman" w:hAnsi="Times New Roman" w:cs="Times New Roman"/>
          <w:bCs/>
          <w:sz w:val="24"/>
          <w:szCs w:val="24"/>
        </w:rPr>
      </w:pPr>
      <w:r w:rsidRPr="00503496">
        <w:rPr>
          <w:rFonts w:ascii="Times New Roman" w:hAnsi="Times New Roman" w:cs="Times New Roman"/>
          <w:bCs/>
          <w:i/>
          <w:sz w:val="24"/>
          <w:szCs w:val="24"/>
        </w:rPr>
        <w:t>In vitro</w:t>
      </w:r>
      <w:r w:rsidRPr="00503496">
        <w:rPr>
          <w:rFonts w:ascii="Times New Roman" w:hAnsi="Times New Roman" w:cs="Times New Roman"/>
          <w:bCs/>
          <w:sz w:val="24"/>
          <w:szCs w:val="24"/>
        </w:rPr>
        <w:t xml:space="preserve"> whole blood cytokine release experiments were conducted to determine if HKT288 induces cytokine release from peripheral blood immune cells via potential off-target mechanisms. Whole blood from five healthy human donors was incubated with HKT288, the CDH6 targeting antibody; a non-binding IgG1 (hIgG1) antibody; or a non-binding IgG1 antibody conjugated to a </w:t>
      </w:r>
      <w:proofErr w:type="spellStart"/>
      <w:r w:rsidRPr="00503496">
        <w:rPr>
          <w:rFonts w:ascii="Times New Roman" w:hAnsi="Times New Roman" w:cs="Times New Roman"/>
          <w:bCs/>
          <w:sz w:val="24"/>
          <w:szCs w:val="24"/>
        </w:rPr>
        <w:t>maytansinoid</w:t>
      </w:r>
      <w:proofErr w:type="spellEnd"/>
      <w:r w:rsidRPr="00503496">
        <w:rPr>
          <w:rFonts w:ascii="Times New Roman" w:hAnsi="Times New Roman" w:cs="Times New Roman"/>
          <w:bCs/>
          <w:sz w:val="24"/>
          <w:szCs w:val="24"/>
        </w:rPr>
        <w:t xml:space="preserve"> linker/payload sulfo-SPDB-DM4 (hIgG1-DM4). In parallel, LPS and alemtuzumab were included as positive controls to confirm the functionality of the assay system and to act as a clinical benchmark. After 24 hours, plasma supernatants were </w:t>
      </w:r>
      <w:proofErr w:type="gramStart"/>
      <w:r w:rsidRPr="00503496">
        <w:rPr>
          <w:rFonts w:ascii="Times New Roman" w:hAnsi="Times New Roman" w:cs="Times New Roman"/>
          <w:bCs/>
          <w:sz w:val="24"/>
          <w:szCs w:val="24"/>
        </w:rPr>
        <w:t>collected</w:t>
      </w:r>
      <w:proofErr w:type="gramEnd"/>
      <w:r w:rsidRPr="00503496">
        <w:rPr>
          <w:rFonts w:ascii="Times New Roman" w:hAnsi="Times New Roman" w:cs="Times New Roman"/>
          <w:bCs/>
          <w:sz w:val="24"/>
          <w:szCs w:val="24"/>
        </w:rPr>
        <w:t xml:space="preserve"> and the cytokine levels were determined using a bead-based multiplex immunoassay approach (Luminex). Test items were </w:t>
      </w:r>
      <w:r w:rsidRPr="00503496">
        <w:rPr>
          <w:rFonts w:ascii="Times New Roman" w:hAnsi="Times New Roman" w:cs="Times New Roman"/>
          <w:bCs/>
          <w:sz w:val="24"/>
          <w:szCs w:val="24"/>
        </w:rPr>
        <w:lastRenderedPageBreak/>
        <w:t xml:space="preserve">included at concentrations 7.5, 67.5 and 150 µg/ml corresponding to the higher range of </w:t>
      </w:r>
      <w:proofErr w:type="spellStart"/>
      <w:r w:rsidRPr="00503496">
        <w:rPr>
          <w:rFonts w:ascii="Times New Roman" w:hAnsi="Times New Roman" w:cs="Times New Roman"/>
          <w:bCs/>
          <w:sz w:val="24"/>
          <w:szCs w:val="24"/>
        </w:rPr>
        <w:t>Cmax</w:t>
      </w:r>
      <w:proofErr w:type="spellEnd"/>
      <w:r w:rsidRPr="00503496">
        <w:rPr>
          <w:rFonts w:ascii="Times New Roman" w:hAnsi="Times New Roman" w:cs="Times New Roman"/>
          <w:bCs/>
          <w:sz w:val="24"/>
          <w:szCs w:val="24"/>
        </w:rPr>
        <w:t xml:space="preserve"> at each cohort. No increases in cytokine levels were observed in donors after incubation with HKT288 or unconjugated anti-CDH6 antibody and the findings did not support a direct on- or off-target effect mediated through peripheral blood immune cells obtained from healthy human volunteers.</w:t>
      </w:r>
      <w:bookmarkStart w:id="0" w:name="IDX"/>
      <w:bookmarkEnd w:id="0"/>
    </w:p>
    <w:p w14:paraId="754AA853" w14:textId="77777777" w:rsidR="00D415E9" w:rsidRDefault="00D415E9">
      <w:pPr>
        <w:rPr>
          <w:rFonts w:ascii="Times New Roman" w:hAnsi="Times New Roman" w:cs="Times New Roman"/>
          <w:bCs/>
          <w:sz w:val="24"/>
          <w:szCs w:val="24"/>
        </w:rPr>
      </w:pPr>
      <w:r>
        <w:rPr>
          <w:rFonts w:ascii="Times New Roman" w:hAnsi="Times New Roman" w:cs="Times New Roman"/>
          <w:bCs/>
          <w:sz w:val="24"/>
          <w:szCs w:val="24"/>
        </w:rPr>
        <w:br w:type="page"/>
      </w:r>
    </w:p>
    <w:p w14:paraId="7BFADD98" w14:textId="51949AA0" w:rsidR="00D415E9" w:rsidRPr="000C2553" w:rsidRDefault="0058730F" w:rsidP="00764A55">
      <w:pPr>
        <w:spacing w:after="0" w:line="480" w:lineRule="auto"/>
        <w:jc w:val="both"/>
        <w:rPr>
          <w:rFonts w:ascii="Times New Roman" w:hAnsi="Times New Roman" w:cs="Times New Roman"/>
          <w:bCs/>
          <w:sz w:val="24"/>
          <w:szCs w:val="24"/>
        </w:rPr>
      </w:pPr>
      <w:r w:rsidRPr="00567F9A">
        <w:rPr>
          <w:rFonts w:ascii="Times New Roman" w:hAnsi="Times New Roman" w:cs="Times New Roman"/>
          <w:b/>
          <w:sz w:val="24"/>
          <w:szCs w:val="24"/>
        </w:rPr>
        <w:lastRenderedPageBreak/>
        <w:t xml:space="preserve">Suppl </w:t>
      </w:r>
      <w:r w:rsidRPr="0092647E">
        <w:rPr>
          <w:rFonts w:ascii="Times New Roman" w:hAnsi="Times New Roman" w:cs="Times New Roman"/>
          <w:b/>
          <w:sz w:val="24"/>
          <w:szCs w:val="24"/>
        </w:rPr>
        <w:t>Fig. 1:</w:t>
      </w:r>
      <w:r w:rsidRPr="00567F9A">
        <w:rPr>
          <w:rFonts w:ascii="Times New Roman" w:hAnsi="Times New Roman" w:cs="Times New Roman"/>
          <w:b/>
          <w:sz w:val="24"/>
          <w:szCs w:val="24"/>
        </w:rPr>
        <w:t xml:space="preserve"> Individual concentration-time profiles for total ADC and total antibody</w:t>
      </w:r>
    </w:p>
    <w:p w14:paraId="373CCCE9" w14:textId="187D2953" w:rsidR="00A35AB1" w:rsidRPr="0041359A" w:rsidRDefault="00A35AB1" w:rsidP="00764A55">
      <w:pPr>
        <w:spacing w:after="0" w:line="480" w:lineRule="auto"/>
        <w:rPr>
          <w:rFonts w:ascii="Times New Roman" w:hAnsi="Times New Roman" w:cs="Times New Roman"/>
          <w:bCs/>
          <w:sz w:val="24"/>
          <w:szCs w:val="24"/>
        </w:rPr>
      </w:pPr>
      <w:r w:rsidRPr="0092647E">
        <w:rPr>
          <w:rFonts w:ascii="Times New Roman" w:hAnsi="Times New Roman" w:cs="Times New Roman"/>
          <w:bCs/>
          <w:sz w:val="24"/>
          <w:szCs w:val="24"/>
        </w:rPr>
        <w:t xml:space="preserve">ADC, antibody-drug conjugate; C, cycle; Q3W, every 3 weeks; </w:t>
      </w:r>
      <w:proofErr w:type="spellStart"/>
      <w:r w:rsidRPr="0092647E">
        <w:rPr>
          <w:rFonts w:ascii="Times New Roman" w:hAnsi="Times New Roman" w:cs="Times New Roman"/>
          <w:bCs/>
          <w:sz w:val="24"/>
          <w:szCs w:val="24"/>
        </w:rPr>
        <w:t>tAb</w:t>
      </w:r>
      <w:proofErr w:type="spellEnd"/>
      <w:r w:rsidRPr="0092647E">
        <w:rPr>
          <w:rFonts w:ascii="Times New Roman" w:hAnsi="Times New Roman" w:cs="Times New Roman"/>
          <w:bCs/>
          <w:sz w:val="24"/>
          <w:szCs w:val="24"/>
        </w:rPr>
        <w:t xml:space="preserve">, total antibody; </w:t>
      </w:r>
      <w:proofErr w:type="spellStart"/>
      <w:r w:rsidRPr="0092647E">
        <w:rPr>
          <w:rFonts w:ascii="Times New Roman" w:hAnsi="Times New Roman" w:cs="Times New Roman"/>
          <w:bCs/>
          <w:sz w:val="24"/>
          <w:szCs w:val="24"/>
        </w:rPr>
        <w:t>tADC</w:t>
      </w:r>
      <w:proofErr w:type="spellEnd"/>
      <w:r w:rsidRPr="0092647E">
        <w:rPr>
          <w:rFonts w:ascii="Times New Roman" w:hAnsi="Times New Roman" w:cs="Times New Roman"/>
          <w:bCs/>
          <w:sz w:val="24"/>
          <w:szCs w:val="24"/>
        </w:rPr>
        <w:t>, total ADC.</w:t>
      </w:r>
    </w:p>
    <w:p w14:paraId="379B8769" w14:textId="2E7AAFB3" w:rsidR="001A057E" w:rsidRPr="00764A55" w:rsidRDefault="004C7CF1" w:rsidP="00764A55">
      <w:pPr>
        <w:spacing w:after="0" w:line="480" w:lineRule="auto"/>
        <w:rPr>
          <w:rFonts w:ascii="Times New Roman" w:hAnsi="Times New Roman" w:cs="Times New Roman"/>
          <w:b/>
          <w:iCs/>
          <w:sz w:val="24"/>
          <w:szCs w:val="24"/>
        </w:rPr>
      </w:pPr>
      <w:r w:rsidRPr="0092647E">
        <w:rPr>
          <w:rFonts w:ascii="Times New Roman" w:hAnsi="Times New Roman" w:cs="Times New Roman"/>
          <w:b/>
          <w:sz w:val="24"/>
          <w:szCs w:val="24"/>
        </w:rPr>
        <w:t>Suppl Fig. 2:</w:t>
      </w:r>
      <w:r w:rsidRPr="00567F9A">
        <w:rPr>
          <w:rFonts w:ascii="Times New Roman" w:hAnsi="Times New Roman" w:cs="Times New Roman"/>
          <w:b/>
          <w:sz w:val="24"/>
          <w:szCs w:val="24"/>
        </w:rPr>
        <w:t xml:space="preserve"> Target lesion size evaluation (Subject 4) </w:t>
      </w:r>
    </w:p>
    <w:p w14:paraId="40CC0D46" w14:textId="5214E7A3" w:rsidR="00D415E9" w:rsidRDefault="004C7CF1" w:rsidP="00764A55">
      <w:pPr>
        <w:spacing w:after="0" w:line="480" w:lineRule="auto"/>
        <w:rPr>
          <w:rFonts w:ascii="Times New Roman" w:hAnsi="Times New Roman" w:cs="Times New Roman"/>
          <w:bCs/>
          <w:sz w:val="24"/>
          <w:szCs w:val="24"/>
        </w:rPr>
      </w:pPr>
      <w:r w:rsidRPr="00567F9A">
        <w:rPr>
          <w:rFonts w:ascii="Times New Roman" w:hAnsi="Times New Roman" w:cs="Times New Roman"/>
          <w:bCs/>
          <w:sz w:val="24"/>
          <w:szCs w:val="24"/>
        </w:rPr>
        <w:t>Tumor evaluation were performed every 2 cycles (Screening, C3D1, C5D1, C7D1, C9D1).</w:t>
      </w:r>
    </w:p>
    <w:p w14:paraId="07072B64" w14:textId="5C56C36A" w:rsidR="0041359A" w:rsidRDefault="0041359A" w:rsidP="00764A55">
      <w:pPr>
        <w:spacing w:after="0" w:line="480" w:lineRule="auto"/>
        <w:rPr>
          <w:rFonts w:ascii="Times New Roman" w:hAnsi="Times New Roman" w:cs="Times New Roman"/>
          <w:bCs/>
          <w:sz w:val="24"/>
          <w:szCs w:val="24"/>
        </w:rPr>
      </w:pPr>
      <w:r w:rsidRPr="0092647E">
        <w:rPr>
          <w:rFonts w:ascii="Times New Roman" w:hAnsi="Times New Roman" w:cs="Times New Roman"/>
          <w:bCs/>
          <w:sz w:val="24"/>
          <w:szCs w:val="24"/>
        </w:rPr>
        <w:t>C, cycle; D, day.</w:t>
      </w:r>
    </w:p>
    <w:p w14:paraId="6A2D3212" w14:textId="428EA0C4" w:rsidR="0058730F" w:rsidRPr="00764A55" w:rsidRDefault="0058730F" w:rsidP="00764A55">
      <w:pPr>
        <w:spacing w:after="0" w:line="480" w:lineRule="auto"/>
        <w:rPr>
          <w:rFonts w:ascii="Times New Roman" w:hAnsi="Times New Roman" w:cs="Times New Roman"/>
          <w:bCs/>
          <w:sz w:val="24"/>
          <w:szCs w:val="24"/>
        </w:rPr>
      </w:pPr>
      <w:r w:rsidRPr="0092647E">
        <w:rPr>
          <w:rFonts w:ascii="Times New Roman" w:hAnsi="Times New Roman" w:cs="Times New Roman"/>
          <w:b/>
          <w:iCs/>
          <w:sz w:val="24"/>
          <w:szCs w:val="24"/>
        </w:rPr>
        <w:t xml:space="preserve">Suppl </w:t>
      </w:r>
      <w:r w:rsidR="003F47DF" w:rsidRPr="0092647E">
        <w:rPr>
          <w:rFonts w:ascii="Times New Roman" w:hAnsi="Times New Roman" w:cs="Times New Roman"/>
          <w:b/>
          <w:iCs/>
          <w:sz w:val="24"/>
          <w:szCs w:val="24"/>
        </w:rPr>
        <w:t>Fig. 3</w:t>
      </w:r>
      <w:r w:rsidRPr="0092647E">
        <w:rPr>
          <w:rFonts w:ascii="Times New Roman" w:hAnsi="Times New Roman" w:cs="Times New Roman"/>
          <w:b/>
          <w:iCs/>
          <w:sz w:val="24"/>
          <w:szCs w:val="24"/>
        </w:rPr>
        <w:t>:</w:t>
      </w:r>
      <w:r w:rsidRPr="0058730F">
        <w:rPr>
          <w:rFonts w:ascii="Times New Roman" w:hAnsi="Times New Roman" w:cs="Times New Roman"/>
          <w:b/>
          <w:iCs/>
          <w:sz w:val="24"/>
          <w:szCs w:val="24"/>
        </w:rPr>
        <w:t xml:space="preserve"> Tissue cytokine levels for murine MCP1 and MIP1β at 24 hours post dosing with 5 mg/kg HKT288, control IgG-ADC or vehicle</w:t>
      </w:r>
    </w:p>
    <w:p w14:paraId="42B46655" w14:textId="77777777" w:rsidR="0058730F" w:rsidRPr="00567F9A" w:rsidRDefault="0058730F" w:rsidP="00764A55">
      <w:pPr>
        <w:spacing w:after="0" w:line="480" w:lineRule="auto"/>
        <w:rPr>
          <w:rFonts w:ascii="Times New Roman" w:hAnsi="Times New Roman" w:cs="Times New Roman"/>
          <w:sz w:val="24"/>
          <w:szCs w:val="24"/>
        </w:rPr>
      </w:pPr>
      <w:r w:rsidRPr="00567F9A">
        <w:rPr>
          <w:rFonts w:ascii="Times New Roman" w:hAnsi="Times New Roman" w:cs="Times New Roman"/>
          <w:sz w:val="24"/>
          <w:szCs w:val="24"/>
        </w:rPr>
        <w:t xml:space="preserve">Tissues analyzed were plasma, liver, </w:t>
      </w:r>
      <w:proofErr w:type="gramStart"/>
      <w:r w:rsidRPr="00567F9A">
        <w:rPr>
          <w:rFonts w:ascii="Times New Roman" w:hAnsi="Times New Roman" w:cs="Times New Roman"/>
          <w:sz w:val="24"/>
          <w:szCs w:val="24"/>
        </w:rPr>
        <w:t>brain</w:t>
      </w:r>
      <w:proofErr w:type="gramEnd"/>
      <w:r w:rsidRPr="00567F9A">
        <w:rPr>
          <w:rFonts w:ascii="Times New Roman" w:hAnsi="Times New Roman" w:cs="Times New Roman"/>
          <w:sz w:val="24"/>
          <w:szCs w:val="24"/>
        </w:rPr>
        <w:t xml:space="preserve"> and tumor. Unpaired t-tests were performed for all groups and statistically significant differences in cytokine levels between groups are highlighted.</w:t>
      </w:r>
    </w:p>
    <w:p w14:paraId="7FBAD84A" w14:textId="17F6B9E4" w:rsidR="00D415E9" w:rsidRDefault="0058730F" w:rsidP="00764A55">
      <w:pPr>
        <w:spacing w:after="0" w:line="480" w:lineRule="auto"/>
        <w:rPr>
          <w:rFonts w:ascii="Times New Roman" w:hAnsi="Times New Roman" w:cs="Times New Roman"/>
          <w:sz w:val="24"/>
          <w:szCs w:val="24"/>
        </w:rPr>
      </w:pPr>
      <w:r w:rsidRPr="00567F9A">
        <w:rPr>
          <w:rFonts w:ascii="Times New Roman" w:hAnsi="Times New Roman" w:cs="Times New Roman"/>
          <w:sz w:val="24"/>
          <w:szCs w:val="24"/>
        </w:rPr>
        <w:t>The horizontal bars in the figures represent the median values.</w:t>
      </w:r>
    </w:p>
    <w:p w14:paraId="6F4630AC" w14:textId="6DC90B86" w:rsidR="00D85E68" w:rsidRDefault="009B7723" w:rsidP="00764A55">
      <w:pPr>
        <w:spacing w:after="0" w:line="480" w:lineRule="auto"/>
        <w:rPr>
          <w:rFonts w:ascii="Times New Roman" w:hAnsi="Times New Roman" w:cs="Times New Roman"/>
          <w:sz w:val="24"/>
          <w:szCs w:val="24"/>
        </w:rPr>
      </w:pPr>
      <w:r w:rsidRPr="0092647E">
        <w:rPr>
          <w:rFonts w:ascii="Times New Roman" w:hAnsi="Times New Roman" w:cs="Times New Roman"/>
          <w:sz w:val="24"/>
          <w:szCs w:val="24"/>
        </w:rPr>
        <w:t xml:space="preserve">ADC, antibody-drug conjugate; IgG, immunoglobulin G; </w:t>
      </w:r>
      <w:r w:rsidR="00D85E68" w:rsidRPr="0092647E">
        <w:rPr>
          <w:rFonts w:ascii="Times New Roman" w:hAnsi="Times New Roman" w:cs="Times New Roman"/>
          <w:sz w:val="24"/>
          <w:szCs w:val="24"/>
        </w:rPr>
        <w:t>MCP1, monocyte chemoattractant protein 1; MIP</w:t>
      </w:r>
      <w:r w:rsidRPr="0092647E">
        <w:rPr>
          <w:rFonts w:ascii="Times New Roman" w:hAnsi="Times New Roman" w:cs="Times New Roman"/>
          <w:sz w:val="24"/>
          <w:szCs w:val="24"/>
        </w:rPr>
        <w:t>1</w:t>
      </w:r>
      <w:r w:rsidRPr="0092647E">
        <w:rPr>
          <w:rFonts w:ascii="Times New Roman" w:hAnsi="Times New Roman" w:cs="Times New Roman"/>
          <w:bCs/>
          <w:iCs/>
          <w:sz w:val="24"/>
          <w:szCs w:val="24"/>
        </w:rPr>
        <w:t>β</w:t>
      </w:r>
      <w:r w:rsidRPr="0092647E">
        <w:rPr>
          <w:rFonts w:ascii="Times New Roman" w:hAnsi="Times New Roman" w:cs="Times New Roman"/>
          <w:sz w:val="24"/>
          <w:szCs w:val="24"/>
        </w:rPr>
        <w:t>, macrophage inflammatory protein 1</w:t>
      </w:r>
      <w:r w:rsidRPr="0092647E">
        <w:rPr>
          <w:rFonts w:ascii="Times New Roman" w:hAnsi="Times New Roman" w:cs="Times New Roman"/>
          <w:bCs/>
          <w:iCs/>
          <w:sz w:val="24"/>
          <w:szCs w:val="24"/>
        </w:rPr>
        <w:t>β</w:t>
      </w:r>
      <w:r w:rsidR="00D85E68" w:rsidRPr="0092647E">
        <w:rPr>
          <w:rFonts w:ascii="Times New Roman" w:hAnsi="Times New Roman" w:cs="Times New Roman"/>
          <w:sz w:val="24"/>
          <w:szCs w:val="24"/>
        </w:rPr>
        <w:t>.</w:t>
      </w:r>
    </w:p>
    <w:p w14:paraId="0740C3C9" w14:textId="3B66F000" w:rsidR="003F47DF" w:rsidRPr="00764A55" w:rsidRDefault="003F47DF" w:rsidP="00764A55">
      <w:pPr>
        <w:spacing w:after="0" w:line="480" w:lineRule="auto"/>
        <w:rPr>
          <w:rFonts w:ascii="Times New Roman" w:hAnsi="Times New Roman" w:cs="Times New Roman"/>
          <w:sz w:val="24"/>
          <w:szCs w:val="24"/>
        </w:rPr>
      </w:pPr>
      <w:r w:rsidRPr="0092647E">
        <w:rPr>
          <w:rFonts w:ascii="Times New Roman" w:hAnsi="Times New Roman" w:cs="Times New Roman"/>
          <w:b/>
          <w:sz w:val="24"/>
          <w:szCs w:val="24"/>
        </w:rPr>
        <w:t>Suppl Fig. 4:</w:t>
      </w:r>
      <w:r w:rsidRPr="00567F9A">
        <w:rPr>
          <w:rFonts w:ascii="Times New Roman" w:hAnsi="Times New Roman" w:cs="Times New Roman"/>
          <w:b/>
          <w:sz w:val="24"/>
          <w:szCs w:val="24"/>
        </w:rPr>
        <w:t xml:space="preserve"> Potential etiologies for neurological AEs – </w:t>
      </w:r>
      <w:r w:rsidR="00D65D02">
        <w:rPr>
          <w:rFonts w:ascii="Times New Roman" w:hAnsi="Times New Roman" w:cs="Times New Roman"/>
          <w:b/>
          <w:sz w:val="24"/>
          <w:szCs w:val="24"/>
        </w:rPr>
        <w:t>a</w:t>
      </w:r>
      <w:r w:rsidRPr="00567F9A">
        <w:rPr>
          <w:rFonts w:ascii="Times New Roman" w:hAnsi="Times New Roman" w:cs="Times New Roman"/>
          <w:b/>
          <w:sz w:val="24"/>
          <w:szCs w:val="24"/>
        </w:rPr>
        <w:t xml:space="preserve">) CDH6 expression in human bone marrow samples and control cell lines by QPCR; </w:t>
      </w:r>
      <w:r w:rsidR="00D65D02">
        <w:rPr>
          <w:rFonts w:ascii="Times New Roman" w:hAnsi="Times New Roman" w:cs="Times New Roman"/>
          <w:b/>
          <w:sz w:val="24"/>
          <w:szCs w:val="24"/>
        </w:rPr>
        <w:t>b</w:t>
      </w:r>
      <w:r w:rsidRPr="00567F9A">
        <w:rPr>
          <w:rFonts w:ascii="Times New Roman" w:hAnsi="Times New Roman" w:cs="Times New Roman"/>
          <w:b/>
          <w:sz w:val="24"/>
          <w:szCs w:val="24"/>
        </w:rPr>
        <w:t>) CDH6 expression in subsets of immune cells in human bone marrow by FACS</w:t>
      </w:r>
    </w:p>
    <w:p w14:paraId="5AA3B914" w14:textId="77777777" w:rsidR="003F47DF" w:rsidRPr="00567F9A" w:rsidRDefault="003F47DF" w:rsidP="00764A55">
      <w:pPr>
        <w:spacing w:after="0" w:line="480" w:lineRule="auto"/>
        <w:rPr>
          <w:rFonts w:ascii="Times New Roman" w:hAnsi="Times New Roman" w:cs="Times New Roman"/>
          <w:sz w:val="24"/>
          <w:szCs w:val="24"/>
        </w:rPr>
      </w:pPr>
      <w:r w:rsidRPr="00567F9A">
        <w:rPr>
          <w:rFonts w:ascii="Times New Roman" w:hAnsi="Times New Roman" w:cs="Times New Roman"/>
          <w:sz w:val="24"/>
          <w:szCs w:val="24"/>
        </w:rPr>
        <w:t>OVCAR8 and OVCAR3 are cell lines.</w:t>
      </w:r>
    </w:p>
    <w:p w14:paraId="560023E8" w14:textId="77777777" w:rsidR="003F47DF" w:rsidRDefault="003F47DF" w:rsidP="00764A55">
      <w:pPr>
        <w:spacing w:after="0" w:line="480" w:lineRule="auto"/>
        <w:rPr>
          <w:rFonts w:ascii="Times New Roman" w:hAnsi="Times New Roman" w:cs="Times New Roman"/>
          <w:sz w:val="24"/>
          <w:szCs w:val="24"/>
        </w:rPr>
      </w:pPr>
      <w:r w:rsidRPr="00567F9A">
        <w:rPr>
          <w:rFonts w:ascii="Times New Roman" w:hAnsi="Times New Roman" w:cs="Times New Roman"/>
          <w:sz w:val="24"/>
          <w:szCs w:val="24"/>
        </w:rPr>
        <w:t>The error bars represent the standard deviation across the three technical replicates.</w:t>
      </w:r>
    </w:p>
    <w:p w14:paraId="5E6E6DD8" w14:textId="77777777" w:rsidR="003F47DF" w:rsidRDefault="003F47DF" w:rsidP="00764A55">
      <w:pPr>
        <w:spacing w:after="0" w:line="480" w:lineRule="auto"/>
        <w:rPr>
          <w:rFonts w:ascii="Times New Roman" w:hAnsi="Times New Roman" w:cs="Times New Roman"/>
          <w:sz w:val="24"/>
          <w:szCs w:val="24"/>
        </w:rPr>
      </w:pPr>
      <w:r w:rsidRPr="0092647E">
        <w:rPr>
          <w:rFonts w:ascii="Times New Roman" w:hAnsi="Times New Roman" w:cs="Times New Roman"/>
          <w:sz w:val="24"/>
          <w:szCs w:val="24"/>
        </w:rPr>
        <w:t xml:space="preserve">ADC, antibody-drug conjugate; FACS, fluorescence-activated cell sorting; FITC, fluorescein isothiocyanate GMFI, geometric mean fluorescence intensity; </w:t>
      </w:r>
      <w:proofErr w:type="spellStart"/>
      <w:r w:rsidRPr="0092647E">
        <w:rPr>
          <w:rFonts w:ascii="Times New Roman" w:hAnsi="Times New Roman" w:cs="Times New Roman"/>
          <w:sz w:val="24"/>
          <w:szCs w:val="24"/>
        </w:rPr>
        <w:t>mAb</w:t>
      </w:r>
      <w:proofErr w:type="spellEnd"/>
      <w:r w:rsidRPr="0092647E">
        <w:rPr>
          <w:rFonts w:ascii="Times New Roman" w:hAnsi="Times New Roman" w:cs="Times New Roman"/>
          <w:sz w:val="24"/>
          <w:szCs w:val="24"/>
        </w:rPr>
        <w:t>, monoclonal antibody; NK, natural killer; QPCR, quantitative polymerase chain reaction.</w:t>
      </w:r>
    </w:p>
    <w:p w14:paraId="09047127" w14:textId="08A2394C" w:rsidR="004C7CF1" w:rsidRPr="000C2553" w:rsidRDefault="004C7CF1" w:rsidP="00764A55">
      <w:pPr>
        <w:spacing w:after="0" w:line="480" w:lineRule="auto"/>
        <w:rPr>
          <w:rFonts w:ascii="Times New Roman" w:hAnsi="Times New Roman" w:cs="Times New Roman"/>
          <w:b/>
          <w:sz w:val="24"/>
          <w:szCs w:val="24"/>
        </w:rPr>
      </w:pPr>
      <w:r w:rsidRPr="0092647E">
        <w:rPr>
          <w:rFonts w:ascii="Times New Roman" w:hAnsi="Times New Roman" w:cs="Times New Roman"/>
          <w:b/>
          <w:sz w:val="24"/>
          <w:szCs w:val="24"/>
        </w:rPr>
        <w:t>Suppl Fig. 5: Potential</w:t>
      </w:r>
      <w:r w:rsidRPr="00567F9A">
        <w:rPr>
          <w:rFonts w:ascii="Times New Roman" w:hAnsi="Times New Roman" w:cs="Times New Roman"/>
          <w:b/>
          <w:sz w:val="24"/>
          <w:szCs w:val="24"/>
        </w:rPr>
        <w:t xml:space="preserve"> etiologies for neurological AEs – CDH6 expression in CNS and blood vessels</w:t>
      </w:r>
    </w:p>
    <w:p w14:paraId="2EB88489" w14:textId="77777777" w:rsidR="00290CFC" w:rsidRDefault="004116D0" w:rsidP="00764A55">
      <w:pPr>
        <w:spacing w:after="0" w:line="480" w:lineRule="auto"/>
        <w:jc w:val="both"/>
        <w:rPr>
          <w:rFonts w:ascii="Times New Roman" w:hAnsi="Times New Roman" w:cs="Times New Roman"/>
          <w:bCs/>
          <w:sz w:val="24"/>
          <w:szCs w:val="24"/>
        </w:rPr>
      </w:pPr>
      <w:r w:rsidRPr="0092647E">
        <w:rPr>
          <w:rFonts w:ascii="Times New Roman" w:hAnsi="Times New Roman" w:cs="Times New Roman"/>
          <w:bCs/>
          <w:sz w:val="24"/>
          <w:szCs w:val="24"/>
        </w:rPr>
        <w:lastRenderedPageBreak/>
        <w:t xml:space="preserve">AE, adverse events; </w:t>
      </w:r>
      <w:r w:rsidR="00DB061D" w:rsidRPr="0092647E">
        <w:rPr>
          <w:rFonts w:ascii="Times New Roman" w:hAnsi="Times New Roman" w:cs="Times New Roman"/>
          <w:bCs/>
          <w:sz w:val="24"/>
          <w:szCs w:val="24"/>
        </w:rPr>
        <w:t xml:space="preserve">CD68, cluster of differentiation 68; </w:t>
      </w:r>
      <w:r w:rsidRPr="0092647E">
        <w:rPr>
          <w:rFonts w:ascii="Times New Roman" w:hAnsi="Times New Roman" w:cs="Times New Roman"/>
          <w:bCs/>
          <w:sz w:val="24"/>
          <w:szCs w:val="24"/>
        </w:rPr>
        <w:t xml:space="preserve">CNS, central nervous system; IHC, immunohistochemistry; </w:t>
      </w:r>
      <w:r w:rsidR="00DB061D" w:rsidRPr="0092647E">
        <w:rPr>
          <w:rFonts w:ascii="Times New Roman" w:hAnsi="Times New Roman" w:cs="Times New Roman"/>
          <w:bCs/>
          <w:sz w:val="24"/>
          <w:szCs w:val="24"/>
        </w:rPr>
        <w:t xml:space="preserve">ISH, </w:t>
      </w:r>
      <w:r w:rsidR="00DB061D" w:rsidRPr="0092647E">
        <w:rPr>
          <w:rFonts w:ascii="Times New Roman" w:hAnsi="Times New Roman" w:cs="Times New Roman"/>
          <w:bCs/>
          <w:i/>
          <w:iCs/>
          <w:sz w:val="24"/>
          <w:szCs w:val="24"/>
        </w:rPr>
        <w:t>in situ</w:t>
      </w:r>
      <w:r w:rsidR="00DB061D" w:rsidRPr="0092647E">
        <w:rPr>
          <w:rFonts w:ascii="Times New Roman" w:hAnsi="Times New Roman" w:cs="Times New Roman"/>
          <w:bCs/>
          <w:sz w:val="24"/>
          <w:szCs w:val="24"/>
        </w:rPr>
        <w:t xml:space="preserve"> hybridization; </w:t>
      </w:r>
      <w:r w:rsidRPr="0092647E">
        <w:rPr>
          <w:rFonts w:ascii="Times New Roman" w:hAnsi="Times New Roman" w:cs="Times New Roman"/>
          <w:bCs/>
          <w:sz w:val="24"/>
          <w:szCs w:val="24"/>
        </w:rPr>
        <w:t>TCR, tissue cross reactivit</w:t>
      </w:r>
      <w:r w:rsidR="00290CFC">
        <w:rPr>
          <w:rFonts w:ascii="Times New Roman" w:hAnsi="Times New Roman" w:cs="Times New Roman"/>
          <w:bCs/>
          <w:sz w:val="24"/>
          <w:szCs w:val="24"/>
        </w:rPr>
        <w:t>y.</w:t>
      </w:r>
    </w:p>
    <w:p w14:paraId="34DD3A16" w14:textId="77777777" w:rsidR="00290CFC" w:rsidRDefault="00290CFC" w:rsidP="00764A55">
      <w:pPr>
        <w:spacing w:after="0" w:line="480" w:lineRule="auto"/>
        <w:rPr>
          <w:rFonts w:ascii="Times New Roman" w:hAnsi="Times New Roman" w:cs="Times New Roman"/>
          <w:b/>
          <w:bCs/>
          <w:sz w:val="24"/>
          <w:szCs w:val="24"/>
        </w:rPr>
      </w:pPr>
      <w:r w:rsidRPr="0092647E">
        <w:rPr>
          <w:rFonts w:ascii="Times New Roman" w:hAnsi="Times New Roman" w:cs="Times New Roman"/>
          <w:b/>
          <w:bCs/>
          <w:sz w:val="24"/>
          <w:szCs w:val="24"/>
        </w:rPr>
        <w:t>Suppl</w:t>
      </w:r>
      <w:r>
        <w:rPr>
          <w:rFonts w:ascii="Times New Roman" w:hAnsi="Times New Roman" w:cs="Times New Roman"/>
          <w:b/>
          <w:bCs/>
          <w:sz w:val="24"/>
          <w:szCs w:val="24"/>
        </w:rPr>
        <w:t xml:space="preserve"> </w:t>
      </w:r>
      <w:r w:rsidRPr="0092647E">
        <w:rPr>
          <w:rFonts w:ascii="Times New Roman" w:hAnsi="Times New Roman" w:cs="Times New Roman"/>
          <w:b/>
          <w:bCs/>
          <w:sz w:val="24"/>
          <w:szCs w:val="24"/>
        </w:rPr>
        <w:t>Table 1: Subject pretreatmen</w:t>
      </w:r>
      <w:r>
        <w:rPr>
          <w:rFonts w:ascii="Times New Roman" w:hAnsi="Times New Roman" w:cs="Times New Roman"/>
          <w:b/>
          <w:bCs/>
          <w:sz w:val="24"/>
          <w:szCs w:val="24"/>
        </w:rPr>
        <w:t>t</w:t>
      </w:r>
    </w:p>
    <w:p w14:paraId="02739C25" w14:textId="32C214E4" w:rsidR="00D411D2" w:rsidRPr="002C0E8A" w:rsidRDefault="00290CFC" w:rsidP="00A52269">
      <w:pPr>
        <w:spacing w:after="0" w:line="480" w:lineRule="auto"/>
        <w:rPr>
          <w:rFonts w:ascii="Times New Roman" w:hAnsi="Times New Roman" w:cs="Times New Roman"/>
          <w:b/>
          <w:bCs/>
          <w:sz w:val="24"/>
          <w:szCs w:val="24"/>
        </w:rPr>
      </w:pPr>
      <w:r w:rsidRPr="0092647E">
        <w:rPr>
          <w:rFonts w:ascii="Times New Roman" w:hAnsi="Times New Roman" w:cs="Times New Roman"/>
          <w:b/>
          <w:bCs/>
          <w:sz w:val="24"/>
          <w:szCs w:val="24"/>
        </w:rPr>
        <w:t>Suppl Table 2: Adverse events regardless of relationship to the study dru</w:t>
      </w:r>
      <w:r>
        <w:rPr>
          <w:rFonts w:ascii="Times New Roman" w:hAnsi="Times New Roman" w:cs="Times New Roman"/>
          <w:b/>
          <w:bCs/>
          <w:sz w:val="24"/>
          <w:szCs w:val="24"/>
        </w:rPr>
        <w:t>g</w:t>
      </w:r>
    </w:p>
    <w:sectPr w:rsidR="00D411D2" w:rsidRPr="002C0E8A" w:rsidSect="00764A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8B486" w14:textId="77777777" w:rsidR="005F23B2" w:rsidRDefault="005F23B2" w:rsidP="00861EE1">
      <w:pPr>
        <w:spacing w:after="0" w:line="240" w:lineRule="auto"/>
      </w:pPr>
      <w:r>
        <w:separator/>
      </w:r>
    </w:p>
  </w:endnote>
  <w:endnote w:type="continuationSeparator" w:id="0">
    <w:p w14:paraId="7D977ECF" w14:textId="77777777" w:rsidR="005F23B2" w:rsidRDefault="005F23B2" w:rsidP="0086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FFD3" w14:textId="77777777" w:rsidR="000C2553" w:rsidRDefault="000C2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2650" w14:textId="77777777" w:rsidR="000C2553" w:rsidRDefault="000C2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7825" w14:textId="77777777" w:rsidR="000C2553" w:rsidRDefault="000C2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F9ED9" w14:textId="77777777" w:rsidR="005F23B2" w:rsidRDefault="005F23B2" w:rsidP="00861EE1">
      <w:pPr>
        <w:spacing w:after="0" w:line="240" w:lineRule="auto"/>
      </w:pPr>
      <w:r>
        <w:separator/>
      </w:r>
    </w:p>
  </w:footnote>
  <w:footnote w:type="continuationSeparator" w:id="0">
    <w:p w14:paraId="784C89C5" w14:textId="77777777" w:rsidR="005F23B2" w:rsidRDefault="005F23B2" w:rsidP="0086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3D32" w14:textId="77777777" w:rsidR="000C2553" w:rsidRDefault="000C2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F335" w14:textId="77777777" w:rsidR="000C2553" w:rsidRDefault="000C2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8E359" w14:textId="77777777" w:rsidR="000C2553" w:rsidRDefault="000C2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FD8"/>
    <w:multiLevelType w:val="hybridMultilevel"/>
    <w:tmpl w:val="4D82E41E"/>
    <w:lvl w:ilvl="0" w:tplc="095C69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1BB2"/>
    <w:multiLevelType w:val="hybridMultilevel"/>
    <w:tmpl w:val="C4100F1A"/>
    <w:lvl w:ilvl="0" w:tplc="095C69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E1B26"/>
    <w:multiLevelType w:val="hybridMultilevel"/>
    <w:tmpl w:val="4DD8DE00"/>
    <w:lvl w:ilvl="0" w:tplc="095C69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B7563"/>
    <w:multiLevelType w:val="hybridMultilevel"/>
    <w:tmpl w:val="3E6C0036"/>
    <w:lvl w:ilvl="0" w:tplc="095C69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60038"/>
    <w:multiLevelType w:val="hybridMultilevel"/>
    <w:tmpl w:val="1524831E"/>
    <w:lvl w:ilvl="0" w:tplc="8146CE84">
      <w:start w:val="1"/>
      <w:numFmt w:val="bullet"/>
      <w:lvlText w:val="•"/>
      <w:lvlJc w:val="left"/>
      <w:pPr>
        <w:tabs>
          <w:tab w:val="num" w:pos="720"/>
        </w:tabs>
        <w:ind w:left="720" w:hanging="360"/>
      </w:pPr>
      <w:rPr>
        <w:rFonts w:ascii="Arial" w:hAnsi="Arial" w:hint="default"/>
      </w:rPr>
    </w:lvl>
    <w:lvl w:ilvl="1" w:tplc="5DE6CA48" w:tentative="1">
      <w:start w:val="1"/>
      <w:numFmt w:val="bullet"/>
      <w:lvlText w:val="•"/>
      <w:lvlJc w:val="left"/>
      <w:pPr>
        <w:tabs>
          <w:tab w:val="num" w:pos="1440"/>
        </w:tabs>
        <w:ind w:left="1440" w:hanging="360"/>
      </w:pPr>
      <w:rPr>
        <w:rFonts w:ascii="Arial" w:hAnsi="Arial" w:hint="default"/>
      </w:rPr>
    </w:lvl>
    <w:lvl w:ilvl="2" w:tplc="B08694CA" w:tentative="1">
      <w:start w:val="1"/>
      <w:numFmt w:val="bullet"/>
      <w:lvlText w:val="•"/>
      <w:lvlJc w:val="left"/>
      <w:pPr>
        <w:tabs>
          <w:tab w:val="num" w:pos="2160"/>
        </w:tabs>
        <w:ind w:left="2160" w:hanging="360"/>
      </w:pPr>
      <w:rPr>
        <w:rFonts w:ascii="Arial" w:hAnsi="Arial" w:hint="default"/>
      </w:rPr>
    </w:lvl>
    <w:lvl w:ilvl="3" w:tplc="9156FC62" w:tentative="1">
      <w:start w:val="1"/>
      <w:numFmt w:val="bullet"/>
      <w:lvlText w:val="•"/>
      <w:lvlJc w:val="left"/>
      <w:pPr>
        <w:tabs>
          <w:tab w:val="num" w:pos="2880"/>
        </w:tabs>
        <w:ind w:left="2880" w:hanging="360"/>
      </w:pPr>
      <w:rPr>
        <w:rFonts w:ascii="Arial" w:hAnsi="Arial" w:hint="default"/>
      </w:rPr>
    </w:lvl>
    <w:lvl w:ilvl="4" w:tplc="DCA8B866" w:tentative="1">
      <w:start w:val="1"/>
      <w:numFmt w:val="bullet"/>
      <w:lvlText w:val="•"/>
      <w:lvlJc w:val="left"/>
      <w:pPr>
        <w:tabs>
          <w:tab w:val="num" w:pos="3600"/>
        </w:tabs>
        <w:ind w:left="3600" w:hanging="360"/>
      </w:pPr>
      <w:rPr>
        <w:rFonts w:ascii="Arial" w:hAnsi="Arial" w:hint="default"/>
      </w:rPr>
    </w:lvl>
    <w:lvl w:ilvl="5" w:tplc="C030A924" w:tentative="1">
      <w:start w:val="1"/>
      <w:numFmt w:val="bullet"/>
      <w:lvlText w:val="•"/>
      <w:lvlJc w:val="left"/>
      <w:pPr>
        <w:tabs>
          <w:tab w:val="num" w:pos="4320"/>
        </w:tabs>
        <w:ind w:left="4320" w:hanging="360"/>
      </w:pPr>
      <w:rPr>
        <w:rFonts w:ascii="Arial" w:hAnsi="Arial" w:hint="default"/>
      </w:rPr>
    </w:lvl>
    <w:lvl w:ilvl="6" w:tplc="6CD49794" w:tentative="1">
      <w:start w:val="1"/>
      <w:numFmt w:val="bullet"/>
      <w:lvlText w:val="•"/>
      <w:lvlJc w:val="left"/>
      <w:pPr>
        <w:tabs>
          <w:tab w:val="num" w:pos="5040"/>
        </w:tabs>
        <w:ind w:left="5040" w:hanging="360"/>
      </w:pPr>
      <w:rPr>
        <w:rFonts w:ascii="Arial" w:hAnsi="Arial" w:hint="default"/>
      </w:rPr>
    </w:lvl>
    <w:lvl w:ilvl="7" w:tplc="7A660D56" w:tentative="1">
      <w:start w:val="1"/>
      <w:numFmt w:val="bullet"/>
      <w:lvlText w:val="•"/>
      <w:lvlJc w:val="left"/>
      <w:pPr>
        <w:tabs>
          <w:tab w:val="num" w:pos="5760"/>
        </w:tabs>
        <w:ind w:left="5760" w:hanging="360"/>
      </w:pPr>
      <w:rPr>
        <w:rFonts w:ascii="Arial" w:hAnsi="Arial" w:hint="default"/>
      </w:rPr>
    </w:lvl>
    <w:lvl w:ilvl="8" w:tplc="061CA8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E5350C"/>
    <w:multiLevelType w:val="hybridMultilevel"/>
    <w:tmpl w:val="9FEA5496"/>
    <w:lvl w:ilvl="0" w:tplc="095C69C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B9"/>
    <w:rsid w:val="00002E72"/>
    <w:rsid w:val="000039C5"/>
    <w:rsid w:val="000046F7"/>
    <w:rsid w:val="0000757A"/>
    <w:rsid w:val="0000784F"/>
    <w:rsid w:val="00010297"/>
    <w:rsid w:val="0001293C"/>
    <w:rsid w:val="0001531B"/>
    <w:rsid w:val="00017AF4"/>
    <w:rsid w:val="00022BD2"/>
    <w:rsid w:val="00025C60"/>
    <w:rsid w:val="00035F2D"/>
    <w:rsid w:val="00042967"/>
    <w:rsid w:val="00044014"/>
    <w:rsid w:val="00045E37"/>
    <w:rsid w:val="00047EFB"/>
    <w:rsid w:val="000509FF"/>
    <w:rsid w:val="0005789F"/>
    <w:rsid w:val="00057DA8"/>
    <w:rsid w:val="00057E9D"/>
    <w:rsid w:val="0006056B"/>
    <w:rsid w:val="000612AE"/>
    <w:rsid w:val="0006155C"/>
    <w:rsid w:val="000738B6"/>
    <w:rsid w:val="000824E6"/>
    <w:rsid w:val="0008338D"/>
    <w:rsid w:val="00085D17"/>
    <w:rsid w:val="00086786"/>
    <w:rsid w:val="00087BD2"/>
    <w:rsid w:val="00090FCD"/>
    <w:rsid w:val="0009464F"/>
    <w:rsid w:val="00094CDC"/>
    <w:rsid w:val="00095261"/>
    <w:rsid w:val="000A0B57"/>
    <w:rsid w:val="000A1EA2"/>
    <w:rsid w:val="000A57B3"/>
    <w:rsid w:val="000A79CF"/>
    <w:rsid w:val="000B15A4"/>
    <w:rsid w:val="000B18B4"/>
    <w:rsid w:val="000B195E"/>
    <w:rsid w:val="000B1A85"/>
    <w:rsid w:val="000B7647"/>
    <w:rsid w:val="000C12BF"/>
    <w:rsid w:val="000C1AAB"/>
    <w:rsid w:val="000C2553"/>
    <w:rsid w:val="000C2F23"/>
    <w:rsid w:val="000C5A6E"/>
    <w:rsid w:val="000C6505"/>
    <w:rsid w:val="000C70AB"/>
    <w:rsid w:val="000C7F98"/>
    <w:rsid w:val="000D0420"/>
    <w:rsid w:val="000D0C5B"/>
    <w:rsid w:val="000D136E"/>
    <w:rsid w:val="000D7A7A"/>
    <w:rsid w:val="000E0DA7"/>
    <w:rsid w:val="000E492D"/>
    <w:rsid w:val="000E54CC"/>
    <w:rsid w:val="000E6488"/>
    <w:rsid w:val="000E64CE"/>
    <w:rsid w:val="000E775E"/>
    <w:rsid w:val="000F32B2"/>
    <w:rsid w:val="000F74BF"/>
    <w:rsid w:val="0010033F"/>
    <w:rsid w:val="00100E3B"/>
    <w:rsid w:val="00100E96"/>
    <w:rsid w:val="00101061"/>
    <w:rsid w:val="00102715"/>
    <w:rsid w:val="001049E5"/>
    <w:rsid w:val="001057ED"/>
    <w:rsid w:val="0011071C"/>
    <w:rsid w:val="00113A62"/>
    <w:rsid w:val="00121E53"/>
    <w:rsid w:val="00131120"/>
    <w:rsid w:val="001322D1"/>
    <w:rsid w:val="00133C31"/>
    <w:rsid w:val="001354CD"/>
    <w:rsid w:val="00135950"/>
    <w:rsid w:val="001426FC"/>
    <w:rsid w:val="00143606"/>
    <w:rsid w:val="00146134"/>
    <w:rsid w:val="00147481"/>
    <w:rsid w:val="00147F39"/>
    <w:rsid w:val="001540F8"/>
    <w:rsid w:val="001548A3"/>
    <w:rsid w:val="00156C49"/>
    <w:rsid w:val="0015718C"/>
    <w:rsid w:val="00162140"/>
    <w:rsid w:val="00166230"/>
    <w:rsid w:val="001701A9"/>
    <w:rsid w:val="00171155"/>
    <w:rsid w:val="0017430B"/>
    <w:rsid w:val="00174AD6"/>
    <w:rsid w:val="00175B04"/>
    <w:rsid w:val="00176D82"/>
    <w:rsid w:val="00183C61"/>
    <w:rsid w:val="00186E87"/>
    <w:rsid w:val="0019068D"/>
    <w:rsid w:val="00191B30"/>
    <w:rsid w:val="001959C2"/>
    <w:rsid w:val="001968D8"/>
    <w:rsid w:val="001976BA"/>
    <w:rsid w:val="001A057E"/>
    <w:rsid w:val="001A14CE"/>
    <w:rsid w:val="001A554D"/>
    <w:rsid w:val="001A5E0D"/>
    <w:rsid w:val="001A7078"/>
    <w:rsid w:val="001B1860"/>
    <w:rsid w:val="001B399D"/>
    <w:rsid w:val="001B3BF7"/>
    <w:rsid w:val="001B5090"/>
    <w:rsid w:val="001D0AE9"/>
    <w:rsid w:val="001D1C46"/>
    <w:rsid w:val="001D4E20"/>
    <w:rsid w:val="001D6B51"/>
    <w:rsid w:val="001E0EBA"/>
    <w:rsid w:val="001E10E9"/>
    <w:rsid w:val="001E41B5"/>
    <w:rsid w:val="001E67CF"/>
    <w:rsid w:val="001F19B4"/>
    <w:rsid w:val="001F280E"/>
    <w:rsid w:val="001F6641"/>
    <w:rsid w:val="001F6AC6"/>
    <w:rsid w:val="001F7EF7"/>
    <w:rsid w:val="002008FF"/>
    <w:rsid w:val="0021157F"/>
    <w:rsid w:val="0022056C"/>
    <w:rsid w:val="00222F18"/>
    <w:rsid w:val="00224FB0"/>
    <w:rsid w:val="002275DF"/>
    <w:rsid w:val="0023279B"/>
    <w:rsid w:val="00234BFD"/>
    <w:rsid w:val="00234FC1"/>
    <w:rsid w:val="00235B4B"/>
    <w:rsid w:val="00240924"/>
    <w:rsid w:val="0024206D"/>
    <w:rsid w:val="00243A28"/>
    <w:rsid w:val="00247E73"/>
    <w:rsid w:val="00251580"/>
    <w:rsid w:val="00253D79"/>
    <w:rsid w:val="002577D0"/>
    <w:rsid w:val="00261B91"/>
    <w:rsid w:val="00263EB8"/>
    <w:rsid w:val="00266107"/>
    <w:rsid w:val="00266D66"/>
    <w:rsid w:val="0026731B"/>
    <w:rsid w:val="002675F6"/>
    <w:rsid w:val="00270FAC"/>
    <w:rsid w:val="00271FCB"/>
    <w:rsid w:val="00273258"/>
    <w:rsid w:val="002734D6"/>
    <w:rsid w:val="0027380C"/>
    <w:rsid w:val="002746B0"/>
    <w:rsid w:val="0027644B"/>
    <w:rsid w:val="00276B7A"/>
    <w:rsid w:val="00277D5A"/>
    <w:rsid w:val="00280348"/>
    <w:rsid w:val="002858BF"/>
    <w:rsid w:val="00287DF0"/>
    <w:rsid w:val="00290CFC"/>
    <w:rsid w:val="00291398"/>
    <w:rsid w:val="002948AF"/>
    <w:rsid w:val="002A0C85"/>
    <w:rsid w:val="002A1509"/>
    <w:rsid w:val="002A6632"/>
    <w:rsid w:val="002B09EA"/>
    <w:rsid w:val="002B2546"/>
    <w:rsid w:val="002B33A0"/>
    <w:rsid w:val="002B5E3A"/>
    <w:rsid w:val="002C0E8A"/>
    <w:rsid w:val="002C2E59"/>
    <w:rsid w:val="002C515D"/>
    <w:rsid w:val="002C7916"/>
    <w:rsid w:val="002D0120"/>
    <w:rsid w:val="002D22F1"/>
    <w:rsid w:val="002D44D5"/>
    <w:rsid w:val="002D6FD1"/>
    <w:rsid w:val="002E01AD"/>
    <w:rsid w:val="002E15C4"/>
    <w:rsid w:val="002E595A"/>
    <w:rsid w:val="002E59BA"/>
    <w:rsid w:val="002E64D1"/>
    <w:rsid w:val="002F0370"/>
    <w:rsid w:val="002F176E"/>
    <w:rsid w:val="002F38C0"/>
    <w:rsid w:val="002F45B1"/>
    <w:rsid w:val="002F567E"/>
    <w:rsid w:val="00300C74"/>
    <w:rsid w:val="00303F9C"/>
    <w:rsid w:val="003047B0"/>
    <w:rsid w:val="00304AB8"/>
    <w:rsid w:val="00306CCB"/>
    <w:rsid w:val="00307D93"/>
    <w:rsid w:val="00310539"/>
    <w:rsid w:val="00311431"/>
    <w:rsid w:val="00311A33"/>
    <w:rsid w:val="00314503"/>
    <w:rsid w:val="003148CA"/>
    <w:rsid w:val="0031496A"/>
    <w:rsid w:val="003160B7"/>
    <w:rsid w:val="0032083E"/>
    <w:rsid w:val="00322D94"/>
    <w:rsid w:val="00330E91"/>
    <w:rsid w:val="003419F2"/>
    <w:rsid w:val="00345699"/>
    <w:rsid w:val="00346E23"/>
    <w:rsid w:val="003523C2"/>
    <w:rsid w:val="00357400"/>
    <w:rsid w:val="00357804"/>
    <w:rsid w:val="0036372D"/>
    <w:rsid w:val="00363949"/>
    <w:rsid w:val="00363FBA"/>
    <w:rsid w:val="00364665"/>
    <w:rsid w:val="00365ED1"/>
    <w:rsid w:val="00372B1A"/>
    <w:rsid w:val="0038061E"/>
    <w:rsid w:val="0039017D"/>
    <w:rsid w:val="00394BCD"/>
    <w:rsid w:val="00394C13"/>
    <w:rsid w:val="003A2DD9"/>
    <w:rsid w:val="003A4676"/>
    <w:rsid w:val="003A467A"/>
    <w:rsid w:val="003A50C6"/>
    <w:rsid w:val="003A5499"/>
    <w:rsid w:val="003A6851"/>
    <w:rsid w:val="003B03BC"/>
    <w:rsid w:val="003B3B88"/>
    <w:rsid w:val="003B5784"/>
    <w:rsid w:val="003B762C"/>
    <w:rsid w:val="003C0504"/>
    <w:rsid w:val="003C22FE"/>
    <w:rsid w:val="003C4DEF"/>
    <w:rsid w:val="003C5CAF"/>
    <w:rsid w:val="003D6022"/>
    <w:rsid w:val="003D6F01"/>
    <w:rsid w:val="003D79BB"/>
    <w:rsid w:val="003D7FF3"/>
    <w:rsid w:val="003E13F8"/>
    <w:rsid w:val="003E1884"/>
    <w:rsid w:val="003E3668"/>
    <w:rsid w:val="003E3BFA"/>
    <w:rsid w:val="003E49D5"/>
    <w:rsid w:val="003E5508"/>
    <w:rsid w:val="003F0C50"/>
    <w:rsid w:val="003F3869"/>
    <w:rsid w:val="003F47DF"/>
    <w:rsid w:val="003F648E"/>
    <w:rsid w:val="003F778B"/>
    <w:rsid w:val="0040028E"/>
    <w:rsid w:val="00401021"/>
    <w:rsid w:val="00401975"/>
    <w:rsid w:val="004048C5"/>
    <w:rsid w:val="00407E18"/>
    <w:rsid w:val="00411346"/>
    <w:rsid w:val="004116D0"/>
    <w:rsid w:val="0041359A"/>
    <w:rsid w:val="00413B35"/>
    <w:rsid w:val="00414677"/>
    <w:rsid w:val="00416B52"/>
    <w:rsid w:val="00417144"/>
    <w:rsid w:val="00422433"/>
    <w:rsid w:val="0042545A"/>
    <w:rsid w:val="00425AB4"/>
    <w:rsid w:val="004339C3"/>
    <w:rsid w:val="00435208"/>
    <w:rsid w:val="00437B2D"/>
    <w:rsid w:val="004418E3"/>
    <w:rsid w:val="004468AE"/>
    <w:rsid w:val="00446F5E"/>
    <w:rsid w:val="00451367"/>
    <w:rsid w:val="004519AC"/>
    <w:rsid w:val="00453CCA"/>
    <w:rsid w:val="0045517E"/>
    <w:rsid w:val="00457160"/>
    <w:rsid w:val="00462D27"/>
    <w:rsid w:val="0046429D"/>
    <w:rsid w:val="0047331A"/>
    <w:rsid w:val="00473796"/>
    <w:rsid w:val="004739C5"/>
    <w:rsid w:val="0047456E"/>
    <w:rsid w:val="00480325"/>
    <w:rsid w:val="00482EAC"/>
    <w:rsid w:val="00484F72"/>
    <w:rsid w:val="00485D71"/>
    <w:rsid w:val="0048755E"/>
    <w:rsid w:val="00487C0C"/>
    <w:rsid w:val="00490A5F"/>
    <w:rsid w:val="00492272"/>
    <w:rsid w:val="00492FCB"/>
    <w:rsid w:val="00495F02"/>
    <w:rsid w:val="004A0F11"/>
    <w:rsid w:val="004A2172"/>
    <w:rsid w:val="004A2214"/>
    <w:rsid w:val="004A7626"/>
    <w:rsid w:val="004A7F64"/>
    <w:rsid w:val="004B2C53"/>
    <w:rsid w:val="004B65B0"/>
    <w:rsid w:val="004C00B5"/>
    <w:rsid w:val="004C11D0"/>
    <w:rsid w:val="004C30A5"/>
    <w:rsid w:val="004C4723"/>
    <w:rsid w:val="004C7CF1"/>
    <w:rsid w:val="004D022F"/>
    <w:rsid w:val="004D0E2C"/>
    <w:rsid w:val="004D0E76"/>
    <w:rsid w:val="004D0F99"/>
    <w:rsid w:val="004D2820"/>
    <w:rsid w:val="004D2A88"/>
    <w:rsid w:val="004D2B3F"/>
    <w:rsid w:val="004D4D9D"/>
    <w:rsid w:val="004E25C3"/>
    <w:rsid w:val="004E486B"/>
    <w:rsid w:val="004F3ADA"/>
    <w:rsid w:val="004F46E6"/>
    <w:rsid w:val="005063E7"/>
    <w:rsid w:val="00507D7E"/>
    <w:rsid w:val="00510A76"/>
    <w:rsid w:val="005122FC"/>
    <w:rsid w:val="005122FD"/>
    <w:rsid w:val="00512DFE"/>
    <w:rsid w:val="005137C8"/>
    <w:rsid w:val="00514799"/>
    <w:rsid w:val="005152C8"/>
    <w:rsid w:val="005215F3"/>
    <w:rsid w:val="00525665"/>
    <w:rsid w:val="005260C3"/>
    <w:rsid w:val="00526784"/>
    <w:rsid w:val="00530E5E"/>
    <w:rsid w:val="00531BD0"/>
    <w:rsid w:val="005324F5"/>
    <w:rsid w:val="00534500"/>
    <w:rsid w:val="00535BFD"/>
    <w:rsid w:val="005410EC"/>
    <w:rsid w:val="00544131"/>
    <w:rsid w:val="0054451B"/>
    <w:rsid w:val="00544C9F"/>
    <w:rsid w:val="00553877"/>
    <w:rsid w:val="00553D37"/>
    <w:rsid w:val="00554C20"/>
    <w:rsid w:val="005562D8"/>
    <w:rsid w:val="005579B1"/>
    <w:rsid w:val="00560A99"/>
    <w:rsid w:val="0056164F"/>
    <w:rsid w:val="00561C5F"/>
    <w:rsid w:val="0056268C"/>
    <w:rsid w:val="00567F9A"/>
    <w:rsid w:val="00574048"/>
    <w:rsid w:val="005757B9"/>
    <w:rsid w:val="00576820"/>
    <w:rsid w:val="00577B84"/>
    <w:rsid w:val="00581887"/>
    <w:rsid w:val="00582F44"/>
    <w:rsid w:val="005845D7"/>
    <w:rsid w:val="0058729B"/>
    <w:rsid w:val="0058730F"/>
    <w:rsid w:val="005908A4"/>
    <w:rsid w:val="0059558A"/>
    <w:rsid w:val="005A2A8B"/>
    <w:rsid w:val="005A4F3F"/>
    <w:rsid w:val="005A4FCD"/>
    <w:rsid w:val="005A5D4F"/>
    <w:rsid w:val="005A5DB1"/>
    <w:rsid w:val="005B0CE1"/>
    <w:rsid w:val="005B3720"/>
    <w:rsid w:val="005B4834"/>
    <w:rsid w:val="005C13F3"/>
    <w:rsid w:val="005C2509"/>
    <w:rsid w:val="005C3598"/>
    <w:rsid w:val="005D485D"/>
    <w:rsid w:val="005E35BA"/>
    <w:rsid w:val="005E47E1"/>
    <w:rsid w:val="005E6F48"/>
    <w:rsid w:val="005F094B"/>
    <w:rsid w:val="005F1A35"/>
    <w:rsid w:val="005F23B2"/>
    <w:rsid w:val="005F42A7"/>
    <w:rsid w:val="005F49D1"/>
    <w:rsid w:val="00602239"/>
    <w:rsid w:val="00604325"/>
    <w:rsid w:val="00610A37"/>
    <w:rsid w:val="006200B0"/>
    <w:rsid w:val="0062452D"/>
    <w:rsid w:val="00625029"/>
    <w:rsid w:val="006317D0"/>
    <w:rsid w:val="00636EC2"/>
    <w:rsid w:val="00637D0F"/>
    <w:rsid w:val="00641E01"/>
    <w:rsid w:val="006429EB"/>
    <w:rsid w:val="00642C3D"/>
    <w:rsid w:val="006439BA"/>
    <w:rsid w:val="00643A2A"/>
    <w:rsid w:val="00644974"/>
    <w:rsid w:val="00646CF8"/>
    <w:rsid w:val="0064770E"/>
    <w:rsid w:val="00651126"/>
    <w:rsid w:val="00661793"/>
    <w:rsid w:val="00661993"/>
    <w:rsid w:val="0066431C"/>
    <w:rsid w:val="006658CE"/>
    <w:rsid w:val="00672252"/>
    <w:rsid w:val="00672C7A"/>
    <w:rsid w:val="0067403D"/>
    <w:rsid w:val="00675DA8"/>
    <w:rsid w:val="00677AA7"/>
    <w:rsid w:val="006829AB"/>
    <w:rsid w:val="00684E4E"/>
    <w:rsid w:val="00690532"/>
    <w:rsid w:val="00691DCF"/>
    <w:rsid w:val="0069209A"/>
    <w:rsid w:val="00695268"/>
    <w:rsid w:val="0069635B"/>
    <w:rsid w:val="006A120D"/>
    <w:rsid w:val="006A1811"/>
    <w:rsid w:val="006A5E50"/>
    <w:rsid w:val="006B1CA2"/>
    <w:rsid w:val="006B2155"/>
    <w:rsid w:val="006D1CF9"/>
    <w:rsid w:val="006D2A97"/>
    <w:rsid w:val="006D70C5"/>
    <w:rsid w:val="006D746C"/>
    <w:rsid w:val="006E0F7E"/>
    <w:rsid w:val="006E1E92"/>
    <w:rsid w:val="006F0448"/>
    <w:rsid w:val="006F59E1"/>
    <w:rsid w:val="006F7BEE"/>
    <w:rsid w:val="00700075"/>
    <w:rsid w:val="007035EF"/>
    <w:rsid w:val="0070544E"/>
    <w:rsid w:val="00707132"/>
    <w:rsid w:val="00712735"/>
    <w:rsid w:val="00713259"/>
    <w:rsid w:val="00717FEE"/>
    <w:rsid w:val="00720190"/>
    <w:rsid w:val="007237A1"/>
    <w:rsid w:val="00725225"/>
    <w:rsid w:val="007256EF"/>
    <w:rsid w:val="00730EC2"/>
    <w:rsid w:val="007311A3"/>
    <w:rsid w:val="007345FE"/>
    <w:rsid w:val="00734B61"/>
    <w:rsid w:val="007423D7"/>
    <w:rsid w:val="00742575"/>
    <w:rsid w:val="00744CE6"/>
    <w:rsid w:val="007450DF"/>
    <w:rsid w:val="00751D3A"/>
    <w:rsid w:val="007526F5"/>
    <w:rsid w:val="0075359C"/>
    <w:rsid w:val="0076152C"/>
    <w:rsid w:val="0076170B"/>
    <w:rsid w:val="00764A55"/>
    <w:rsid w:val="00766AA3"/>
    <w:rsid w:val="00767083"/>
    <w:rsid w:val="007672BB"/>
    <w:rsid w:val="007725F2"/>
    <w:rsid w:val="00774844"/>
    <w:rsid w:val="0077521F"/>
    <w:rsid w:val="0077566F"/>
    <w:rsid w:val="00781D7E"/>
    <w:rsid w:val="00782EE1"/>
    <w:rsid w:val="007836C6"/>
    <w:rsid w:val="00786B98"/>
    <w:rsid w:val="00787C6B"/>
    <w:rsid w:val="007909FB"/>
    <w:rsid w:val="00795603"/>
    <w:rsid w:val="007970FA"/>
    <w:rsid w:val="007A13FA"/>
    <w:rsid w:val="007A1CB1"/>
    <w:rsid w:val="007A68E8"/>
    <w:rsid w:val="007B337D"/>
    <w:rsid w:val="007B3C8A"/>
    <w:rsid w:val="007B4690"/>
    <w:rsid w:val="007C37DE"/>
    <w:rsid w:val="007D0758"/>
    <w:rsid w:val="007D345A"/>
    <w:rsid w:val="007D4286"/>
    <w:rsid w:val="007E05E9"/>
    <w:rsid w:val="007E0873"/>
    <w:rsid w:val="007E34BD"/>
    <w:rsid w:val="007E6AC0"/>
    <w:rsid w:val="007F7481"/>
    <w:rsid w:val="0080035E"/>
    <w:rsid w:val="00800E68"/>
    <w:rsid w:val="00801230"/>
    <w:rsid w:val="0080370F"/>
    <w:rsid w:val="008042D9"/>
    <w:rsid w:val="00805944"/>
    <w:rsid w:val="00805B53"/>
    <w:rsid w:val="008067E6"/>
    <w:rsid w:val="00807DDC"/>
    <w:rsid w:val="00811A21"/>
    <w:rsid w:val="00813F0B"/>
    <w:rsid w:val="0081415A"/>
    <w:rsid w:val="00815372"/>
    <w:rsid w:val="00815F62"/>
    <w:rsid w:val="00816129"/>
    <w:rsid w:val="0081625C"/>
    <w:rsid w:val="008167E1"/>
    <w:rsid w:val="008232DF"/>
    <w:rsid w:val="00825417"/>
    <w:rsid w:val="00840B77"/>
    <w:rsid w:val="00841EEF"/>
    <w:rsid w:val="0085174C"/>
    <w:rsid w:val="00851E32"/>
    <w:rsid w:val="00853A41"/>
    <w:rsid w:val="008614E2"/>
    <w:rsid w:val="008618A0"/>
    <w:rsid w:val="00861EE1"/>
    <w:rsid w:val="00862893"/>
    <w:rsid w:val="0086295D"/>
    <w:rsid w:val="008716A7"/>
    <w:rsid w:val="00873332"/>
    <w:rsid w:val="008775E7"/>
    <w:rsid w:val="00883A1B"/>
    <w:rsid w:val="008861CA"/>
    <w:rsid w:val="00886B57"/>
    <w:rsid w:val="0089251D"/>
    <w:rsid w:val="00895979"/>
    <w:rsid w:val="00897F60"/>
    <w:rsid w:val="008A3BED"/>
    <w:rsid w:val="008A4804"/>
    <w:rsid w:val="008B29BC"/>
    <w:rsid w:val="008B431C"/>
    <w:rsid w:val="008B525D"/>
    <w:rsid w:val="008C17F7"/>
    <w:rsid w:val="008C1AF4"/>
    <w:rsid w:val="008C5915"/>
    <w:rsid w:val="008C7B4B"/>
    <w:rsid w:val="008D18AC"/>
    <w:rsid w:val="008D1DFF"/>
    <w:rsid w:val="008D21DA"/>
    <w:rsid w:val="008D2F7A"/>
    <w:rsid w:val="008D3E67"/>
    <w:rsid w:val="008D6FBF"/>
    <w:rsid w:val="008D7F1F"/>
    <w:rsid w:val="008E2CDA"/>
    <w:rsid w:val="008E6489"/>
    <w:rsid w:val="008F09B4"/>
    <w:rsid w:val="008F1176"/>
    <w:rsid w:val="008F272E"/>
    <w:rsid w:val="008F5857"/>
    <w:rsid w:val="00906F42"/>
    <w:rsid w:val="009154FB"/>
    <w:rsid w:val="00916794"/>
    <w:rsid w:val="00920FDC"/>
    <w:rsid w:val="00921FC4"/>
    <w:rsid w:val="0092647E"/>
    <w:rsid w:val="0093025C"/>
    <w:rsid w:val="009322CF"/>
    <w:rsid w:val="00933642"/>
    <w:rsid w:val="00936397"/>
    <w:rsid w:val="00940CEB"/>
    <w:rsid w:val="00941420"/>
    <w:rsid w:val="00943DB3"/>
    <w:rsid w:val="009446EE"/>
    <w:rsid w:val="00944949"/>
    <w:rsid w:val="009464E9"/>
    <w:rsid w:val="0095238B"/>
    <w:rsid w:val="00952C8C"/>
    <w:rsid w:val="00957CD6"/>
    <w:rsid w:val="00960EA0"/>
    <w:rsid w:val="00961D3F"/>
    <w:rsid w:val="00962DF4"/>
    <w:rsid w:val="00964983"/>
    <w:rsid w:val="009664A3"/>
    <w:rsid w:val="009721F0"/>
    <w:rsid w:val="009757BA"/>
    <w:rsid w:val="009766A3"/>
    <w:rsid w:val="00980DB2"/>
    <w:rsid w:val="00982CA1"/>
    <w:rsid w:val="00983E35"/>
    <w:rsid w:val="009844DE"/>
    <w:rsid w:val="009848E9"/>
    <w:rsid w:val="0099200B"/>
    <w:rsid w:val="00992080"/>
    <w:rsid w:val="009952E1"/>
    <w:rsid w:val="009954FB"/>
    <w:rsid w:val="009A17A8"/>
    <w:rsid w:val="009A1FB4"/>
    <w:rsid w:val="009A587B"/>
    <w:rsid w:val="009A6242"/>
    <w:rsid w:val="009A79E2"/>
    <w:rsid w:val="009B2830"/>
    <w:rsid w:val="009B294F"/>
    <w:rsid w:val="009B4DBB"/>
    <w:rsid w:val="009B668B"/>
    <w:rsid w:val="009B6FDE"/>
    <w:rsid w:val="009B7723"/>
    <w:rsid w:val="009C06AF"/>
    <w:rsid w:val="009C4EBA"/>
    <w:rsid w:val="009C77E7"/>
    <w:rsid w:val="009D0D64"/>
    <w:rsid w:val="009D2332"/>
    <w:rsid w:val="009E014A"/>
    <w:rsid w:val="009E28C5"/>
    <w:rsid w:val="009E35A9"/>
    <w:rsid w:val="009E4086"/>
    <w:rsid w:val="009E58BD"/>
    <w:rsid w:val="009F02E4"/>
    <w:rsid w:val="009F2EB8"/>
    <w:rsid w:val="009F4C15"/>
    <w:rsid w:val="00A005B1"/>
    <w:rsid w:val="00A00693"/>
    <w:rsid w:val="00A006F0"/>
    <w:rsid w:val="00A03F4D"/>
    <w:rsid w:val="00A10195"/>
    <w:rsid w:val="00A10D9E"/>
    <w:rsid w:val="00A12112"/>
    <w:rsid w:val="00A129BD"/>
    <w:rsid w:val="00A1503A"/>
    <w:rsid w:val="00A15EC7"/>
    <w:rsid w:val="00A1672B"/>
    <w:rsid w:val="00A208E0"/>
    <w:rsid w:val="00A21F7C"/>
    <w:rsid w:val="00A23D3B"/>
    <w:rsid w:val="00A26A26"/>
    <w:rsid w:val="00A3193E"/>
    <w:rsid w:val="00A32A6A"/>
    <w:rsid w:val="00A35A37"/>
    <w:rsid w:val="00A35AB1"/>
    <w:rsid w:val="00A3683A"/>
    <w:rsid w:val="00A40C14"/>
    <w:rsid w:val="00A433B1"/>
    <w:rsid w:val="00A437AB"/>
    <w:rsid w:val="00A456FE"/>
    <w:rsid w:val="00A46BB0"/>
    <w:rsid w:val="00A479EB"/>
    <w:rsid w:val="00A50A42"/>
    <w:rsid w:val="00A51825"/>
    <w:rsid w:val="00A52269"/>
    <w:rsid w:val="00A52B58"/>
    <w:rsid w:val="00A52CE3"/>
    <w:rsid w:val="00A52DC1"/>
    <w:rsid w:val="00A538A1"/>
    <w:rsid w:val="00A55836"/>
    <w:rsid w:val="00A55D80"/>
    <w:rsid w:val="00A57F00"/>
    <w:rsid w:val="00A60CCF"/>
    <w:rsid w:val="00A64CAE"/>
    <w:rsid w:val="00A70772"/>
    <w:rsid w:val="00A71765"/>
    <w:rsid w:val="00A811AC"/>
    <w:rsid w:val="00A8534A"/>
    <w:rsid w:val="00A906E5"/>
    <w:rsid w:val="00A9185A"/>
    <w:rsid w:val="00A963C4"/>
    <w:rsid w:val="00AA0C20"/>
    <w:rsid w:val="00AA1D6E"/>
    <w:rsid w:val="00AA3390"/>
    <w:rsid w:val="00AA4D58"/>
    <w:rsid w:val="00AA559C"/>
    <w:rsid w:val="00AA7FA1"/>
    <w:rsid w:val="00AB2606"/>
    <w:rsid w:val="00AB35C1"/>
    <w:rsid w:val="00AB72AC"/>
    <w:rsid w:val="00AC02D2"/>
    <w:rsid w:val="00AC1B67"/>
    <w:rsid w:val="00AC2A01"/>
    <w:rsid w:val="00AC2B6D"/>
    <w:rsid w:val="00AC3DDF"/>
    <w:rsid w:val="00AC5D8E"/>
    <w:rsid w:val="00AD130F"/>
    <w:rsid w:val="00AD2B68"/>
    <w:rsid w:val="00AD3F2E"/>
    <w:rsid w:val="00AD6AEA"/>
    <w:rsid w:val="00AE1D98"/>
    <w:rsid w:val="00AE2D16"/>
    <w:rsid w:val="00AE3319"/>
    <w:rsid w:val="00AE36B8"/>
    <w:rsid w:val="00AE38E4"/>
    <w:rsid w:val="00AE45C2"/>
    <w:rsid w:val="00AE641B"/>
    <w:rsid w:val="00AF13B9"/>
    <w:rsid w:val="00AF15F4"/>
    <w:rsid w:val="00AF5460"/>
    <w:rsid w:val="00AF5BA6"/>
    <w:rsid w:val="00AF5C51"/>
    <w:rsid w:val="00B0029F"/>
    <w:rsid w:val="00B00F87"/>
    <w:rsid w:val="00B051C6"/>
    <w:rsid w:val="00B1171D"/>
    <w:rsid w:val="00B120C3"/>
    <w:rsid w:val="00B13DFB"/>
    <w:rsid w:val="00B15C77"/>
    <w:rsid w:val="00B22B7F"/>
    <w:rsid w:val="00B25270"/>
    <w:rsid w:val="00B32A08"/>
    <w:rsid w:val="00B32FFB"/>
    <w:rsid w:val="00B37F70"/>
    <w:rsid w:val="00B40645"/>
    <w:rsid w:val="00B40BF9"/>
    <w:rsid w:val="00B42D07"/>
    <w:rsid w:val="00B4535A"/>
    <w:rsid w:val="00B4555C"/>
    <w:rsid w:val="00B52714"/>
    <w:rsid w:val="00B55A12"/>
    <w:rsid w:val="00B64822"/>
    <w:rsid w:val="00B6510E"/>
    <w:rsid w:val="00B71FC7"/>
    <w:rsid w:val="00B72802"/>
    <w:rsid w:val="00B73382"/>
    <w:rsid w:val="00B75B88"/>
    <w:rsid w:val="00B766A0"/>
    <w:rsid w:val="00B8025E"/>
    <w:rsid w:val="00B84689"/>
    <w:rsid w:val="00B87D17"/>
    <w:rsid w:val="00B93754"/>
    <w:rsid w:val="00BA0C1F"/>
    <w:rsid w:val="00BB003F"/>
    <w:rsid w:val="00BB1121"/>
    <w:rsid w:val="00BB1604"/>
    <w:rsid w:val="00BB1C2C"/>
    <w:rsid w:val="00BB1E09"/>
    <w:rsid w:val="00BB56CB"/>
    <w:rsid w:val="00BB7993"/>
    <w:rsid w:val="00BC0E41"/>
    <w:rsid w:val="00BC2FF7"/>
    <w:rsid w:val="00BC3635"/>
    <w:rsid w:val="00BD0FEE"/>
    <w:rsid w:val="00BD392C"/>
    <w:rsid w:val="00BD66F1"/>
    <w:rsid w:val="00BD69F1"/>
    <w:rsid w:val="00BE03F8"/>
    <w:rsid w:val="00BE1BB3"/>
    <w:rsid w:val="00BE3837"/>
    <w:rsid w:val="00BE4AAB"/>
    <w:rsid w:val="00BE5321"/>
    <w:rsid w:val="00BE7E3A"/>
    <w:rsid w:val="00BF0018"/>
    <w:rsid w:val="00BF03E0"/>
    <w:rsid w:val="00BF0A3D"/>
    <w:rsid w:val="00BF0F98"/>
    <w:rsid w:val="00C00CDA"/>
    <w:rsid w:val="00C02A1D"/>
    <w:rsid w:val="00C07170"/>
    <w:rsid w:val="00C07DCA"/>
    <w:rsid w:val="00C14062"/>
    <w:rsid w:val="00C201B9"/>
    <w:rsid w:val="00C22008"/>
    <w:rsid w:val="00C22F0D"/>
    <w:rsid w:val="00C3259E"/>
    <w:rsid w:val="00C404FD"/>
    <w:rsid w:val="00C42FBE"/>
    <w:rsid w:val="00C434AD"/>
    <w:rsid w:val="00C51F0F"/>
    <w:rsid w:val="00C529DD"/>
    <w:rsid w:val="00C54E60"/>
    <w:rsid w:val="00C5539E"/>
    <w:rsid w:val="00C604D7"/>
    <w:rsid w:val="00C60608"/>
    <w:rsid w:val="00C62CA0"/>
    <w:rsid w:val="00C673EB"/>
    <w:rsid w:val="00C70344"/>
    <w:rsid w:val="00C70CD8"/>
    <w:rsid w:val="00C73005"/>
    <w:rsid w:val="00C74F64"/>
    <w:rsid w:val="00C7701D"/>
    <w:rsid w:val="00C810E0"/>
    <w:rsid w:val="00C82886"/>
    <w:rsid w:val="00C830DA"/>
    <w:rsid w:val="00C87008"/>
    <w:rsid w:val="00C968AA"/>
    <w:rsid w:val="00CA6CA9"/>
    <w:rsid w:val="00CB309F"/>
    <w:rsid w:val="00CB4240"/>
    <w:rsid w:val="00CB4CED"/>
    <w:rsid w:val="00CB679E"/>
    <w:rsid w:val="00CD050D"/>
    <w:rsid w:val="00CD0835"/>
    <w:rsid w:val="00CD4B52"/>
    <w:rsid w:val="00CD4F97"/>
    <w:rsid w:val="00CD5137"/>
    <w:rsid w:val="00CD52D0"/>
    <w:rsid w:val="00CD5570"/>
    <w:rsid w:val="00CE0CBB"/>
    <w:rsid w:val="00CE18FA"/>
    <w:rsid w:val="00CF614A"/>
    <w:rsid w:val="00D07B16"/>
    <w:rsid w:val="00D113FA"/>
    <w:rsid w:val="00D15ECF"/>
    <w:rsid w:val="00D20487"/>
    <w:rsid w:val="00D21A50"/>
    <w:rsid w:val="00D2391E"/>
    <w:rsid w:val="00D25F23"/>
    <w:rsid w:val="00D2705D"/>
    <w:rsid w:val="00D27BBC"/>
    <w:rsid w:val="00D319A8"/>
    <w:rsid w:val="00D34BEA"/>
    <w:rsid w:val="00D3515D"/>
    <w:rsid w:val="00D37FE7"/>
    <w:rsid w:val="00D411D2"/>
    <w:rsid w:val="00D415E9"/>
    <w:rsid w:val="00D41650"/>
    <w:rsid w:val="00D47E00"/>
    <w:rsid w:val="00D507D5"/>
    <w:rsid w:val="00D5210D"/>
    <w:rsid w:val="00D54ECF"/>
    <w:rsid w:val="00D628F3"/>
    <w:rsid w:val="00D650E3"/>
    <w:rsid w:val="00D65D02"/>
    <w:rsid w:val="00D65E73"/>
    <w:rsid w:val="00D663B5"/>
    <w:rsid w:val="00D67190"/>
    <w:rsid w:val="00D67F0B"/>
    <w:rsid w:val="00D71473"/>
    <w:rsid w:val="00D72353"/>
    <w:rsid w:val="00D80FCA"/>
    <w:rsid w:val="00D85E68"/>
    <w:rsid w:val="00D91492"/>
    <w:rsid w:val="00D9186C"/>
    <w:rsid w:val="00D93217"/>
    <w:rsid w:val="00DA370B"/>
    <w:rsid w:val="00DA3FD6"/>
    <w:rsid w:val="00DA4668"/>
    <w:rsid w:val="00DA4AC3"/>
    <w:rsid w:val="00DA6345"/>
    <w:rsid w:val="00DA6631"/>
    <w:rsid w:val="00DA771B"/>
    <w:rsid w:val="00DB044D"/>
    <w:rsid w:val="00DB061D"/>
    <w:rsid w:val="00DB463F"/>
    <w:rsid w:val="00DB4888"/>
    <w:rsid w:val="00DB5346"/>
    <w:rsid w:val="00DC2450"/>
    <w:rsid w:val="00DC2C5E"/>
    <w:rsid w:val="00DD2876"/>
    <w:rsid w:val="00DE0758"/>
    <w:rsid w:val="00DE15EC"/>
    <w:rsid w:val="00DE413A"/>
    <w:rsid w:val="00DE67E7"/>
    <w:rsid w:val="00DE7B36"/>
    <w:rsid w:val="00DF06C2"/>
    <w:rsid w:val="00DF5847"/>
    <w:rsid w:val="00DF6DCA"/>
    <w:rsid w:val="00DF787E"/>
    <w:rsid w:val="00E00EDF"/>
    <w:rsid w:val="00E01E8E"/>
    <w:rsid w:val="00E044F8"/>
    <w:rsid w:val="00E07AAB"/>
    <w:rsid w:val="00E2041C"/>
    <w:rsid w:val="00E269EE"/>
    <w:rsid w:val="00E26C95"/>
    <w:rsid w:val="00E32789"/>
    <w:rsid w:val="00E34A04"/>
    <w:rsid w:val="00E41F26"/>
    <w:rsid w:val="00E42ECA"/>
    <w:rsid w:val="00E437EE"/>
    <w:rsid w:val="00E44205"/>
    <w:rsid w:val="00E626C1"/>
    <w:rsid w:val="00E64171"/>
    <w:rsid w:val="00E70851"/>
    <w:rsid w:val="00E7292B"/>
    <w:rsid w:val="00E7563D"/>
    <w:rsid w:val="00E77825"/>
    <w:rsid w:val="00E8051F"/>
    <w:rsid w:val="00E82497"/>
    <w:rsid w:val="00E915AA"/>
    <w:rsid w:val="00E93B53"/>
    <w:rsid w:val="00E96F01"/>
    <w:rsid w:val="00EA0E60"/>
    <w:rsid w:val="00EA0FA4"/>
    <w:rsid w:val="00EB30C9"/>
    <w:rsid w:val="00EB3CBA"/>
    <w:rsid w:val="00EB4444"/>
    <w:rsid w:val="00EB4BD8"/>
    <w:rsid w:val="00EB5F21"/>
    <w:rsid w:val="00EC1E70"/>
    <w:rsid w:val="00EC7D3C"/>
    <w:rsid w:val="00ED139E"/>
    <w:rsid w:val="00ED1D1E"/>
    <w:rsid w:val="00ED1EC9"/>
    <w:rsid w:val="00ED20B6"/>
    <w:rsid w:val="00ED54B8"/>
    <w:rsid w:val="00EE31DF"/>
    <w:rsid w:val="00EE3E7B"/>
    <w:rsid w:val="00EE7370"/>
    <w:rsid w:val="00EE7D5E"/>
    <w:rsid w:val="00EF15F5"/>
    <w:rsid w:val="00EF4D03"/>
    <w:rsid w:val="00F00F26"/>
    <w:rsid w:val="00F01418"/>
    <w:rsid w:val="00F05C6E"/>
    <w:rsid w:val="00F05CC5"/>
    <w:rsid w:val="00F119E5"/>
    <w:rsid w:val="00F11AA5"/>
    <w:rsid w:val="00F1422F"/>
    <w:rsid w:val="00F14F14"/>
    <w:rsid w:val="00F20E19"/>
    <w:rsid w:val="00F22244"/>
    <w:rsid w:val="00F23FD9"/>
    <w:rsid w:val="00F24577"/>
    <w:rsid w:val="00F2707D"/>
    <w:rsid w:val="00F3081A"/>
    <w:rsid w:val="00F31F85"/>
    <w:rsid w:val="00F33965"/>
    <w:rsid w:val="00F413BB"/>
    <w:rsid w:val="00F4242F"/>
    <w:rsid w:val="00F42C2B"/>
    <w:rsid w:val="00F46117"/>
    <w:rsid w:val="00F46D44"/>
    <w:rsid w:val="00F512C1"/>
    <w:rsid w:val="00F5369A"/>
    <w:rsid w:val="00F61C22"/>
    <w:rsid w:val="00F62C76"/>
    <w:rsid w:val="00F67345"/>
    <w:rsid w:val="00F728C3"/>
    <w:rsid w:val="00F73A78"/>
    <w:rsid w:val="00F75266"/>
    <w:rsid w:val="00F76AE5"/>
    <w:rsid w:val="00F8329F"/>
    <w:rsid w:val="00F86434"/>
    <w:rsid w:val="00F91DFE"/>
    <w:rsid w:val="00F948B2"/>
    <w:rsid w:val="00F94CF8"/>
    <w:rsid w:val="00F975D8"/>
    <w:rsid w:val="00FA6F04"/>
    <w:rsid w:val="00FB11F5"/>
    <w:rsid w:val="00FB2D8D"/>
    <w:rsid w:val="00FB4A52"/>
    <w:rsid w:val="00FC02F4"/>
    <w:rsid w:val="00FC0E3D"/>
    <w:rsid w:val="00FC28D3"/>
    <w:rsid w:val="00FD1A13"/>
    <w:rsid w:val="00FD2508"/>
    <w:rsid w:val="00FD47B8"/>
    <w:rsid w:val="00FD4B19"/>
    <w:rsid w:val="00FD59CF"/>
    <w:rsid w:val="00FD77E4"/>
    <w:rsid w:val="00FE100D"/>
    <w:rsid w:val="00FE19E1"/>
    <w:rsid w:val="00FE47F9"/>
    <w:rsid w:val="00FE6956"/>
    <w:rsid w:val="00FF2CE1"/>
    <w:rsid w:val="00FF5FC9"/>
    <w:rsid w:val="00FF63EE"/>
    <w:rsid w:val="00FF6D42"/>
    <w:rsid w:val="00FF74BF"/>
    <w:rsid w:val="00FF7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877C6"/>
  <w15:chartTrackingRefBased/>
  <w15:docId w15:val="{34F85BD4-2EBA-4A2F-886D-8590A906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6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64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67A"/>
    <w:rPr>
      <w:color w:val="0563C1" w:themeColor="hyperlink"/>
      <w:u w:val="single"/>
    </w:rPr>
  </w:style>
  <w:style w:type="character" w:styleId="CommentReference">
    <w:name w:val="annotation reference"/>
    <w:basedOn w:val="DefaultParagraphFont"/>
    <w:uiPriority w:val="99"/>
    <w:semiHidden/>
    <w:unhideWhenUsed/>
    <w:rsid w:val="003A467A"/>
    <w:rPr>
      <w:sz w:val="16"/>
      <w:szCs w:val="16"/>
    </w:rPr>
  </w:style>
  <w:style w:type="paragraph" w:styleId="CommentText">
    <w:name w:val="annotation text"/>
    <w:basedOn w:val="Normal"/>
    <w:link w:val="CommentTextChar"/>
    <w:uiPriority w:val="99"/>
    <w:unhideWhenUsed/>
    <w:rsid w:val="003A467A"/>
    <w:pPr>
      <w:spacing w:line="240" w:lineRule="auto"/>
    </w:pPr>
  </w:style>
  <w:style w:type="character" w:customStyle="1" w:styleId="CommentTextChar">
    <w:name w:val="Comment Text Char"/>
    <w:basedOn w:val="DefaultParagraphFont"/>
    <w:link w:val="CommentText"/>
    <w:uiPriority w:val="99"/>
    <w:rsid w:val="003A467A"/>
  </w:style>
  <w:style w:type="paragraph" w:styleId="CommentSubject">
    <w:name w:val="annotation subject"/>
    <w:basedOn w:val="CommentText"/>
    <w:next w:val="CommentText"/>
    <w:link w:val="CommentSubjectChar"/>
    <w:uiPriority w:val="99"/>
    <w:semiHidden/>
    <w:unhideWhenUsed/>
    <w:rsid w:val="003A467A"/>
    <w:rPr>
      <w:b/>
      <w:bCs/>
    </w:rPr>
  </w:style>
  <w:style w:type="character" w:customStyle="1" w:styleId="CommentSubjectChar">
    <w:name w:val="Comment Subject Char"/>
    <w:basedOn w:val="CommentTextChar"/>
    <w:link w:val="CommentSubject"/>
    <w:uiPriority w:val="99"/>
    <w:semiHidden/>
    <w:rsid w:val="003A467A"/>
    <w:rPr>
      <w:b/>
      <w:bCs/>
    </w:rPr>
  </w:style>
  <w:style w:type="paragraph" w:styleId="BalloonText">
    <w:name w:val="Balloon Text"/>
    <w:basedOn w:val="Normal"/>
    <w:link w:val="BalloonTextChar"/>
    <w:uiPriority w:val="99"/>
    <w:semiHidden/>
    <w:unhideWhenUsed/>
    <w:rsid w:val="003A4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7A"/>
    <w:rPr>
      <w:rFonts w:ascii="Segoe UI" w:hAnsi="Segoe UI" w:cs="Segoe UI"/>
      <w:sz w:val="18"/>
      <w:szCs w:val="18"/>
    </w:rPr>
  </w:style>
  <w:style w:type="character" w:styleId="Emphasis">
    <w:name w:val="Emphasis"/>
    <w:basedOn w:val="DefaultParagraphFont"/>
    <w:uiPriority w:val="20"/>
    <w:qFormat/>
    <w:rsid w:val="00C830DA"/>
    <w:rPr>
      <w:i/>
      <w:iCs/>
    </w:rPr>
  </w:style>
  <w:style w:type="table" w:styleId="TableGrid">
    <w:name w:val="Table Grid"/>
    <w:basedOn w:val="TableNormal"/>
    <w:uiPriority w:val="39"/>
    <w:rsid w:val="00EB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B444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61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EE1"/>
  </w:style>
  <w:style w:type="paragraph" w:styleId="Footer">
    <w:name w:val="footer"/>
    <w:basedOn w:val="Normal"/>
    <w:link w:val="FooterChar"/>
    <w:uiPriority w:val="99"/>
    <w:unhideWhenUsed/>
    <w:rsid w:val="00861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EE1"/>
  </w:style>
  <w:style w:type="paragraph" w:styleId="Revision">
    <w:name w:val="Revision"/>
    <w:hidden/>
    <w:uiPriority w:val="99"/>
    <w:semiHidden/>
    <w:rsid w:val="002A0C85"/>
    <w:pPr>
      <w:spacing w:after="0" w:line="240" w:lineRule="auto"/>
    </w:pPr>
  </w:style>
  <w:style w:type="character" w:customStyle="1" w:styleId="Heading1Char">
    <w:name w:val="Heading 1 Char"/>
    <w:basedOn w:val="DefaultParagraphFont"/>
    <w:link w:val="Heading1"/>
    <w:uiPriority w:val="9"/>
    <w:rsid w:val="004468A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F64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5489">
      <w:bodyDiv w:val="1"/>
      <w:marLeft w:val="0"/>
      <w:marRight w:val="0"/>
      <w:marTop w:val="0"/>
      <w:marBottom w:val="0"/>
      <w:divBdr>
        <w:top w:val="none" w:sz="0" w:space="0" w:color="auto"/>
        <w:left w:val="none" w:sz="0" w:space="0" w:color="auto"/>
        <w:bottom w:val="none" w:sz="0" w:space="0" w:color="auto"/>
        <w:right w:val="none" w:sz="0" w:space="0" w:color="auto"/>
      </w:divBdr>
    </w:div>
    <w:div w:id="42871416">
      <w:bodyDiv w:val="1"/>
      <w:marLeft w:val="0"/>
      <w:marRight w:val="0"/>
      <w:marTop w:val="0"/>
      <w:marBottom w:val="0"/>
      <w:divBdr>
        <w:top w:val="none" w:sz="0" w:space="0" w:color="auto"/>
        <w:left w:val="none" w:sz="0" w:space="0" w:color="auto"/>
        <w:bottom w:val="none" w:sz="0" w:space="0" w:color="auto"/>
        <w:right w:val="none" w:sz="0" w:space="0" w:color="auto"/>
      </w:divBdr>
    </w:div>
    <w:div w:id="126431270">
      <w:bodyDiv w:val="1"/>
      <w:marLeft w:val="0"/>
      <w:marRight w:val="0"/>
      <w:marTop w:val="0"/>
      <w:marBottom w:val="0"/>
      <w:divBdr>
        <w:top w:val="none" w:sz="0" w:space="0" w:color="auto"/>
        <w:left w:val="none" w:sz="0" w:space="0" w:color="auto"/>
        <w:bottom w:val="none" w:sz="0" w:space="0" w:color="auto"/>
        <w:right w:val="none" w:sz="0" w:space="0" w:color="auto"/>
      </w:divBdr>
    </w:div>
    <w:div w:id="279840506">
      <w:bodyDiv w:val="1"/>
      <w:marLeft w:val="0"/>
      <w:marRight w:val="0"/>
      <w:marTop w:val="0"/>
      <w:marBottom w:val="0"/>
      <w:divBdr>
        <w:top w:val="none" w:sz="0" w:space="0" w:color="auto"/>
        <w:left w:val="none" w:sz="0" w:space="0" w:color="auto"/>
        <w:bottom w:val="none" w:sz="0" w:space="0" w:color="auto"/>
        <w:right w:val="none" w:sz="0" w:space="0" w:color="auto"/>
      </w:divBdr>
    </w:div>
    <w:div w:id="452750957">
      <w:bodyDiv w:val="1"/>
      <w:marLeft w:val="0"/>
      <w:marRight w:val="0"/>
      <w:marTop w:val="0"/>
      <w:marBottom w:val="0"/>
      <w:divBdr>
        <w:top w:val="none" w:sz="0" w:space="0" w:color="auto"/>
        <w:left w:val="none" w:sz="0" w:space="0" w:color="auto"/>
        <w:bottom w:val="none" w:sz="0" w:space="0" w:color="auto"/>
        <w:right w:val="none" w:sz="0" w:space="0" w:color="auto"/>
      </w:divBdr>
      <w:divsChild>
        <w:div w:id="996810665">
          <w:marLeft w:val="360"/>
          <w:marRight w:val="0"/>
          <w:marTop w:val="240"/>
          <w:marBottom w:val="0"/>
          <w:divBdr>
            <w:top w:val="none" w:sz="0" w:space="0" w:color="auto"/>
            <w:left w:val="none" w:sz="0" w:space="0" w:color="auto"/>
            <w:bottom w:val="none" w:sz="0" w:space="0" w:color="auto"/>
            <w:right w:val="none" w:sz="0" w:space="0" w:color="auto"/>
          </w:divBdr>
        </w:div>
      </w:divsChild>
    </w:div>
    <w:div w:id="971400983">
      <w:bodyDiv w:val="1"/>
      <w:marLeft w:val="0"/>
      <w:marRight w:val="0"/>
      <w:marTop w:val="0"/>
      <w:marBottom w:val="0"/>
      <w:divBdr>
        <w:top w:val="none" w:sz="0" w:space="0" w:color="auto"/>
        <w:left w:val="none" w:sz="0" w:space="0" w:color="auto"/>
        <w:bottom w:val="none" w:sz="0" w:space="0" w:color="auto"/>
        <w:right w:val="none" w:sz="0" w:space="0" w:color="auto"/>
      </w:divBdr>
    </w:div>
    <w:div w:id="1043870537">
      <w:bodyDiv w:val="1"/>
      <w:marLeft w:val="0"/>
      <w:marRight w:val="0"/>
      <w:marTop w:val="0"/>
      <w:marBottom w:val="0"/>
      <w:divBdr>
        <w:top w:val="none" w:sz="0" w:space="0" w:color="auto"/>
        <w:left w:val="none" w:sz="0" w:space="0" w:color="auto"/>
        <w:bottom w:val="none" w:sz="0" w:space="0" w:color="auto"/>
        <w:right w:val="none" w:sz="0" w:space="0" w:color="auto"/>
      </w:divBdr>
      <w:divsChild>
        <w:div w:id="1756047318">
          <w:marLeft w:val="0"/>
          <w:marRight w:val="0"/>
          <w:marTop w:val="0"/>
          <w:marBottom w:val="0"/>
          <w:divBdr>
            <w:top w:val="none" w:sz="0" w:space="0" w:color="auto"/>
            <w:left w:val="none" w:sz="0" w:space="0" w:color="auto"/>
            <w:bottom w:val="none" w:sz="0" w:space="0" w:color="auto"/>
            <w:right w:val="none" w:sz="0" w:space="0" w:color="auto"/>
          </w:divBdr>
          <w:divsChild>
            <w:div w:id="240989961">
              <w:marLeft w:val="1800"/>
              <w:marRight w:val="0"/>
              <w:marTop w:val="0"/>
              <w:marBottom w:val="0"/>
              <w:divBdr>
                <w:top w:val="none" w:sz="0" w:space="0" w:color="auto"/>
                <w:left w:val="none" w:sz="0" w:space="0" w:color="auto"/>
                <w:bottom w:val="none" w:sz="0" w:space="0" w:color="auto"/>
                <w:right w:val="none" w:sz="0" w:space="0" w:color="auto"/>
              </w:divBdr>
              <w:divsChild>
                <w:div w:id="1262685759">
                  <w:marLeft w:val="0"/>
                  <w:marRight w:val="0"/>
                  <w:marTop w:val="0"/>
                  <w:marBottom w:val="0"/>
                  <w:divBdr>
                    <w:top w:val="none" w:sz="0" w:space="0" w:color="auto"/>
                    <w:left w:val="none" w:sz="0" w:space="0" w:color="auto"/>
                    <w:bottom w:val="none" w:sz="0" w:space="0" w:color="auto"/>
                    <w:right w:val="none" w:sz="0" w:space="0" w:color="auto"/>
                  </w:divBdr>
                </w:div>
              </w:divsChild>
            </w:div>
            <w:div w:id="1910188664">
              <w:marLeft w:val="1800"/>
              <w:marRight w:val="0"/>
              <w:marTop w:val="0"/>
              <w:marBottom w:val="150"/>
              <w:divBdr>
                <w:top w:val="none" w:sz="0" w:space="0" w:color="auto"/>
                <w:left w:val="none" w:sz="0" w:space="0" w:color="auto"/>
                <w:bottom w:val="none" w:sz="0" w:space="0" w:color="auto"/>
                <w:right w:val="none" w:sz="0" w:space="0" w:color="auto"/>
              </w:divBdr>
            </w:div>
          </w:divsChild>
        </w:div>
      </w:divsChild>
    </w:div>
    <w:div w:id="1480733885">
      <w:bodyDiv w:val="1"/>
      <w:marLeft w:val="0"/>
      <w:marRight w:val="0"/>
      <w:marTop w:val="0"/>
      <w:marBottom w:val="0"/>
      <w:divBdr>
        <w:top w:val="none" w:sz="0" w:space="0" w:color="auto"/>
        <w:left w:val="none" w:sz="0" w:space="0" w:color="auto"/>
        <w:bottom w:val="none" w:sz="0" w:space="0" w:color="auto"/>
        <w:right w:val="none" w:sz="0" w:space="0" w:color="auto"/>
      </w:divBdr>
      <w:divsChild>
        <w:div w:id="2074547821">
          <w:marLeft w:val="0"/>
          <w:marRight w:val="0"/>
          <w:marTop w:val="90"/>
          <w:marBottom w:val="0"/>
          <w:divBdr>
            <w:top w:val="none" w:sz="0" w:space="0" w:color="auto"/>
            <w:left w:val="none" w:sz="0" w:space="0" w:color="auto"/>
            <w:bottom w:val="none" w:sz="0" w:space="0" w:color="auto"/>
            <w:right w:val="none" w:sz="0" w:space="0" w:color="auto"/>
          </w:divBdr>
          <w:divsChild>
            <w:div w:id="1559125098">
              <w:marLeft w:val="0"/>
              <w:marRight w:val="0"/>
              <w:marTop w:val="0"/>
              <w:marBottom w:val="0"/>
              <w:divBdr>
                <w:top w:val="none" w:sz="0" w:space="0" w:color="auto"/>
                <w:left w:val="none" w:sz="0" w:space="0" w:color="auto"/>
                <w:bottom w:val="none" w:sz="0" w:space="0" w:color="auto"/>
                <w:right w:val="none" w:sz="0" w:space="0" w:color="auto"/>
              </w:divBdr>
              <w:divsChild>
                <w:div w:id="1506437360">
                  <w:marLeft w:val="0"/>
                  <w:marRight w:val="0"/>
                  <w:marTop w:val="0"/>
                  <w:marBottom w:val="405"/>
                  <w:divBdr>
                    <w:top w:val="none" w:sz="0" w:space="0" w:color="auto"/>
                    <w:left w:val="none" w:sz="0" w:space="0" w:color="auto"/>
                    <w:bottom w:val="none" w:sz="0" w:space="0" w:color="auto"/>
                    <w:right w:val="none" w:sz="0" w:space="0" w:color="auto"/>
                  </w:divBdr>
                  <w:divsChild>
                    <w:div w:id="1169827681">
                      <w:marLeft w:val="-300"/>
                      <w:marRight w:val="-300"/>
                      <w:marTop w:val="0"/>
                      <w:marBottom w:val="0"/>
                      <w:divBdr>
                        <w:top w:val="single" w:sz="6" w:space="0" w:color="DFE1E5"/>
                        <w:left w:val="single" w:sz="6" w:space="0" w:color="DFE1E5"/>
                        <w:bottom w:val="single" w:sz="6" w:space="0" w:color="DFE1E5"/>
                        <w:right w:val="single" w:sz="6" w:space="0" w:color="DFE1E5"/>
                      </w:divBdr>
                      <w:divsChild>
                        <w:div w:id="1888640138">
                          <w:marLeft w:val="0"/>
                          <w:marRight w:val="0"/>
                          <w:marTop w:val="0"/>
                          <w:marBottom w:val="0"/>
                          <w:divBdr>
                            <w:top w:val="none" w:sz="0" w:space="0" w:color="auto"/>
                            <w:left w:val="none" w:sz="0" w:space="0" w:color="auto"/>
                            <w:bottom w:val="none" w:sz="0" w:space="0" w:color="auto"/>
                            <w:right w:val="none" w:sz="0" w:space="0" w:color="auto"/>
                          </w:divBdr>
                          <w:divsChild>
                            <w:div w:id="1456213493">
                              <w:marLeft w:val="0"/>
                              <w:marRight w:val="0"/>
                              <w:marTop w:val="0"/>
                              <w:marBottom w:val="0"/>
                              <w:divBdr>
                                <w:top w:val="none" w:sz="0" w:space="0" w:color="auto"/>
                                <w:left w:val="none" w:sz="0" w:space="0" w:color="auto"/>
                                <w:bottom w:val="none" w:sz="0" w:space="0" w:color="auto"/>
                                <w:right w:val="none" w:sz="0" w:space="0" w:color="auto"/>
                              </w:divBdr>
                              <w:divsChild>
                                <w:div w:id="1949311894">
                                  <w:marLeft w:val="0"/>
                                  <w:marRight w:val="0"/>
                                  <w:marTop w:val="0"/>
                                  <w:marBottom w:val="0"/>
                                  <w:divBdr>
                                    <w:top w:val="none" w:sz="0" w:space="0" w:color="auto"/>
                                    <w:left w:val="none" w:sz="0" w:space="0" w:color="auto"/>
                                    <w:bottom w:val="none" w:sz="0" w:space="0" w:color="auto"/>
                                    <w:right w:val="none" w:sz="0" w:space="0" w:color="auto"/>
                                  </w:divBdr>
                                  <w:divsChild>
                                    <w:div w:id="1399933510">
                                      <w:marLeft w:val="0"/>
                                      <w:marRight w:val="0"/>
                                      <w:marTop w:val="0"/>
                                      <w:marBottom w:val="0"/>
                                      <w:divBdr>
                                        <w:top w:val="none" w:sz="0" w:space="0" w:color="auto"/>
                                        <w:left w:val="none" w:sz="0" w:space="0" w:color="auto"/>
                                        <w:bottom w:val="none" w:sz="0" w:space="0" w:color="auto"/>
                                        <w:right w:val="none" w:sz="0" w:space="0" w:color="auto"/>
                                      </w:divBdr>
                                      <w:divsChild>
                                        <w:div w:id="4687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793183">
      <w:bodyDiv w:val="1"/>
      <w:marLeft w:val="0"/>
      <w:marRight w:val="0"/>
      <w:marTop w:val="0"/>
      <w:marBottom w:val="0"/>
      <w:divBdr>
        <w:top w:val="none" w:sz="0" w:space="0" w:color="auto"/>
        <w:left w:val="none" w:sz="0" w:space="0" w:color="auto"/>
        <w:bottom w:val="none" w:sz="0" w:space="0" w:color="auto"/>
        <w:right w:val="none" w:sz="0" w:space="0" w:color="auto"/>
      </w:divBdr>
    </w:div>
    <w:div w:id="1799058021">
      <w:bodyDiv w:val="1"/>
      <w:marLeft w:val="0"/>
      <w:marRight w:val="0"/>
      <w:marTop w:val="0"/>
      <w:marBottom w:val="0"/>
      <w:divBdr>
        <w:top w:val="none" w:sz="0" w:space="0" w:color="auto"/>
        <w:left w:val="none" w:sz="0" w:space="0" w:color="auto"/>
        <w:bottom w:val="none" w:sz="0" w:space="0" w:color="auto"/>
        <w:right w:val="none" w:sz="0" w:space="0" w:color="auto"/>
      </w:divBdr>
    </w:div>
    <w:div w:id="1813717012">
      <w:bodyDiv w:val="1"/>
      <w:marLeft w:val="0"/>
      <w:marRight w:val="0"/>
      <w:marTop w:val="0"/>
      <w:marBottom w:val="0"/>
      <w:divBdr>
        <w:top w:val="none" w:sz="0" w:space="0" w:color="auto"/>
        <w:left w:val="none" w:sz="0" w:space="0" w:color="auto"/>
        <w:bottom w:val="none" w:sz="0" w:space="0" w:color="auto"/>
        <w:right w:val="none" w:sz="0" w:space="0" w:color="auto"/>
      </w:divBdr>
    </w:div>
    <w:div w:id="1911233579">
      <w:bodyDiv w:val="1"/>
      <w:marLeft w:val="0"/>
      <w:marRight w:val="0"/>
      <w:marTop w:val="0"/>
      <w:marBottom w:val="0"/>
      <w:divBdr>
        <w:top w:val="none" w:sz="0" w:space="0" w:color="auto"/>
        <w:left w:val="none" w:sz="0" w:space="0" w:color="auto"/>
        <w:bottom w:val="none" w:sz="0" w:space="0" w:color="auto"/>
        <w:right w:val="none" w:sz="0" w:space="0" w:color="auto"/>
      </w:divBdr>
      <w:divsChild>
        <w:div w:id="167839651">
          <w:marLeft w:val="360"/>
          <w:marRight w:val="0"/>
          <w:marTop w:val="0"/>
          <w:marBottom w:val="0"/>
          <w:divBdr>
            <w:top w:val="none" w:sz="0" w:space="0" w:color="auto"/>
            <w:left w:val="none" w:sz="0" w:space="0" w:color="auto"/>
            <w:bottom w:val="none" w:sz="0" w:space="0" w:color="auto"/>
            <w:right w:val="none" w:sz="0" w:space="0" w:color="auto"/>
          </w:divBdr>
        </w:div>
        <w:div w:id="686833562">
          <w:marLeft w:val="360"/>
          <w:marRight w:val="0"/>
          <w:marTop w:val="0"/>
          <w:marBottom w:val="0"/>
          <w:divBdr>
            <w:top w:val="none" w:sz="0" w:space="0" w:color="auto"/>
            <w:left w:val="none" w:sz="0" w:space="0" w:color="auto"/>
            <w:bottom w:val="none" w:sz="0" w:space="0" w:color="auto"/>
            <w:right w:val="none" w:sz="0" w:space="0" w:color="auto"/>
          </w:divBdr>
        </w:div>
        <w:div w:id="1425151765">
          <w:marLeft w:val="360"/>
          <w:marRight w:val="0"/>
          <w:marTop w:val="0"/>
          <w:marBottom w:val="0"/>
          <w:divBdr>
            <w:top w:val="none" w:sz="0" w:space="0" w:color="auto"/>
            <w:left w:val="none" w:sz="0" w:space="0" w:color="auto"/>
            <w:bottom w:val="none" w:sz="0" w:space="0" w:color="auto"/>
            <w:right w:val="none" w:sz="0" w:space="0" w:color="auto"/>
          </w:divBdr>
        </w:div>
        <w:div w:id="1689478143">
          <w:marLeft w:val="360"/>
          <w:marRight w:val="0"/>
          <w:marTop w:val="0"/>
          <w:marBottom w:val="0"/>
          <w:divBdr>
            <w:top w:val="none" w:sz="0" w:space="0" w:color="auto"/>
            <w:left w:val="none" w:sz="0" w:space="0" w:color="auto"/>
            <w:bottom w:val="none" w:sz="0" w:space="0" w:color="auto"/>
            <w:right w:val="none" w:sz="0" w:space="0" w:color="auto"/>
          </w:divBdr>
        </w:div>
        <w:div w:id="2137484767">
          <w:marLeft w:val="360"/>
          <w:marRight w:val="0"/>
          <w:marTop w:val="0"/>
          <w:marBottom w:val="0"/>
          <w:divBdr>
            <w:top w:val="none" w:sz="0" w:space="0" w:color="auto"/>
            <w:left w:val="none" w:sz="0" w:space="0" w:color="auto"/>
            <w:bottom w:val="none" w:sz="0" w:space="0" w:color="auto"/>
            <w:right w:val="none" w:sz="0" w:space="0" w:color="auto"/>
          </w:divBdr>
        </w:div>
      </w:divsChild>
    </w:div>
    <w:div w:id="1958296925">
      <w:bodyDiv w:val="1"/>
      <w:marLeft w:val="0"/>
      <w:marRight w:val="0"/>
      <w:marTop w:val="0"/>
      <w:marBottom w:val="0"/>
      <w:divBdr>
        <w:top w:val="none" w:sz="0" w:space="0" w:color="auto"/>
        <w:left w:val="none" w:sz="0" w:space="0" w:color="auto"/>
        <w:bottom w:val="none" w:sz="0" w:space="0" w:color="auto"/>
        <w:right w:val="none" w:sz="0" w:space="0" w:color="auto"/>
      </w:divBdr>
      <w:divsChild>
        <w:div w:id="546528209">
          <w:marLeft w:val="360"/>
          <w:marRight w:val="0"/>
          <w:marTop w:val="240"/>
          <w:marBottom w:val="0"/>
          <w:divBdr>
            <w:top w:val="none" w:sz="0" w:space="0" w:color="auto"/>
            <w:left w:val="none" w:sz="0" w:space="0" w:color="auto"/>
            <w:bottom w:val="none" w:sz="0" w:space="0" w:color="auto"/>
            <w:right w:val="none" w:sz="0" w:space="0" w:color="auto"/>
          </w:divBdr>
        </w:div>
      </w:divsChild>
    </w:div>
    <w:div w:id="21436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4482A58828647B48D59FCFB943C55" ma:contentTypeVersion="12" ma:contentTypeDescription="Create a new document." ma:contentTypeScope="" ma:versionID="ebf74cb0ddd8900de48c3434726aec4a">
  <xsd:schema xmlns:xsd="http://www.w3.org/2001/XMLSchema" xmlns:xs="http://www.w3.org/2001/XMLSchema" xmlns:p="http://schemas.microsoft.com/office/2006/metadata/properties" xmlns:ns3="88789c2b-038c-4088-b59a-c2b8b91a4310" xmlns:ns4="9e54ff55-159a-4f26-b6ee-240b2642949e" targetNamespace="http://schemas.microsoft.com/office/2006/metadata/properties" ma:root="true" ma:fieldsID="fc752f84292250ccc14bc175ec4a3091" ns3:_="" ns4:_="">
    <xsd:import namespace="88789c2b-038c-4088-b59a-c2b8b91a4310"/>
    <xsd:import namespace="9e54ff55-159a-4f26-b6ee-240b264294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89c2b-038c-4088-b59a-c2b8b91a4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4ff55-159a-4f26-b6ee-240b264294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224F-8E43-4BCF-B8C4-01A2C6FF0A86}">
  <ds:schemaRefs>
    <ds:schemaRef ds:uri="http://schemas.microsoft.com/sharepoint/v3/contenttype/forms"/>
  </ds:schemaRefs>
</ds:datastoreItem>
</file>

<file path=customXml/itemProps2.xml><?xml version="1.0" encoding="utf-8"?>
<ds:datastoreItem xmlns:ds="http://schemas.openxmlformats.org/officeDocument/2006/customXml" ds:itemID="{9EDF7327-251F-41C4-A97A-A77D1DB11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89c2b-038c-4088-b59a-c2b8b91a4310"/>
    <ds:schemaRef ds:uri="9e54ff55-159a-4f26-b6ee-240b26429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AD144-5045-4096-AB41-A1AF6813AF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59DC53-9797-4D8D-B956-7ED82EFD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Gulati, Anamika</dc:creator>
  <cp:keywords/>
  <dc:description/>
  <cp:lastModifiedBy>Chauhan, Deependra</cp:lastModifiedBy>
  <cp:revision>8</cp:revision>
  <dcterms:created xsi:type="dcterms:W3CDTF">2021-06-24T05:08:00Z</dcterms:created>
  <dcterms:modified xsi:type="dcterms:W3CDTF">2021-07-08T06:20:00Z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SetDate">
    <vt:lpwstr>2019-05-07T16:20:51.9045356Z</vt:lpwstr>
  </property>
  <property fmtid="{D5CDD505-2E9C-101B-9397-08002B2CF9AE}" pid="5" name="MSIP_Label_4929bff8-5b33-42aa-95d2-28f72e792cb0_Name">
    <vt:lpwstr>Business Use Only</vt:lpwstr>
  </property>
  <property fmtid="{D5CDD505-2E9C-101B-9397-08002B2CF9AE}" pid="6" name="MSIP_Label_4929bff8-5b33-42aa-95d2-28f72e792cb0_Extended_MSFT_Method">
    <vt:lpwstr>Automatic</vt:lpwstr>
  </property>
  <property fmtid="{D5CDD505-2E9C-101B-9397-08002B2CF9AE}" pid="7" name="Confidentiality">
    <vt:lpwstr>Business Use Only</vt:lpwstr>
  </property>
  <property fmtid="{D5CDD505-2E9C-101B-9397-08002B2CF9AE}" pid="8" name="ContentTypeId">
    <vt:lpwstr>0x0101003E84482A58828647B48D59FCFB943C55</vt:lpwstr>
  </property>
</Properties>
</file>