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0D6B" w14:textId="77777777" w:rsidR="00505DE5" w:rsidRDefault="00505DE5" w:rsidP="00665089">
      <w:pPr>
        <w:spacing w:after="120" w:line="240" w:lineRule="auto"/>
        <w:rPr>
          <w:rFonts w:ascii="Arial Nova" w:hAnsi="Arial Nova"/>
          <w:b/>
          <w:bCs/>
          <w:sz w:val="20"/>
          <w:szCs w:val="20"/>
          <w:lang w:val="en-GB"/>
        </w:rPr>
      </w:pPr>
    </w:p>
    <w:p w14:paraId="7EAEB413" w14:textId="2BB8979C" w:rsidR="005D2BA9" w:rsidRPr="00665089" w:rsidRDefault="009C71C9" w:rsidP="00665089">
      <w:pPr>
        <w:spacing w:after="120" w:line="240" w:lineRule="auto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b/>
          <w:bCs/>
          <w:sz w:val="20"/>
          <w:szCs w:val="20"/>
          <w:lang w:val="en-GB"/>
        </w:rPr>
        <w:t>Supplementary Table 1.</w:t>
      </w:r>
      <w:r w:rsidRPr="00665089">
        <w:rPr>
          <w:rFonts w:ascii="Arial Nova" w:hAnsi="Arial Nova"/>
          <w:sz w:val="20"/>
          <w:szCs w:val="20"/>
          <w:lang w:val="en-GB"/>
        </w:rPr>
        <w:t xml:space="preserve"> Variants in the human </w:t>
      </w:r>
      <w:r w:rsidRPr="00665089">
        <w:rPr>
          <w:rFonts w:ascii="Arial Nova" w:hAnsi="Arial Nova"/>
          <w:i/>
          <w:iCs/>
          <w:sz w:val="20"/>
          <w:szCs w:val="20"/>
          <w:lang w:val="en-GB"/>
        </w:rPr>
        <w:t>AMH</w:t>
      </w:r>
      <w:r w:rsidRPr="00665089">
        <w:rPr>
          <w:rFonts w:ascii="Arial Nova" w:hAnsi="Arial Nova"/>
          <w:sz w:val="20"/>
          <w:szCs w:val="20"/>
          <w:lang w:val="en-GB"/>
        </w:rPr>
        <w:t xml:space="preserve"> gene published after the exhaustive review by Picard et al., 2017.</w:t>
      </w:r>
    </w:p>
    <w:p w14:paraId="42CD1E42" w14:textId="520E9BA6" w:rsidR="009C71C9" w:rsidRPr="00665089" w:rsidRDefault="009C71C9" w:rsidP="00665089">
      <w:pPr>
        <w:spacing w:after="120" w:line="240" w:lineRule="auto"/>
        <w:rPr>
          <w:rFonts w:ascii="Arial Nova" w:hAnsi="Arial Nova"/>
          <w:sz w:val="20"/>
          <w:szCs w:val="20"/>
          <w:lang w:val="en-GB"/>
        </w:rPr>
      </w:pPr>
    </w:p>
    <w:tbl>
      <w:tblPr>
        <w:tblW w:w="132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883"/>
        <w:gridCol w:w="709"/>
        <w:gridCol w:w="2798"/>
        <w:gridCol w:w="3156"/>
        <w:gridCol w:w="1984"/>
        <w:gridCol w:w="1627"/>
        <w:gridCol w:w="1259"/>
      </w:tblGrid>
      <w:tr w:rsidR="009C71C9" w:rsidRPr="00665089" w14:paraId="7A2DEDBA" w14:textId="77777777" w:rsidTr="00665089">
        <w:trPr>
          <w:trHeight w:val="600"/>
        </w:trPr>
        <w:tc>
          <w:tcPr>
            <w:tcW w:w="818" w:type="dxa"/>
            <w:shd w:val="clear" w:color="000000" w:fill="DCE6F1"/>
            <w:vAlign w:val="center"/>
            <w:hideMark/>
          </w:tcPr>
          <w:p w14:paraId="3FF3D77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bookmarkStart w:id="0" w:name="RANGE!A1:G1"/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Patient</w:t>
            </w:r>
            <w:bookmarkEnd w:id="0"/>
          </w:p>
        </w:tc>
        <w:tc>
          <w:tcPr>
            <w:tcW w:w="883" w:type="dxa"/>
            <w:shd w:val="clear" w:color="000000" w:fill="DCE6F1"/>
            <w:vAlign w:val="center"/>
            <w:hideMark/>
          </w:tcPr>
          <w:p w14:paraId="089DD50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Origin</w:t>
            </w:r>
          </w:p>
        </w:tc>
        <w:tc>
          <w:tcPr>
            <w:tcW w:w="709" w:type="dxa"/>
            <w:shd w:val="clear" w:color="000000" w:fill="DCE6F1"/>
            <w:vAlign w:val="center"/>
            <w:hideMark/>
          </w:tcPr>
          <w:p w14:paraId="2A019355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Exon-intron</w:t>
            </w:r>
          </w:p>
        </w:tc>
        <w:tc>
          <w:tcPr>
            <w:tcW w:w="2798" w:type="dxa"/>
            <w:shd w:val="clear" w:color="000000" w:fill="DCE6F1"/>
            <w:vAlign w:val="center"/>
            <w:hideMark/>
          </w:tcPr>
          <w:p w14:paraId="197DE30C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Mutation</w:t>
            </w:r>
          </w:p>
        </w:tc>
        <w:tc>
          <w:tcPr>
            <w:tcW w:w="3156" w:type="dxa"/>
            <w:shd w:val="clear" w:color="000000" w:fill="DCE6F1"/>
            <w:vAlign w:val="center"/>
            <w:hideMark/>
          </w:tcPr>
          <w:p w14:paraId="0D7BFB8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Effect</w:t>
            </w:r>
          </w:p>
        </w:tc>
        <w:tc>
          <w:tcPr>
            <w:tcW w:w="1984" w:type="dxa"/>
            <w:shd w:val="clear" w:color="000000" w:fill="DCE6F1"/>
            <w:vAlign w:val="center"/>
            <w:hideMark/>
          </w:tcPr>
          <w:p w14:paraId="686E594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Alleles</w:t>
            </w:r>
          </w:p>
        </w:tc>
        <w:tc>
          <w:tcPr>
            <w:tcW w:w="1627" w:type="dxa"/>
            <w:shd w:val="clear" w:color="000000" w:fill="DCE6F1"/>
            <w:vAlign w:val="center"/>
            <w:hideMark/>
          </w:tcPr>
          <w:p w14:paraId="6C636802" w14:textId="029EDBF1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66508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Reference</w:t>
            </w:r>
          </w:p>
        </w:tc>
        <w:tc>
          <w:tcPr>
            <w:tcW w:w="1259" w:type="dxa"/>
            <w:shd w:val="clear" w:color="000000" w:fill="DCE6F1"/>
            <w:vAlign w:val="center"/>
            <w:hideMark/>
          </w:tcPr>
          <w:p w14:paraId="3C99FA8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val="en-GB" w:eastAsia="es-AR"/>
              </w:rPr>
              <w:t>Condition</w:t>
            </w:r>
          </w:p>
        </w:tc>
      </w:tr>
      <w:tr w:rsidR="009C71C9" w:rsidRPr="00665089" w14:paraId="5C648E9D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F05F81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30BB6E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75150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1DB5C96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NM_000479.3:c.203_203delC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61FD206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NM_000479.3:p.(p. L70Cfs*7)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D200E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178F80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proofErr w:type="spellStart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Mazen</w:t>
            </w:r>
            <w:proofErr w:type="spellEnd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, 2017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8CF1BA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34E332E0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18C0042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196CFA2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C49E48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05F8DEE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NM_000479.3:c.283C&gt;T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378C77AC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NM_000479.3:p.(Arg95*)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D7D1F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Hetero (compound)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C9E80F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Hughes,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77C753B5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1B2F4B6B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B23996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FC12968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E79E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5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2378A91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NM_000479.3:c.905G&gt;A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66FC3E2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NM_000479.3:p.(Arg302Gln)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E8899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Hetero (compound)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74F2A37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Hughes,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B760F2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1D5C51A8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06D06F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1B0E2F5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Turkey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FFB7C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523B474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NM_000479.3:c.301G&gt;A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472B63A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NM_000479.3:p.(Gly101Arg)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9A380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5657B1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proofErr w:type="spellStart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Bugrul</w:t>
            </w:r>
            <w:proofErr w:type="spellEnd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, 2020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130849C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01B8A820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9B54C9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B48C77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Turkey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86B6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3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2DDD4C7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NM_000479.3:c.563G&gt;A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14:paraId="1DCA9F5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NM_000479.3:p.(Cys188Tyr)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4F6BA1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EE0BA9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Ata, 2021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E63B23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28998A76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16735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C52E44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?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BB62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3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5357F1E0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NM_000479.3:c.649C&gt;T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6FE6F3F1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NM_000479.3:p.(Gly217*)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294F0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DC9775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Hughes,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4F510FC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3B9E6E7A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5618E7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AA3042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Turkey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44535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5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323FDCB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NM_000479.3:c.1577G&gt;T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5702555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NM_000479.3:p.(Cys526Phe)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9162D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789C9B1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proofErr w:type="spellStart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Bugrul</w:t>
            </w:r>
            <w:proofErr w:type="spellEnd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, 2020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C0B613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4142F548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80107D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A960AC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Turkey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279DE7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5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1FE1703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NM_000479.3:c.1673G&gt;A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269A20BB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NM_000479.3:p.(Gly558Asp)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E6755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Homo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1311295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proofErr w:type="spellStart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Bugrul</w:t>
            </w:r>
            <w:proofErr w:type="spellEnd"/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, 2020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52A28E8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PMDS</w:t>
            </w:r>
          </w:p>
        </w:tc>
      </w:tr>
      <w:tr w:rsidR="009C71C9" w:rsidRPr="00665089" w14:paraId="0D979A2E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40C897E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A7792F0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4CF93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0C01D91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14:paraId="3DF2624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B23C7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EC5FA1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C1931C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val="en-GB" w:eastAsia="es-AR"/>
              </w:rPr>
            </w:pPr>
          </w:p>
        </w:tc>
      </w:tr>
      <w:tr w:rsidR="009C71C9" w:rsidRPr="00665089" w14:paraId="29E63823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C0285FF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57DB2C5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Europe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152B0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7B0DE32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NM_000479.3:c.295A&gt;T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5ED15338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NM_000479.3:p.(Thr99Ser)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7280C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Hetero (1 allele)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6C25E28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Malone,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9A2E98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HH</w:t>
            </w:r>
          </w:p>
        </w:tc>
      </w:tr>
      <w:tr w:rsidR="009C71C9" w:rsidRPr="00665089" w14:paraId="197D7ECA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00046ADD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484531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Europe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452AE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2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40949CD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NM_000479.3:c.451C&gt;T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20512CA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NM_000479.3:p.(Pro151Ser)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52B1959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Hetero (1 allele)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41784FE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Malone,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3F9D882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HH</w:t>
            </w:r>
          </w:p>
        </w:tc>
      </w:tr>
      <w:tr w:rsidR="009C71C9" w:rsidRPr="00665089" w14:paraId="6273B220" w14:textId="77777777" w:rsidTr="00665089">
        <w:trPr>
          <w:trHeight w:val="319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E75C27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11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06B1C964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Europe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87AE82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4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14:paraId="093E9F60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NM_000479.3:c.714C&gt;A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14:paraId="4274D9F3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NM_000479.3:p.(Asp238Glu)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DA2256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Hetero (1 allele)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2663F5A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Malone, 2019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63D44BFA" w14:textId="77777777" w:rsidR="009C71C9" w:rsidRPr="009C71C9" w:rsidRDefault="009C71C9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</w:pPr>
            <w:r w:rsidRPr="009C71C9">
              <w:rPr>
                <w:rFonts w:ascii="Arial Nova" w:eastAsia="Times New Roman" w:hAnsi="Arial Nova" w:cs="Arial"/>
                <w:sz w:val="20"/>
                <w:szCs w:val="20"/>
                <w:lang w:val="en-GB" w:eastAsia="es-AR"/>
              </w:rPr>
              <w:t>HH</w:t>
            </w:r>
          </w:p>
        </w:tc>
      </w:tr>
    </w:tbl>
    <w:p w14:paraId="157608B2" w14:textId="6C3862E3" w:rsidR="009C71C9" w:rsidRPr="00665089" w:rsidRDefault="009C71C9" w:rsidP="00665089">
      <w:pPr>
        <w:spacing w:after="120" w:line="240" w:lineRule="auto"/>
        <w:rPr>
          <w:rFonts w:ascii="Arial Nova" w:hAnsi="Arial Nova"/>
          <w:sz w:val="20"/>
          <w:szCs w:val="20"/>
          <w:lang w:val="en-GB"/>
        </w:rPr>
      </w:pPr>
    </w:p>
    <w:p w14:paraId="04163807" w14:textId="77777777" w:rsidR="009C71C9" w:rsidRPr="00665089" w:rsidRDefault="009C71C9" w:rsidP="00665089">
      <w:pPr>
        <w:spacing w:after="120" w:line="240" w:lineRule="auto"/>
        <w:rPr>
          <w:rFonts w:ascii="Arial Nova" w:hAnsi="Arial Nova"/>
          <w:b/>
          <w:bCs/>
          <w:i/>
          <w:iCs/>
          <w:sz w:val="20"/>
          <w:szCs w:val="20"/>
          <w:lang w:val="en-GB"/>
        </w:rPr>
      </w:pPr>
      <w:r w:rsidRPr="00665089">
        <w:rPr>
          <w:rFonts w:ascii="Arial Nova" w:hAnsi="Arial Nova"/>
          <w:b/>
          <w:bCs/>
          <w:i/>
          <w:iCs/>
          <w:sz w:val="20"/>
          <w:szCs w:val="20"/>
          <w:lang w:val="en-GB"/>
        </w:rPr>
        <w:t>References</w:t>
      </w:r>
    </w:p>
    <w:p w14:paraId="63702428" w14:textId="77777777" w:rsidR="009C71C9" w:rsidRPr="00665089" w:rsidRDefault="009C71C9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Ata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Ozen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Uzun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Goksen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Ozkinay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F,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Ozbaran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NB, Ulman I,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Darcan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S: A large cohort of disorders of sex development and their genetic characteristics: 6 novel mutations in known genes. Eur J Med Genet 64:104154 (2021).</w:t>
      </w:r>
    </w:p>
    <w:p w14:paraId="6027F489" w14:textId="77777777" w:rsidR="009C71C9" w:rsidRPr="00665089" w:rsidRDefault="009C71C9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Bugrul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F,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Abali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ZY,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Kirkgoz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T,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Cerit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KK,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Canmemis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Turan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Tugtepe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Picard JY, Bereket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Guran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T: Persistent Mullerian Duct Syndrome: A Rare But Important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Etiology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of Inguinal Hernia and Cryptorchidism. Sex Dev (2020).</w:t>
      </w:r>
    </w:p>
    <w:p w14:paraId="77DD1C15" w14:textId="77777777" w:rsidR="009C71C9" w:rsidRPr="00665089" w:rsidRDefault="009C71C9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>Hughes LA, McKay-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Bounford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K, Webb EA, Dasani P,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Clokie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Chandran H, McCarthy L, Mohamed Z, Kirk JMW, Krone NP, Allen S, Cole TRP: Next generation sequencing (NGS) to improve the diagnosis and management of patients with disorders of sex development (DSD).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Endocr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Connect 8:100-110 (2019).</w:t>
      </w:r>
    </w:p>
    <w:p w14:paraId="788B5C8B" w14:textId="77777777" w:rsidR="009C71C9" w:rsidRPr="00665089" w:rsidRDefault="009C71C9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Malone SA, Papadakis GE, Messina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Mimouni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NEH,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Trova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Imbernon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M, Allet C, Cimino I,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Acierno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Cassatella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D, Xu C, Quinton R,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Szinnai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G,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Pigny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P, Alonso-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Cotchico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Masgrau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Marechal JD,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Prevot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V,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Pitteloud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Giacobini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P: Defective AMH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signaling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disrupts GnRH neuron development and function and contributes to hypogonadotropic hypogonadism.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Elife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8 (2019).</w:t>
      </w:r>
    </w:p>
    <w:p w14:paraId="14A05195" w14:textId="68FF9205" w:rsidR="0068685E" w:rsidRPr="00665089" w:rsidRDefault="009C71C9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Mazen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I, El-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Gammal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M, McElreavey K,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Elaidy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Abdel-Hamid MS: Novel AMH and AMHR2 Mutations in Two Egyptian Families with Persistent Mullerian Duct Syndrome. Sex Dev 11:29-33 (2017).</w:t>
      </w:r>
      <w:r w:rsidR="00665089">
        <w:rPr>
          <w:rFonts w:ascii="Arial Nova" w:hAnsi="Arial Nova"/>
          <w:sz w:val="20"/>
          <w:szCs w:val="20"/>
          <w:lang w:val="en-GB"/>
        </w:rPr>
        <w:t xml:space="preserve"> </w:t>
      </w:r>
      <w:r w:rsidR="0068685E" w:rsidRPr="00665089">
        <w:rPr>
          <w:rFonts w:ascii="Arial Nova" w:hAnsi="Arial Nova"/>
          <w:sz w:val="20"/>
          <w:szCs w:val="20"/>
          <w:lang w:val="en-GB"/>
        </w:rPr>
        <w:br w:type="page"/>
      </w:r>
    </w:p>
    <w:p w14:paraId="7185A047" w14:textId="084BA109" w:rsidR="0068685E" w:rsidRPr="00665089" w:rsidRDefault="0068685E" w:rsidP="00665089">
      <w:pPr>
        <w:spacing w:after="120" w:line="240" w:lineRule="auto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b/>
          <w:bCs/>
          <w:sz w:val="20"/>
          <w:szCs w:val="20"/>
          <w:lang w:val="en-GB"/>
        </w:rPr>
        <w:lastRenderedPageBreak/>
        <w:t>Supplementary Table 2.</w:t>
      </w:r>
      <w:r w:rsidRPr="00665089">
        <w:rPr>
          <w:rFonts w:ascii="Arial Nova" w:hAnsi="Arial Nova"/>
          <w:sz w:val="20"/>
          <w:szCs w:val="20"/>
          <w:lang w:val="en-GB"/>
        </w:rPr>
        <w:t xml:space="preserve"> Variants in the human </w:t>
      </w:r>
      <w:r w:rsidRPr="00665089">
        <w:rPr>
          <w:rFonts w:ascii="Arial Nova" w:hAnsi="Arial Nova"/>
          <w:i/>
          <w:iCs/>
          <w:sz w:val="20"/>
          <w:szCs w:val="20"/>
          <w:lang w:val="en-GB"/>
        </w:rPr>
        <w:t>AMHR2</w:t>
      </w:r>
      <w:r w:rsidRPr="00665089">
        <w:rPr>
          <w:rFonts w:ascii="Arial Nova" w:hAnsi="Arial Nova"/>
          <w:sz w:val="20"/>
          <w:szCs w:val="20"/>
          <w:lang w:val="en-GB"/>
        </w:rPr>
        <w:t xml:space="preserve"> gene published after the exhaustive review by Picard et al., 2017.</w:t>
      </w:r>
    </w:p>
    <w:p w14:paraId="2E62CAE4" w14:textId="77777777" w:rsidR="0068685E" w:rsidRPr="00665089" w:rsidRDefault="0068685E" w:rsidP="00665089">
      <w:pPr>
        <w:spacing w:after="120" w:line="240" w:lineRule="auto"/>
        <w:rPr>
          <w:rFonts w:ascii="Arial Nova" w:hAnsi="Arial Nova"/>
          <w:sz w:val="20"/>
          <w:szCs w:val="20"/>
          <w:lang w:val="en-GB"/>
        </w:rPr>
      </w:pPr>
    </w:p>
    <w:tbl>
      <w:tblPr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212"/>
        <w:gridCol w:w="754"/>
        <w:gridCol w:w="3289"/>
        <w:gridCol w:w="3253"/>
        <w:gridCol w:w="1457"/>
        <w:gridCol w:w="1985"/>
        <w:gridCol w:w="1174"/>
      </w:tblGrid>
      <w:tr w:rsidR="00744E55" w:rsidRPr="00665089" w14:paraId="6D78BD1C" w14:textId="77777777" w:rsidTr="00665089">
        <w:trPr>
          <w:trHeight w:val="600"/>
        </w:trPr>
        <w:tc>
          <w:tcPr>
            <w:tcW w:w="808" w:type="dxa"/>
            <w:shd w:val="clear" w:color="auto" w:fill="DCE6F1"/>
            <w:vAlign w:val="center"/>
            <w:hideMark/>
          </w:tcPr>
          <w:p w14:paraId="704CC1A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Patient</w:t>
            </w:r>
            <w:proofErr w:type="spellEnd"/>
          </w:p>
        </w:tc>
        <w:tc>
          <w:tcPr>
            <w:tcW w:w="1212" w:type="dxa"/>
            <w:shd w:val="clear" w:color="auto" w:fill="DCE6F1"/>
            <w:vAlign w:val="center"/>
            <w:hideMark/>
          </w:tcPr>
          <w:p w14:paraId="4BAE3FF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Origin</w:t>
            </w:r>
            <w:proofErr w:type="spellEnd"/>
          </w:p>
        </w:tc>
        <w:tc>
          <w:tcPr>
            <w:tcW w:w="754" w:type="dxa"/>
            <w:shd w:val="clear" w:color="auto" w:fill="DCE6F1"/>
            <w:vAlign w:val="center"/>
            <w:hideMark/>
          </w:tcPr>
          <w:p w14:paraId="76D8E35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Exon-intron</w:t>
            </w:r>
            <w:proofErr w:type="spellEnd"/>
          </w:p>
        </w:tc>
        <w:tc>
          <w:tcPr>
            <w:tcW w:w="3289" w:type="dxa"/>
            <w:shd w:val="clear" w:color="auto" w:fill="DCE6F1"/>
            <w:vAlign w:val="center"/>
            <w:hideMark/>
          </w:tcPr>
          <w:p w14:paraId="799636B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Variant</w:t>
            </w:r>
            <w:proofErr w:type="spellEnd"/>
          </w:p>
        </w:tc>
        <w:tc>
          <w:tcPr>
            <w:tcW w:w="3253" w:type="dxa"/>
            <w:shd w:val="clear" w:color="auto" w:fill="DCE6F1"/>
            <w:vAlign w:val="center"/>
            <w:hideMark/>
          </w:tcPr>
          <w:p w14:paraId="12BD76E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Effect</w:t>
            </w:r>
            <w:proofErr w:type="spellEnd"/>
          </w:p>
        </w:tc>
        <w:tc>
          <w:tcPr>
            <w:tcW w:w="1457" w:type="dxa"/>
            <w:shd w:val="clear" w:color="auto" w:fill="DCE6F1"/>
            <w:vAlign w:val="center"/>
            <w:hideMark/>
          </w:tcPr>
          <w:p w14:paraId="09882C5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Alleles</w:t>
            </w:r>
            <w:proofErr w:type="spellEnd"/>
          </w:p>
        </w:tc>
        <w:tc>
          <w:tcPr>
            <w:tcW w:w="1985" w:type="dxa"/>
            <w:shd w:val="clear" w:color="auto" w:fill="DCE6F1"/>
            <w:vAlign w:val="center"/>
            <w:hideMark/>
          </w:tcPr>
          <w:p w14:paraId="481A52C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Publication</w:t>
            </w:r>
            <w:proofErr w:type="spellEnd"/>
          </w:p>
        </w:tc>
        <w:tc>
          <w:tcPr>
            <w:tcW w:w="1174" w:type="dxa"/>
            <w:shd w:val="clear" w:color="auto" w:fill="DCE6F1"/>
            <w:vAlign w:val="center"/>
            <w:hideMark/>
          </w:tcPr>
          <w:p w14:paraId="34E5C30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s-AR"/>
              </w:rPr>
              <w:t>Condition</w:t>
            </w:r>
            <w:proofErr w:type="spellEnd"/>
          </w:p>
        </w:tc>
      </w:tr>
      <w:tr w:rsidR="00C729CB" w:rsidRPr="00665089" w14:paraId="037126EC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4BFBD0E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68955B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Turkey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DAAA26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62611F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NM_020547.2:c.24G&gt;A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7D8C909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NM_020547.2:p.(Trp8*)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1494CD5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96A1F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Ata, 2021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CD0DB1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65C40BFE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26EED5F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3945C3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India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DA1CBB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23113EB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NM_020547.2:c.119G&gt;C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679FC96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NM_020547.2:p.Gly40Ala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7FE1C8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98618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Fernandez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Cancio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, 2019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2E2117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582804A0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2D0CF78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57FB66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Turkey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F8468A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2nd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Intr</w:t>
            </w:r>
            <w:proofErr w:type="spellEnd"/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45AF981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NM_020547.2:c.233–1G&gt;A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7C6AD13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8E93EE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1E79E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Unal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, 2018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736B0C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7D8BB7FE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2465B8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031DEA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4375E4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5B28605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NM_020547.2:c.237C&gt;G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370503A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NM_020547.2:p.Cys79Trp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66A2F4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A3A7A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Eggers, 2016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B649A9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22E83E75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741E985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4C802D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82126C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ADA719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NM_020547.2:c.289C&gt;T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3945B0D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NM_020547.2:p.(Arg97*)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19EC86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7BFC0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Hughes, 2019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67F764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744E55" w:rsidRPr="00665089" w14:paraId="6624495D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42B0D3B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4B7CD3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Spain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A48320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6EB45D8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NM_020547.2:c.502G&gt;A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18760C1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NM_020547.2:p.Ala168Thr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B9CF3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4ECE5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Orós-Millán, 2017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C4FA2C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133D3DB9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191F60E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3D5823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Spain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0F255D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3BD3363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NM_020547.2:c.877C&gt;T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30D3255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NM_020547.2:p.Gln293*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F4D044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AADB8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Orós-Millán, 2017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DB5D1C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744E55" w:rsidRPr="00665089" w14:paraId="4C86FDD9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2F759CC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E0D3FF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D5B91E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6CF8A34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NM_020547.2:c.745C&gt;T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199CD7B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NM_020547.2:p.Leu249Phe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10BC01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D46EC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Baxter, 2015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2AA5B8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052ADB55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71C54E9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963D74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645DD0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13C945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NM_020547.2:c.1332_1358del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C143FD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NM_020547.2:p.Gly445_Leu453del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FE24B0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65907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Baxter, 2015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E65098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28BB74DC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82CFF5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14D17B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5943A5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728E506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NM_020547.2:c.813_817delGCTCT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58AE64F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NM_020547.2:p.Leu272Trpfs*24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565305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BC80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Hughes, 2019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7349EC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2C7FD564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3A7EE37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0E9AB1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F548CA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39A4EEE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NM_020547.2:c.931G&gt;A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76F21D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NM_020547.2:p.(Gly311Ser)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D72E95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F529A" w14:textId="77777777" w:rsidR="00744E55" w:rsidRPr="00744E55" w:rsidRDefault="00505DE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hyperlink r:id="rId4" w:history="1">
              <w:r w:rsidR="00744E55" w:rsidRPr="00744E55">
                <w:rPr>
                  <w:rFonts w:ascii="Arial Nova" w:eastAsia="Times New Roman" w:hAnsi="Arial Nova" w:cs="Arial"/>
                  <w:sz w:val="20"/>
                  <w:szCs w:val="20"/>
                  <w:lang w:eastAsia="es-AR"/>
                </w:rPr>
                <w:t>Hughes, 2019</w:t>
              </w:r>
            </w:hyperlink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5C0B22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520B52D7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F2A38E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1D55B5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Colombia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11D202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55661C1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NM_020547.2:c.916delC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4950FF4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NM_020547.2:p.Leu306Cysfs*29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35EAA2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B16B3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García Acero, 2019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E6ACB7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70598E6A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775E31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094B84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China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46F338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39175A9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NM_020547.2:c.1186_1187delC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4FFB295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NM_020547.2:p.Leu396Glyfs*13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16D202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77718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Ren, 2017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B4C11F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7B4849CD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36B9620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0F1B6F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China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4055CE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6CC9D9B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NM_020547.2:c.1388G&gt;A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16B237F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NM_020547.2:p.Arg463His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E18F92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1A6C5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Ren, 2017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3BBEB8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744E55" w:rsidRPr="00665089" w14:paraId="40484FE5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1F44258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461513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47661C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7C92209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NM_020547.2:c.1332_1358del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0CF8AF6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NM_020547.2:p.Gly445_Leu453del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B6DA99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910791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Baxter, 2015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801989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744E55" w:rsidRPr="00665089" w14:paraId="57B20300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312DD90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6EB133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?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34E127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2527D42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NM_020547.2:c.1343C&gt;G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04036D8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NM_020547.2:p.Pro448Arg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28CDFA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6DECA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Baxter, 2015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11D9A3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024620F5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329FABA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C84A8B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Turkey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848FA3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52B5429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NM_020547.2:c.1372G&gt;T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0EC77BF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NM_020547.2:p.Val458Leu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5EA4FB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0051A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Çakir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, 2017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C4871E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3FD1C35F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576B047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F97ECB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Turkey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260963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E6EF01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NM_020547.2:c.1510C&gt;T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14:paraId="50FD090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NM_020547.2:p.Arg504Cys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650429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18382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Bugrul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, 2020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C3030E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2F7D06BD" w14:textId="77777777" w:rsidTr="00665089">
        <w:trPr>
          <w:trHeight w:val="765"/>
        </w:trPr>
        <w:tc>
          <w:tcPr>
            <w:tcW w:w="808" w:type="dxa"/>
            <w:shd w:val="clear" w:color="auto" w:fill="auto"/>
            <w:vAlign w:val="center"/>
            <w:hideMark/>
          </w:tcPr>
          <w:p w14:paraId="6D40F41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lastRenderedPageBreak/>
              <w:t>14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FE11BBA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Romania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9F194B3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33E260A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del 12q13.13 chr12:53,829,597-53,833,931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0EA3E24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11,39 kb,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removing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exons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7–11 and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extending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far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beyond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the AMHR2 gene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02BB8C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Homo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5D342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Tosca, 2020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AA60E3C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3318B8AE" w14:textId="77777777" w:rsidTr="00665089">
        <w:trPr>
          <w:trHeight w:val="51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6A784C8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41E0A3A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Netherlands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F7B2BB6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2348BA6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del 12q13.13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3823369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10,53 kb,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encompassing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the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whole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 AMHR2 gene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9F120E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Hetero (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compound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88420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Tosca, 2020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059763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PMDS</w:t>
            </w:r>
          </w:p>
        </w:tc>
      </w:tr>
      <w:tr w:rsidR="00C729CB" w:rsidRPr="00665089" w14:paraId="6E8D0DF3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5671B491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328F1D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4D2DD23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87A504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27655422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5596E9F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F5B48A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71BBF7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</w:tr>
      <w:tr w:rsidR="00C729CB" w:rsidRPr="00665089" w14:paraId="72BC3447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345D0C54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0AEBF77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China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AF426F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3880A4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NM_020547.2:c.626T&gt;A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14FF2E5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NM_020547.2:p.Ile209Asn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CA0C22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Hetero (1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allele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460FA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Qin, 2014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0D2D182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POI</w:t>
            </w:r>
          </w:p>
        </w:tc>
      </w:tr>
      <w:tr w:rsidR="00C729CB" w:rsidRPr="00665089" w14:paraId="77E41158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392E6FA5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57DDD7D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China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8A6E85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062D1D7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NM_020547.2:c.1060C&gt;T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0BD0245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NM_020547.2:p.Lys354Phe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B0FDE39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Hetero (1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allele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CD13C3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Qin, 2014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87BFE9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POI</w:t>
            </w:r>
          </w:p>
        </w:tc>
      </w:tr>
      <w:tr w:rsidR="00C729CB" w:rsidRPr="00665089" w14:paraId="6D197C88" w14:textId="77777777" w:rsidTr="00665089">
        <w:trPr>
          <w:trHeight w:val="319"/>
        </w:trPr>
        <w:tc>
          <w:tcPr>
            <w:tcW w:w="808" w:type="dxa"/>
            <w:shd w:val="clear" w:color="auto" w:fill="auto"/>
            <w:vAlign w:val="center"/>
            <w:hideMark/>
          </w:tcPr>
          <w:p w14:paraId="037A5947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7BFB976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13A8DFA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E658CCF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38D7A4A3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3D3C6F9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851C6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3A0062B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0"/>
                <w:szCs w:val="20"/>
                <w:lang w:eastAsia="es-AR"/>
              </w:rPr>
            </w:pPr>
          </w:p>
        </w:tc>
      </w:tr>
      <w:tr w:rsidR="00C729CB" w:rsidRPr="00665089" w14:paraId="33821FB6" w14:textId="77777777" w:rsidTr="00665089">
        <w:trPr>
          <w:trHeight w:val="319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14:paraId="05CB503E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3D1FE1D" w14:textId="77777777" w:rsidR="00744E55" w:rsidRPr="00744E55" w:rsidRDefault="00744E55" w:rsidP="00665089">
            <w:pPr>
              <w:spacing w:after="0" w:line="240" w:lineRule="auto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European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A0E831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14:paraId="69C7DA0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NM_020547.2:c.1330_1356del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14:paraId="3305169D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NM_020547.2:p.Gly445_Leu453del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541627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 xml:space="preserve">Hetero (1 </w:t>
            </w:r>
            <w:proofErr w:type="spellStart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allele</w:t>
            </w:r>
            <w:proofErr w:type="spellEnd"/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6B82D8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Malone, 2019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F874580" w14:textId="77777777" w:rsidR="00744E55" w:rsidRPr="00744E55" w:rsidRDefault="00744E55" w:rsidP="00665089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</w:pPr>
            <w:r w:rsidRPr="00744E55">
              <w:rPr>
                <w:rFonts w:ascii="Arial Nova" w:eastAsia="Times New Roman" w:hAnsi="Arial Nova" w:cs="Arial"/>
                <w:sz w:val="20"/>
                <w:szCs w:val="20"/>
                <w:lang w:eastAsia="es-AR"/>
              </w:rPr>
              <w:t>HH</w:t>
            </w:r>
          </w:p>
        </w:tc>
      </w:tr>
    </w:tbl>
    <w:p w14:paraId="1D1858FD" w14:textId="4A1AAD23" w:rsidR="0068685E" w:rsidRPr="00665089" w:rsidRDefault="0068685E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</w:p>
    <w:p w14:paraId="19ABA454" w14:textId="77777777" w:rsidR="00C729CB" w:rsidRPr="00665089" w:rsidRDefault="00C729CB" w:rsidP="00665089">
      <w:pPr>
        <w:spacing w:after="120" w:line="240" w:lineRule="auto"/>
        <w:rPr>
          <w:rFonts w:ascii="Arial Nova" w:hAnsi="Arial Nova"/>
          <w:b/>
          <w:bCs/>
          <w:i/>
          <w:iCs/>
          <w:sz w:val="20"/>
          <w:szCs w:val="20"/>
          <w:lang w:val="en-GB"/>
        </w:rPr>
      </w:pPr>
      <w:r w:rsidRPr="00665089">
        <w:rPr>
          <w:rFonts w:ascii="Arial Nova" w:hAnsi="Arial Nova"/>
          <w:b/>
          <w:bCs/>
          <w:i/>
          <w:iCs/>
          <w:sz w:val="20"/>
          <w:szCs w:val="20"/>
          <w:lang w:val="en-GB"/>
        </w:rPr>
        <w:t>References</w:t>
      </w:r>
    </w:p>
    <w:p w14:paraId="17F4A1BD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Ata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Ozen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Uzun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Goksen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Ozkinay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F,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Ozbaran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NB, Ulman I,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Darcan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S: A large cohort of disorders of sex development and their genetic characteristics: 6 novel mutations in known genes. Eur J Med Genet 64:104154 (2021).</w:t>
      </w:r>
    </w:p>
    <w:p w14:paraId="1EED97BE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Baxter RM,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Arboleda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VA, Lee 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Barseghyan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Adam MP, Fechner PY, Bargman R, Keegan C, Travers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Schelley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Hudgins L, Mathew RP, Stalker HJ, Zori R, Gordon OK, Ramos-Platt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Pawlikowska-Haddal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Eskin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Nelson SF, Delot E, Vilain E: Exome sequencing for the diagnosis of 46,XY disorders of sex development. J Clin Endocrinol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Metab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100:E333-344 (2015).</w:t>
      </w:r>
    </w:p>
    <w:p w14:paraId="1BE323D3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Bugrul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F,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Abali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ZY,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Kirkgoz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T,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Cerit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KK,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Canmemis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Turan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Tugtepe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Picard JY, Bereket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Guran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T: Persistent Mullerian Duct Syndrome: A Rare But Important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Etiology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of Inguinal Hernia and Cryptorchidism. Sex Dev (2020).</w:t>
      </w:r>
    </w:p>
    <w:p w14:paraId="73E21A49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Çakir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AD,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Turan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Emir H, Emre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Comunoglu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Ercan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O,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Evliyaoglu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O: A Novel Mutation of AMHR2 In Two Siblings with Persistent Mullerian Duct Syndrome. Sex Dev 11:289-292 (2017).</w:t>
      </w:r>
    </w:p>
    <w:p w14:paraId="44174B0B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Eggers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Sadedin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van den Bergen JA,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Robevska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G,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Ohnesorg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T, Hewitt J, Lambeth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Bouty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Knarston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IM, Tan TY, Cameron F, Werther G, Hutson J, O'Connell M, Grover SR,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Heloury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Y, Zacharin M, Bergman P, Kimber C, Brown J, Webb N, Hunter MF, Srinivasan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Titmuss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Verge CF, Mowat D, Smith G, Smith J,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Ewans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Shalhoub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C, Crock P, Cowell C, Leong GM, Ono M, Lafferty AR, Huynh T, Visser U, Choong CS, McKenzie F,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Pachter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N, Thompson EM, Couper J, Baxendale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Gecz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J, Wheeler BJ, Jefferies C,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MacKenzie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K, Hofman P, Carter P, King RI, Krausz C, van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Ravenswaaij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-Arts CM,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Looijenga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Drop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Riedl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Cools M, Dawson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Juniarto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AZ,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Khadilkar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V,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Khadilkar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Bhatia V, Dung VC, Atta I, Raza J,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Thi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Diem Chi N, Hao TK, Harley V, Koopman P, Warne G,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Faradz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Oshlack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A, Ayers KL, Sinclair AH: Disorders of sex development: insights from targeted gene sequencing of a large international patient cohort. Genome Biol 17:243 (2016).</w:t>
      </w:r>
    </w:p>
    <w:p w14:paraId="4CA6CDD2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>Fernández-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Cancio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M, Viswanath N,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Puzhankara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R,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Valiyaprambil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Pavithran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P, Mora-Palma C,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Camats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N, Audi L, Benito-Sanz S: A Novel Homozygous AMRH2 Gene Mutation in a Patient with Persistent Mullerian Duct Syndrome. Sex Dev 13:87-91 (2019).</w:t>
      </w:r>
    </w:p>
    <w:p w14:paraId="3632CF8D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García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Acero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M, Moreno O, Gutiérrez A, Sánchez C,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Catano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JG, Suárez-Obando F, Rojas A: Novel homozygous mutation in a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colombian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patient with persistent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mullerian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duct syndrome: expanded phenotype. Int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Braz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Urol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45:1064-1070 (2019).</w:t>
      </w:r>
    </w:p>
    <w:p w14:paraId="56511B07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lastRenderedPageBreak/>
        <w:t>Hughes LA, McKay-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Bounford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K, Webb EA, Dasani P,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Clokie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Chandran H, McCarthy L, Mohamed Z, Kirk JMW, Krone NP, Allen S, Cole TRP: Next generation sequencing (NGS) to improve the diagnosis and management of patients with disorders of sex development (DSD).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Endocr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Connect 8:100-110 (2019).</w:t>
      </w:r>
    </w:p>
    <w:p w14:paraId="0086CE56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Malone SA, Papadakis GE, Messina A,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Mimouni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NEH,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Trova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Imbernon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M, Allet C, Cimino I,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Acierno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Cassatella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D, Xu C, Quinton R,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Szinnai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G,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Pigny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P, Alonso-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Cotchico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Masgrau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Marechal JD,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Prevot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V,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Pitteloud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N,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Giacobini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P: Defective AMH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signaling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disrupts GnRH neuron development and function and contributes to hypogonadotropic hypogonadism.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Elife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8 (2019).</w:t>
      </w:r>
    </w:p>
    <w:p w14:paraId="4EA67735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Orós-Millán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ME, Muñoz-Calvo MT, Nishi MY, Mendonça B, Argente J: [Persistent Mullerian duct syndrome due to a mutation in the anti-Mullerian hormone receptor gene (AMHR2)]. An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Pediatr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(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Barc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>) 86:94-95 (2017).</w:t>
      </w:r>
    </w:p>
    <w:p w14:paraId="63380E69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Qin C, Yuan Z, Yao J, Zhu W, Wu W,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Xie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J: AMH and AMHR2 genetic variants in Chinese women with primary ovarian insufficiency and normal age at natural menopause.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Reprod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Biomed Online 29:311-318 (2014).</w:t>
      </w:r>
    </w:p>
    <w:p w14:paraId="788DB57F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Ren X, Wu D, Gong C: Persistent Mullerian duct syndrome: A case report and review. Exp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Ther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Med 14:5779-5784 (2017).</w:t>
      </w:r>
    </w:p>
    <w:p w14:paraId="6F78C3CB" w14:textId="77777777" w:rsidR="00C729CB" w:rsidRPr="00665089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r w:rsidRPr="00665089">
        <w:rPr>
          <w:rFonts w:ascii="Arial Nova" w:hAnsi="Arial Nova"/>
          <w:sz w:val="20"/>
          <w:szCs w:val="20"/>
          <w:lang w:val="en-GB"/>
        </w:rPr>
        <w:t xml:space="preserve">Tosca L,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Giltay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JC,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Bouvattier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C,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Klijn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AJ,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Bouligand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J, Lambert AS,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Lecerf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L, Josso N,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Tachdjian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G, Picard JY: Persistent Mullerian duct syndrome due to anti-Mullerian hormone receptor 2 microdeletions: a diagnostic challenge. Hum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Reprod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35:999-1003 (2020).</w:t>
      </w:r>
    </w:p>
    <w:p w14:paraId="7C70FFA3" w14:textId="06FC29ED" w:rsidR="0068685E" w:rsidRDefault="00C729CB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Unal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E, Yildirim R,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Tekin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S, Demir V,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Onay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H,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Haspolat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YK: A Novel Mutation of AMHR2 in Two Siblings with Persistent Müllerian Duct Syndrome. J Clin Res </w:t>
      </w:r>
      <w:proofErr w:type="spellStart"/>
      <w:r w:rsidRPr="00665089">
        <w:rPr>
          <w:rFonts w:ascii="Arial Nova" w:hAnsi="Arial Nova"/>
          <w:sz w:val="20"/>
          <w:szCs w:val="20"/>
          <w:lang w:val="en-GB"/>
        </w:rPr>
        <w:t>Pediatr</w:t>
      </w:r>
      <w:proofErr w:type="spellEnd"/>
      <w:r w:rsidRPr="00665089">
        <w:rPr>
          <w:rFonts w:ascii="Arial Nova" w:hAnsi="Arial Nova"/>
          <w:sz w:val="20"/>
          <w:szCs w:val="20"/>
          <w:lang w:val="en-GB"/>
        </w:rPr>
        <w:t xml:space="preserve"> Endocrinol 10:387-390 (2018).</w:t>
      </w:r>
    </w:p>
    <w:p w14:paraId="677FCEF5" w14:textId="77777777" w:rsidR="0068685E" w:rsidRPr="009C71C9" w:rsidRDefault="0068685E" w:rsidP="00665089">
      <w:pPr>
        <w:spacing w:after="120" w:line="240" w:lineRule="auto"/>
        <w:ind w:left="567" w:hanging="567"/>
        <w:rPr>
          <w:rFonts w:ascii="Arial Nova" w:hAnsi="Arial Nova"/>
          <w:sz w:val="20"/>
          <w:szCs w:val="20"/>
          <w:lang w:val="en-GB"/>
        </w:rPr>
      </w:pPr>
    </w:p>
    <w:sectPr w:rsidR="0068685E" w:rsidRPr="009C71C9" w:rsidSect="00505DE5">
      <w:pgSz w:w="16838" w:h="11906" w:orient="landscape"/>
      <w:pgMar w:top="108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C9"/>
    <w:rsid w:val="00505DE5"/>
    <w:rsid w:val="005D2BA9"/>
    <w:rsid w:val="00665089"/>
    <w:rsid w:val="0068685E"/>
    <w:rsid w:val="00744E55"/>
    <w:rsid w:val="009C71C9"/>
    <w:rsid w:val="00C7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776D"/>
  <w15:chartTrackingRefBased/>
  <w15:docId w15:val="{66526910-8BD9-4C5E-BD03-E3A2392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?term=Elias-Ass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Rey</dc:creator>
  <cp:keywords/>
  <dc:description/>
  <cp:lastModifiedBy>Rodolfo Rey</cp:lastModifiedBy>
  <cp:revision>3</cp:revision>
  <dcterms:created xsi:type="dcterms:W3CDTF">2021-04-05T18:26:00Z</dcterms:created>
  <dcterms:modified xsi:type="dcterms:W3CDTF">2021-04-05T18:29:00Z</dcterms:modified>
</cp:coreProperties>
</file>