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AF" w:rsidRPr="00F5345B" w:rsidRDefault="001B7CAA" w:rsidP="001B7C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B7CA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>
            <wp:extent cx="4171950" cy="3600450"/>
            <wp:effectExtent l="0" t="0" r="0" b="0"/>
            <wp:docPr id="2" name="Picture 2" descr="C:\Users\S Y Santosh\Desktop\OAANI_1_41\Revised_Figures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Y Santosh\Desktop\OAANI_1_41\Revised_Figures\Figure S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7AF" w:rsidRPr="00F5345B" w:rsidRDefault="009C57AF" w:rsidP="009C57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Fig.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Kaplan-Meier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stimation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>urve of the HEA resolution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factored in the result of OIT. </w:t>
      </w:r>
    </w:p>
    <w:p w:rsidR="009C57AF" w:rsidRPr="00F5345B" w:rsidRDefault="009C57AF" w:rsidP="009C57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who achieved sustained unresponsiveness to </w:t>
      </w:r>
      <w:proofErr w:type="gramStart"/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proofErr w:type="gramEnd"/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OIT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designated to have achieved tolerance. Those who continued OIT until they turned 12 years of age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designated to have continued elimination of HE. Those who were lost to follow up and those who discontinued OIT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designated to have dropped </w:t>
      </w:r>
      <w:r w:rsidRPr="000B472D">
        <w:rPr>
          <w:rFonts w:ascii="Times New Roman" w:hAnsi="Times New Roman" w:cs="Times New Roman"/>
          <w:sz w:val="24"/>
          <w:szCs w:val="24"/>
        </w:rPr>
        <w:t>out. HEA, hen's egg allergy; OIT, oral immunotherapy.</w:t>
      </w:r>
    </w:p>
    <w:p w:rsidR="00067FB1" w:rsidRDefault="00067FB1"/>
    <w:sectPr w:rsidR="0006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AF"/>
    <w:rsid w:val="00067FB1"/>
    <w:rsid w:val="000C0E0C"/>
    <w:rsid w:val="001B7CAA"/>
    <w:rsid w:val="009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8EDC5-3623-45A2-804A-5009FFB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7AF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2021-06-11T14:01:00Z</dcterms:created>
  <dcterms:modified xsi:type="dcterms:W3CDTF">2021-07-05T11:21:00Z</dcterms:modified>
</cp:coreProperties>
</file>