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BE9B3" w14:textId="77777777" w:rsidR="00782FEA" w:rsidRPr="000B4F3B" w:rsidRDefault="00782FEA" w:rsidP="00782FEA">
      <w:pPr>
        <w:pageBreakBefore/>
        <w:tabs>
          <w:tab w:val="left" w:pos="1950"/>
        </w:tabs>
        <w:snapToGrid w:val="0"/>
        <w:spacing w:before="240" w:after="240" w:line="480" w:lineRule="auto"/>
        <w:rPr>
          <w:rFonts w:ascii="Times New Roman" w:eastAsia="Arial" w:hAnsi="Times New Roman" w:cs="Times New Roman"/>
          <w:b/>
          <w:bCs/>
          <w:caps/>
          <w:color w:val="000000"/>
          <w:sz w:val="24"/>
          <w:szCs w:val="24"/>
        </w:rPr>
      </w:pPr>
      <w:r>
        <w:rPr>
          <w:rFonts w:ascii="Times New Roman" w:eastAsia="Arial" w:hAnsi="Times New Roman" w:cs="Times New Roman"/>
          <w:b/>
          <w:bCs/>
          <w:caps/>
          <w:color w:val="000000"/>
          <w:sz w:val="24"/>
          <w:szCs w:val="24"/>
        </w:rPr>
        <w:t>SUPPLEMENTARY MATERIAL</w:t>
      </w:r>
      <w:r w:rsidRPr="000B4F3B">
        <w:rPr>
          <w:rFonts w:ascii="Times New Roman" w:eastAsia="Arial" w:hAnsi="Times New Roman" w:cs="Times New Roman"/>
          <w:b/>
          <w:bCs/>
          <w:caps/>
          <w:color w:val="000000"/>
          <w:sz w:val="24"/>
          <w:szCs w:val="24"/>
        </w:rPr>
        <w:t xml:space="preserve"> 1.</w:t>
      </w:r>
      <w:r w:rsidRPr="000B4F3B">
        <w:rPr>
          <w:rFonts w:ascii="Times New Roman" w:eastAsia="Arial" w:hAnsi="Times New Roman" w:cs="Times New Roman"/>
          <w:b/>
          <w:bCs/>
          <w:caps/>
          <w:color w:val="000000"/>
          <w:sz w:val="24"/>
          <w:szCs w:val="24"/>
        </w:rPr>
        <w:tab/>
        <w:t xml:space="preserve">Hypothetical study entry criteria </w:t>
      </w:r>
      <w:r w:rsidRPr="000B4F3B">
        <w:rPr>
          <w:rFonts w:ascii="Times New Roman" w:eastAsia="Arial" w:hAnsi="Times New Roman" w:cs="Times New Roman"/>
          <w:b/>
          <w:bCs/>
          <w:color w:val="000000"/>
          <w:sz w:val="24"/>
          <w:szCs w:val="24"/>
        </w:rPr>
        <w:t>(</w:t>
      </w:r>
      <w:r w:rsidRPr="000B4F3B">
        <w:rPr>
          <w:rFonts w:ascii="Times New Roman" w:hAnsi="Times New Roman" w:cs="Times New Roman"/>
          <w:b/>
          <w:bCs/>
          <w:color w:val="000000"/>
          <w:sz w:val="24"/>
          <w:szCs w:val="24"/>
        </w:rPr>
        <w:t>MODIFIED FROM THE CONCERTO STUDY [</w:t>
      </w:r>
      <w:r>
        <w:rPr>
          <w:rFonts w:ascii="Times New Roman" w:hAnsi="Times New Roman" w:cs="Times New Roman"/>
          <w:b/>
          <w:bCs/>
          <w:color w:val="000000"/>
          <w:sz w:val="24"/>
          <w:szCs w:val="24"/>
          <w:shd w:val="clear" w:color="auto" w:fill="FFFFFF"/>
        </w:rPr>
        <w:t>NCT01185301])</w:t>
      </w:r>
    </w:p>
    <w:p w14:paraId="511147C0" w14:textId="77777777" w:rsidR="00782FEA" w:rsidRPr="000B4F3B" w:rsidRDefault="00782FEA" w:rsidP="00782FEA">
      <w:pPr>
        <w:tabs>
          <w:tab w:val="left" w:pos="1950"/>
        </w:tabs>
        <w:snapToGrid w:val="0"/>
        <w:spacing w:before="240" w:after="240" w:line="480" w:lineRule="auto"/>
        <w:rPr>
          <w:rFonts w:ascii="Times New Roman" w:eastAsia="Arial" w:hAnsi="Times New Roman" w:cs="Times New Roman"/>
          <w:b/>
          <w:bCs/>
          <w:i/>
          <w:iCs/>
          <w:color w:val="000000"/>
          <w:sz w:val="24"/>
          <w:szCs w:val="24"/>
        </w:rPr>
      </w:pPr>
      <w:r w:rsidRPr="000B4F3B">
        <w:rPr>
          <w:rFonts w:ascii="Times New Roman" w:eastAsia="Arial" w:hAnsi="Times New Roman" w:cs="Times New Roman"/>
          <w:b/>
          <w:bCs/>
          <w:i/>
          <w:iCs/>
          <w:color w:val="000000"/>
          <w:sz w:val="24"/>
          <w:szCs w:val="24"/>
        </w:rPr>
        <w:t>Inclusion Criteria</w:t>
      </w:r>
    </w:p>
    <w:p w14:paraId="1EFA74C8" w14:textId="77777777" w:rsidR="00782FEA" w:rsidRDefault="00782FEA" w:rsidP="00782FEA">
      <w:pPr>
        <w:numPr>
          <w:ilvl w:val="0"/>
          <w:numId w:val="1"/>
        </w:numPr>
        <w:shd w:val="clear" w:color="auto" w:fill="FFFFFF"/>
        <w:snapToGrid w:val="0"/>
        <w:spacing w:before="240" w:after="24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Male and female subjects; age 18 years to 80 years</w:t>
      </w:r>
    </w:p>
    <w:p w14:paraId="095EE2F1" w14:textId="77777777" w:rsidR="00782FEA" w:rsidRDefault="00782FEA" w:rsidP="00782FEA">
      <w:pPr>
        <w:numPr>
          <w:ilvl w:val="0"/>
          <w:numId w:val="1"/>
        </w:numPr>
        <w:shd w:val="clear" w:color="auto" w:fill="FFFFFF"/>
        <w:snapToGrid w:val="0"/>
        <w:spacing w:before="240" w:after="24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has a diagnosis of Rheumatoid Arthritis (RA) as defined by either the 1987-revised American College of Rheumatology (ACR) classification criteria or the new ACR / European League Against Rheumatism (EULAR) diagnostic criteria for RA 2010 and has a disease duration of less than 1 year from diagnosis by a licensed health care provider</w:t>
      </w:r>
    </w:p>
    <w:p w14:paraId="1834F991" w14:textId="77777777" w:rsidR="00782FEA" w:rsidRDefault="00782FEA" w:rsidP="00782FEA">
      <w:pPr>
        <w:numPr>
          <w:ilvl w:val="0"/>
          <w:numId w:val="1"/>
        </w:numPr>
        <w:shd w:val="clear" w:color="auto" w:fill="FFFFFF"/>
        <w:snapToGrid w:val="0"/>
        <w:spacing w:before="240" w:after="24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must meet the following criteria:</w:t>
      </w:r>
    </w:p>
    <w:p w14:paraId="4356E420" w14:textId="77777777" w:rsidR="00782FEA" w:rsidRDefault="00782FEA" w:rsidP="00782FEA">
      <w:pPr>
        <w:numPr>
          <w:ilvl w:val="2"/>
          <w:numId w:val="1"/>
        </w:numPr>
        <w:shd w:val="clear" w:color="auto" w:fill="FFFFFF"/>
        <w:tabs>
          <w:tab w:val="clear" w:pos="2160"/>
        </w:tabs>
        <w:snapToGrid w:val="0"/>
        <w:spacing w:before="240" w:after="240" w:line="48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Disease Activity Score of C-reactive Protein (DAS28[CRP]) ≥ 3.2 (at Baseline visit)</w:t>
      </w:r>
    </w:p>
    <w:p w14:paraId="777A7F28" w14:textId="77777777" w:rsidR="00782FEA" w:rsidRDefault="00782FEA" w:rsidP="00782FEA">
      <w:pPr>
        <w:numPr>
          <w:ilvl w:val="2"/>
          <w:numId w:val="1"/>
        </w:numPr>
        <w:shd w:val="clear" w:color="auto" w:fill="FFFFFF"/>
        <w:tabs>
          <w:tab w:val="clear" w:pos="2160"/>
        </w:tabs>
        <w:snapToGrid w:val="0"/>
        <w:spacing w:before="240" w:after="240" w:line="48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least 6 swollen joints out of 66 assessed (at the Screening and Baseline visits)</w:t>
      </w:r>
    </w:p>
    <w:p w14:paraId="316D1213" w14:textId="77777777" w:rsidR="00782FEA" w:rsidRDefault="00782FEA" w:rsidP="00782FEA">
      <w:pPr>
        <w:numPr>
          <w:ilvl w:val="2"/>
          <w:numId w:val="1"/>
        </w:numPr>
        <w:shd w:val="clear" w:color="auto" w:fill="FFFFFF"/>
        <w:tabs>
          <w:tab w:val="clear" w:pos="2160"/>
        </w:tabs>
        <w:snapToGrid w:val="0"/>
        <w:spacing w:before="240" w:after="240" w:line="48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least 8 tender joints out of 68 assessed (at the Screening and Baseline visits)</w:t>
      </w:r>
    </w:p>
    <w:p w14:paraId="405B3626" w14:textId="77777777" w:rsidR="00782FEA" w:rsidRDefault="00782FEA" w:rsidP="00782FEA">
      <w:pPr>
        <w:numPr>
          <w:ilvl w:val="2"/>
          <w:numId w:val="1"/>
        </w:numPr>
        <w:shd w:val="clear" w:color="auto" w:fill="FFFFFF"/>
        <w:tabs>
          <w:tab w:val="clear" w:pos="2160"/>
        </w:tabs>
        <w:snapToGrid w:val="0"/>
        <w:spacing w:before="240" w:after="240" w:line="48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C-reactive protein (CRP) ≥ 1.5 mg/dL (at the Screening visit only), or erythrocyte sedimentation rate (ESR) ≥ 28 mm/1h (at the Screening and Baseline visits)</w:t>
      </w:r>
    </w:p>
    <w:p w14:paraId="06392214" w14:textId="77777777" w:rsidR="00782FEA" w:rsidRDefault="00782FEA" w:rsidP="00782FEA">
      <w:pPr>
        <w:numPr>
          <w:ilvl w:val="2"/>
          <w:numId w:val="1"/>
        </w:numPr>
        <w:shd w:val="clear" w:color="auto" w:fill="FFFFFF"/>
        <w:tabs>
          <w:tab w:val="clear" w:pos="2160"/>
        </w:tabs>
        <w:snapToGrid w:val="0"/>
        <w:spacing w:before="240" w:after="240" w:line="48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Fulfill </w:t>
      </w:r>
      <w:r>
        <w:rPr>
          <w:rFonts w:ascii="Symbol" w:eastAsia="Symbol" w:hAnsi="Symbol" w:cs="Symbol"/>
          <w:color w:val="000000"/>
          <w:sz w:val="24"/>
          <w:szCs w:val="24"/>
        </w:rPr>
        <w:t>³</w:t>
      </w:r>
      <w:r>
        <w:rPr>
          <w:rFonts w:ascii="Times New Roman" w:eastAsia="Times New Roman" w:hAnsi="Times New Roman" w:cs="Times New Roman"/>
          <w:color w:val="000000"/>
          <w:sz w:val="24"/>
          <w:szCs w:val="24"/>
        </w:rPr>
        <w:t xml:space="preserve"> 1 of the following three criteria: Rheumatoid Factor (RF) positive, have at least 1 bony erosion, anti-cyclic citrullinated peptide (anti-CCP) antibody positive</w:t>
      </w:r>
    </w:p>
    <w:p w14:paraId="58DD1DAD" w14:textId="77777777" w:rsidR="00782FEA" w:rsidRDefault="00782FEA" w:rsidP="00782FEA">
      <w:pPr>
        <w:numPr>
          <w:ilvl w:val="0"/>
          <w:numId w:val="1"/>
        </w:numPr>
        <w:shd w:val="clear" w:color="auto" w:fill="FFFFFF"/>
        <w:snapToGrid w:val="0"/>
        <w:spacing w:before="240" w:after="240" w:line="480" w:lineRule="auto"/>
        <w:ind w:left="360"/>
        <w:rPr>
          <w:rFonts w:ascii="Times New Roman" w:eastAsia="Times New Roman" w:hAnsi="Times New Roman" w:cs="Times New Roman"/>
          <w:color w:val="000000"/>
          <w:sz w:val="24"/>
          <w:szCs w:val="24"/>
        </w:rPr>
      </w:pPr>
      <w:r w:rsidRPr="00500EB8">
        <w:rPr>
          <w:rFonts w:ascii="Times New Roman" w:eastAsia="Times New Roman" w:hAnsi="Times New Roman" w:cs="Times New Roman"/>
          <w:color w:val="000000"/>
          <w:sz w:val="24"/>
          <w:szCs w:val="24"/>
        </w:rPr>
        <w:t xml:space="preserve">Subject is judged to be in good health as determined by the Principal Investigator based upon the results of medical history, laboratory profile, physical examination, chest x-ray (CXR), and a 12-lead electrocardiogram (ECG) performed during </w:t>
      </w:r>
      <w:r>
        <w:rPr>
          <w:rFonts w:ascii="Times New Roman" w:eastAsia="Times New Roman" w:hAnsi="Times New Roman" w:cs="Times New Roman"/>
          <w:color w:val="000000"/>
          <w:sz w:val="24"/>
          <w:szCs w:val="24"/>
        </w:rPr>
        <w:t>s</w:t>
      </w:r>
      <w:r w:rsidRPr="00500EB8">
        <w:rPr>
          <w:rFonts w:ascii="Times New Roman" w:eastAsia="Times New Roman" w:hAnsi="Times New Roman" w:cs="Times New Roman"/>
          <w:color w:val="000000"/>
          <w:sz w:val="24"/>
          <w:szCs w:val="24"/>
        </w:rPr>
        <w:t>creening</w:t>
      </w:r>
    </w:p>
    <w:p w14:paraId="35C84978" w14:textId="77777777" w:rsidR="00782FEA" w:rsidRPr="000B4F3B" w:rsidRDefault="00782FEA" w:rsidP="00782FEA">
      <w:pPr>
        <w:tabs>
          <w:tab w:val="left" w:pos="1950"/>
        </w:tabs>
        <w:snapToGrid w:val="0"/>
        <w:spacing w:before="240" w:after="240" w:line="480" w:lineRule="auto"/>
        <w:rPr>
          <w:rFonts w:ascii="Times New Roman" w:eastAsia="Arial" w:hAnsi="Times New Roman" w:cs="Times New Roman"/>
          <w:b/>
          <w:bCs/>
          <w:i/>
          <w:iCs/>
          <w:color w:val="000000"/>
          <w:sz w:val="24"/>
          <w:szCs w:val="24"/>
        </w:rPr>
      </w:pPr>
      <w:r w:rsidRPr="000B4F3B">
        <w:rPr>
          <w:rFonts w:ascii="Times New Roman" w:eastAsia="Arial" w:hAnsi="Times New Roman" w:cs="Times New Roman"/>
          <w:b/>
          <w:bCs/>
          <w:i/>
          <w:iCs/>
          <w:color w:val="000000"/>
          <w:sz w:val="24"/>
          <w:szCs w:val="24"/>
        </w:rPr>
        <w:lastRenderedPageBreak/>
        <w:t>Exclusion Criteria</w:t>
      </w:r>
    </w:p>
    <w:p w14:paraId="5FB74F57" w14:textId="77777777" w:rsidR="00782FEA" w:rsidRDefault="00782FEA" w:rsidP="00782FEA">
      <w:pPr>
        <w:numPr>
          <w:ilvl w:val="0"/>
          <w:numId w:val="2"/>
        </w:numPr>
        <w:shd w:val="clear" w:color="auto" w:fill="FFFFFF"/>
        <w:snapToGrid w:val="0"/>
        <w:spacing w:before="240" w:after="24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has history of pre-existing insomnia, obstructive sleep apnea, or restless leg syndrome</w:t>
      </w:r>
    </w:p>
    <w:p w14:paraId="166BB924" w14:textId="77777777" w:rsidR="00782FEA" w:rsidRDefault="00782FEA" w:rsidP="00782FEA">
      <w:pPr>
        <w:numPr>
          <w:ilvl w:val="0"/>
          <w:numId w:val="2"/>
        </w:numPr>
        <w:shd w:val="clear" w:color="auto" w:fill="FFFFFF"/>
        <w:snapToGrid w:val="0"/>
        <w:spacing w:before="240" w:after="24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has previous exposure to any systemic biologic therapy including adalimumab</w:t>
      </w:r>
    </w:p>
    <w:p w14:paraId="3DAA4935" w14:textId="77777777" w:rsidR="00782FEA" w:rsidRDefault="00782FEA" w:rsidP="00782FEA">
      <w:pPr>
        <w:numPr>
          <w:ilvl w:val="0"/>
          <w:numId w:val="2"/>
        </w:numPr>
        <w:shd w:val="clear" w:color="auto" w:fill="FFFFFF"/>
        <w:snapToGrid w:val="0"/>
        <w:spacing w:before="240" w:after="24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has been previously treated with greater than 1 disease modifying antirheumatic drugs (DMARDs) or with methotrexate (MTX)</w:t>
      </w:r>
    </w:p>
    <w:p w14:paraId="48C759C2" w14:textId="77777777" w:rsidR="00782FEA" w:rsidRDefault="00782FEA" w:rsidP="00782FEA">
      <w:pPr>
        <w:numPr>
          <w:ilvl w:val="0"/>
          <w:numId w:val="2"/>
        </w:numPr>
        <w:shd w:val="clear" w:color="auto" w:fill="FFFFFF"/>
        <w:snapToGrid w:val="0"/>
        <w:spacing w:before="240" w:after="24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has undergone joint surgery within the preceding two months (at joints to be assessed within the study)</w:t>
      </w:r>
    </w:p>
    <w:p w14:paraId="22CB49B6" w14:textId="77777777" w:rsidR="00782FEA" w:rsidRDefault="00782FEA" w:rsidP="00782FEA">
      <w:pPr>
        <w:numPr>
          <w:ilvl w:val="0"/>
          <w:numId w:val="2"/>
        </w:numPr>
        <w:shd w:val="clear" w:color="auto" w:fill="FFFFFF"/>
        <w:snapToGrid w:val="0"/>
        <w:spacing w:before="240" w:after="24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has chronic arthritis diagnosed before age 17 years</w:t>
      </w:r>
    </w:p>
    <w:p w14:paraId="6BD7839C" w14:textId="77777777" w:rsidR="00782FEA" w:rsidRDefault="00782FEA" w:rsidP="00782FEA">
      <w:pPr>
        <w:numPr>
          <w:ilvl w:val="0"/>
          <w:numId w:val="2"/>
        </w:numPr>
        <w:shd w:val="clear" w:color="auto" w:fill="FFFFFF"/>
        <w:snapToGrid w:val="0"/>
        <w:spacing w:before="240" w:after="24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History of invasive infection (e.g., listeriosis and histoplasmosis), chronic or active Hepatitis C infection, human immunodeficiency virus (HIV) infection, immunodeficiency syndrome, chronic recurring infections or active tuberculosis (TB)</w:t>
      </w:r>
    </w:p>
    <w:p w14:paraId="45E0F63A" w14:textId="77777777" w:rsidR="00782FEA" w:rsidRDefault="00782FEA" w:rsidP="00782FEA">
      <w:pPr>
        <w:numPr>
          <w:ilvl w:val="0"/>
          <w:numId w:val="2"/>
        </w:numPr>
        <w:shd w:val="clear" w:color="auto" w:fill="FFFFFF"/>
        <w:snapToGrid w:val="0"/>
        <w:spacing w:before="240" w:after="24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Hepatitis B virus: hepatitis B surface antigen (HBs Ag) positive (+) or detected sensitivity on the hepatitis B virus DNA (HBV DNA) polymerase chain reaction (PCR) qualitative test</w:t>
      </w:r>
    </w:p>
    <w:p w14:paraId="6252E0F7" w14:textId="77777777" w:rsidR="00782FEA" w:rsidRDefault="00782FEA" w:rsidP="00782FEA">
      <w:pPr>
        <w:numPr>
          <w:ilvl w:val="0"/>
          <w:numId w:val="2"/>
        </w:numPr>
        <w:shd w:val="clear" w:color="auto" w:fill="FFFFFF"/>
        <w:snapToGrid w:val="0"/>
        <w:spacing w:before="240" w:after="240"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Infection(s) requiring treatment with intravenous (IV) anti-infectives within 30 days prior to the Baseline Visit or oral anti-infectives within 14 days prior to the Baseline visit</w:t>
      </w:r>
    </w:p>
    <w:p w14:paraId="208D5207" w14:textId="77777777" w:rsidR="00782FEA" w:rsidRPr="00500EB8" w:rsidRDefault="00782FEA" w:rsidP="00782FEA">
      <w:pPr>
        <w:numPr>
          <w:ilvl w:val="0"/>
          <w:numId w:val="2"/>
        </w:numPr>
        <w:shd w:val="clear" w:color="auto" w:fill="FFFFFF"/>
        <w:snapToGrid w:val="0"/>
        <w:spacing w:before="240" w:after="240" w:line="480" w:lineRule="auto"/>
        <w:ind w:left="360"/>
        <w:rPr>
          <w:rFonts w:ascii="Times New Roman" w:eastAsia="Times New Roman" w:hAnsi="Times New Roman" w:cs="Times New Roman"/>
          <w:color w:val="000000"/>
          <w:sz w:val="24"/>
          <w:szCs w:val="24"/>
        </w:rPr>
      </w:pPr>
      <w:r w:rsidRPr="00500EB8">
        <w:rPr>
          <w:rFonts w:ascii="Times New Roman" w:eastAsia="Times New Roman" w:hAnsi="Times New Roman" w:cs="Times New Roman"/>
          <w:color w:val="000000"/>
          <w:sz w:val="24"/>
          <w:szCs w:val="24"/>
        </w:rPr>
        <w:t>Female subject who is pregnant or breast-feeding or considering becoming pregnant</w:t>
      </w:r>
    </w:p>
    <w:p w14:paraId="68909867" w14:textId="77777777" w:rsidR="00782FEA" w:rsidRPr="000B4F3B" w:rsidRDefault="00782FEA" w:rsidP="00782FEA">
      <w:pPr>
        <w:tabs>
          <w:tab w:val="left" w:pos="1950"/>
        </w:tabs>
        <w:snapToGrid w:val="0"/>
        <w:spacing w:before="240" w:after="240" w:line="480" w:lineRule="auto"/>
        <w:rPr>
          <w:rFonts w:ascii="Times New Roman" w:eastAsia="Arial" w:hAnsi="Times New Roman" w:cs="Times New Roman"/>
          <w:color w:val="000000"/>
          <w:sz w:val="24"/>
          <w:szCs w:val="24"/>
        </w:rPr>
      </w:pPr>
    </w:p>
    <w:p w14:paraId="0E339AA9" w14:textId="77777777" w:rsidR="00782FEA" w:rsidRPr="000B4F3B" w:rsidRDefault="00782FEA" w:rsidP="00782FEA">
      <w:pPr>
        <w:tabs>
          <w:tab w:val="left" w:pos="1950"/>
        </w:tabs>
        <w:snapToGrid w:val="0"/>
        <w:spacing w:before="240" w:after="240" w:line="480" w:lineRule="auto"/>
        <w:rPr>
          <w:rFonts w:ascii="Times New Roman" w:eastAsia="Arial" w:hAnsi="Times New Roman" w:cs="Times New Roman"/>
          <w:color w:val="000000"/>
          <w:sz w:val="24"/>
          <w:szCs w:val="24"/>
        </w:rPr>
      </w:pPr>
    </w:p>
    <w:p w14:paraId="6CC106CE" w14:textId="77777777" w:rsidR="00782FEA" w:rsidRPr="000B4F3B" w:rsidRDefault="00782FEA" w:rsidP="00782FEA">
      <w:pPr>
        <w:pageBreakBefore/>
        <w:tabs>
          <w:tab w:val="left" w:pos="1950"/>
        </w:tabs>
        <w:snapToGrid w:val="0"/>
        <w:spacing w:before="240" w:after="240" w:line="480" w:lineRule="auto"/>
        <w:rPr>
          <w:rFonts w:ascii="Times New Roman" w:eastAsia="Arial" w:hAnsi="Times New Roman" w:cs="Times New Roman"/>
          <w:b/>
          <w:bCs/>
          <w:caps/>
          <w:color w:val="000000"/>
          <w:sz w:val="24"/>
          <w:szCs w:val="24"/>
        </w:rPr>
      </w:pPr>
      <w:r>
        <w:rPr>
          <w:rFonts w:ascii="Times New Roman" w:eastAsia="Arial" w:hAnsi="Times New Roman" w:cs="Times New Roman"/>
          <w:b/>
          <w:bCs/>
          <w:caps/>
          <w:color w:val="000000"/>
          <w:sz w:val="24"/>
          <w:szCs w:val="24"/>
        </w:rPr>
        <w:lastRenderedPageBreak/>
        <w:t>SUPPLEMENTARY MATERIAL</w:t>
      </w:r>
      <w:r w:rsidRPr="000B4F3B">
        <w:rPr>
          <w:rFonts w:ascii="Times New Roman" w:eastAsia="Arial" w:hAnsi="Times New Roman" w:cs="Times New Roman"/>
          <w:b/>
          <w:bCs/>
          <w:caps/>
          <w:color w:val="000000"/>
          <w:sz w:val="24"/>
          <w:szCs w:val="24"/>
        </w:rPr>
        <w:t xml:space="preserve"> 2.</w:t>
      </w:r>
      <w:r w:rsidRPr="000B4F3B">
        <w:rPr>
          <w:rFonts w:ascii="Times New Roman" w:eastAsia="Arial" w:hAnsi="Times New Roman" w:cs="Times New Roman"/>
          <w:b/>
          <w:bCs/>
          <w:caps/>
          <w:color w:val="000000"/>
          <w:sz w:val="24"/>
          <w:szCs w:val="24"/>
        </w:rPr>
        <w:tab/>
        <w:t>Hypothetical study Description of Parameters</w:t>
      </w:r>
    </w:p>
    <w:tbl>
      <w:tblPr>
        <w:tblW w:w="94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85"/>
        <w:gridCol w:w="4860"/>
      </w:tblGrid>
      <w:tr w:rsidR="00782FEA" w:rsidRPr="000B4F3B" w14:paraId="319F95AC" w14:textId="77777777" w:rsidTr="00021A55">
        <w:trPr>
          <w:tblHeader/>
        </w:trPr>
        <w:tc>
          <w:tcPr>
            <w:tcW w:w="4585" w:type="dxa"/>
            <w:shd w:val="clear" w:color="auto" w:fill="auto"/>
          </w:tcPr>
          <w:p w14:paraId="442EFCA1" w14:textId="77777777" w:rsidR="00782FEA" w:rsidRPr="000B4F3B" w:rsidRDefault="00782FEA" w:rsidP="00021A55">
            <w:pPr>
              <w:keepNext/>
              <w:spacing w:before="60" w:after="60" w:line="240" w:lineRule="auto"/>
              <w:jc w:val="center"/>
              <w:rPr>
                <w:rFonts w:ascii="Times New Roman" w:eastAsia="MS Mincho" w:hAnsi="Times New Roman" w:cs="Times New Roman"/>
                <w:b/>
                <w:sz w:val="20"/>
                <w:szCs w:val="20"/>
              </w:rPr>
            </w:pPr>
            <w:r w:rsidRPr="000B4F3B">
              <w:rPr>
                <w:rFonts w:ascii="Times New Roman" w:eastAsia="MS Mincho" w:hAnsi="Times New Roman" w:cs="Times New Roman"/>
                <w:b/>
                <w:sz w:val="20"/>
                <w:szCs w:val="20"/>
              </w:rPr>
              <w:t>Parameter Category</w:t>
            </w:r>
          </w:p>
        </w:tc>
        <w:tc>
          <w:tcPr>
            <w:tcW w:w="4860" w:type="dxa"/>
            <w:shd w:val="clear" w:color="auto" w:fill="auto"/>
          </w:tcPr>
          <w:p w14:paraId="599E86A0" w14:textId="77777777" w:rsidR="00782FEA" w:rsidRPr="000B4F3B" w:rsidRDefault="00782FEA" w:rsidP="00021A55">
            <w:pPr>
              <w:keepNext/>
              <w:spacing w:before="60" w:after="60" w:line="240" w:lineRule="auto"/>
              <w:jc w:val="center"/>
              <w:rPr>
                <w:rFonts w:ascii="Times New Roman" w:eastAsia="MS Mincho" w:hAnsi="Times New Roman" w:cs="Times New Roman"/>
                <w:b/>
                <w:sz w:val="20"/>
                <w:szCs w:val="20"/>
              </w:rPr>
            </w:pPr>
            <w:r w:rsidRPr="000B4F3B">
              <w:rPr>
                <w:rFonts w:ascii="Times New Roman" w:eastAsia="MS Mincho" w:hAnsi="Times New Roman" w:cs="Times New Roman"/>
                <w:b/>
                <w:sz w:val="20"/>
                <w:szCs w:val="20"/>
              </w:rPr>
              <w:t>Parameter Name</w:t>
            </w:r>
          </w:p>
        </w:tc>
      </w:tr>
      <w:tr w:rsidR="00782FEA" w:rsidRPr="000B4F3B" w14:paraId="01CF22C2" w14:textId="77777777" w:rsidTr="00021A55">
        <w:tc>
          <w:tcPr>
            <w:tcW w:w="4585" w:type="dxa"/>
            <w:vMerge w:val="restart"/>
            <w:shd w:val="clear" w:color="auto" w:fill="auto"/>
          </w:tcPr>
          <w:p w14:paraId="523DB064" w14:textId="77777777" w:rsidR="00782FEA" w:rsidRPr="000B4F3B" w:rsidRDefault="00782FEA" w:rsidP="00021A55">
            <w:pPr>
              <w:spacing w:before="60" w:after="60" w:line="240" w:lineRule="auto"/>
              <w:jc w:val="center"/>
              <w:rPr>
                <w:rFonts w:ascii="Times New Roman" w:eastAsia="MS Mincho" w:hAnsi="Times New Roman" w:cs="Times New Roman"/>
                <w:bCs/>
                <w:sz w:val="20"/>
                <w:szCs w:val="20"/>
              </w:rPr>
            </w:pPr>
            <w:r w:rsidRPr="000B4F3B">
              <w:rPr>
                <w:rFonts w:ascii="Times New Roman" w:eastAsia="MS Mincho" w:hAnsi="Times New Roman" w:cs="Times New Roman"/>
                <w:bCs/>
                <w:sz w:val="20"/>
                <w:szCs w:val="20"/>
              </w:rPr>
              <w:t>Actigraphy Sleep Measures</w:t>
            </w:r>
          </w:p>
        </w:tc>
        <w:tc>
          <w:tcPr>
            <w:tcW w:w="4860" w:type="dxa"/>
            <w:shd w:val="clear" w:color="auto" w:fill="auto"/>
          </w:tcPr>
          <w:p w14:paraId="23A4BC0E"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Sleep Onset Latency</w:t>
            </w:r>
          </w:p>
        </w:tc>
      </w:tr>
      <w:tr w:rsidR="00782FEA" w:rsidRPr="000B4F3B" w14:paraId="69A3E8FC" w14:textId="77777777" w:rsidTr="00021A55">
        <w:tc>
          <w:tcPr>
            <w:tcW w:w="4585" w:type="dxa"/>
            <w:vMerge/>
            <w:shd w:val="clear" w:color="auto" w:fill="auto"/>
          </w:tcPr>
          <w:p w14:paraId="02750C66"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5F696711"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Snooze Time</w:t>
            </w:r>
          </w:p>
        </w:tc>
      </w:tr>
      <w:tr w:rsidR="00782FEA" w:rsidRPr="000B4F3B" w14:paraId="7A79B8B1" w14:textId="77777777" w:rsidTr="00021A55">
        <w:tc>
          <w:tcPr>
            <w:tcW w:w="4585" w:type="dxa"/>
            <w:vMerge/>
            <w:shd w:val="clear" w:color="auto" w:fill="auto"/>
          </w:tcPr>
          <w:p w14:paraId="502E00BC"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0FDF0970"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Sleep Duration</w:t>
            </w:r>
          </w:p>
        </w:tc>
      </w:tr>
      <w:tr w:rsidR="00782FEA" w:rsidRPr="000B4F3B" w14:paraId="12684A62" w14:textId="77777777" w:rsidTr="00021A55">
        <w:tc>
          <w:tcPr>
            <w:tcW w:w="4585" w:type="dxa"/>
            <w:vMerge/>
            <w:shd w:val="clear" w:color="auto" w:fill="auto"/>
          </w:tcPr>
          <w:p w14:paraId="2AAF688C"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264A7B48"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Efficiency</w:t>
            </w:r>
          </w:p>
        </w:tc>
      </w:tr>
      <w:tr w:rsidR="00782FEA" w:rsidRPr="000B4F3B" w14:paraId="13F30B44" w14:textId="77777777" w:rsidTr="00021A55">
        <w:tc>
          <w:tcPr>
            <w:tcW w:w="4585" w:type="dxa"/>
            <w:vMerge/>
            <w:shd w:val="clear" w:color="auto" w:fill="auto"/>
          </w:tcPr>
          <w:p w14:paraId="45FA412E"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2CA368AA"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Fragmentation</w:t>
            </w:r>
          </w:p>
        </w:tc>
      </w:tr>
      <w:tr w:rsidR="00782FEA" w:rsidRPr="000B4F3B" w14:paraId="439B0176" w14:textId="77777777" w:rsidTr="00021A55">
        <w:tc>
          <w:tcPr>
            <w:tcW w:w="4585" w:type="dxa"/>
            <w:vMerge/>
            <w:shd w:val="clear" w:color="auto" w:fill="auto"/>
          </w:tcPr>
          <w:p w14:paraId="6E03EA72"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274600D7"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Percent Sleep</w:t>
            </w:r>
          </w:p>
        </w:tc>
      </w:tr>
      <w:tr w:rsidR="00782FEA" w:rsidRPr="000B4F3B" w14:paraId="1B1AB8B8" w14:textId="77777777" w:rsidTr="00021A55">
        <w:tc>
          <w:tcPr>
            <w:tcW w:w="4585" w:type="dxa"/>
            <w:vMerge/>
            <w:shd w:val="clear" w:color="auto" w:fill="auto"/>
          </w:tcPr>
          <w:p w14:paraId="2C93DF0A"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3FE04DF0"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Wake Time</w:t>
            </w:r>
          </w:p>
        </w:tc>
      </w:tr>
      <w:tr w:rsidR="00782FEA" w:rsidRPr="000B4F3B" w14:paraId="2971470D" w14:textId="77777777" w:rsidTr="00021A55">
        <w:tc>
          <w:tcPr>
            <w:tcW w:w="4585" w:type="dxa"/>
            <w:vMerge/>
            <w:shd w:val="clear" w:color="auto" w:fill="auto"/>
          </w:tcPr>
          <w:p w14:paraId="6B2D3E16"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41B3CAA1"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Percent Wake</w:t>
            </w:r>
          </w:p>
        </w:tc>
      </w:tr>
      <w:tr w:rsidR="00782FEA" w:rsidRPr="000B4F3B" w14:paraId="1618AFBC" w14:textId="77777777" w:rsidTr="00021A55">
        <w:tc>
          <w:tcPr>
            <w:tcW w:w="4585" w:type="dxa"/>
            <w:vMerge/>
            <w:shd w:val="clear" w:color="auto" w:fill="auto"/>
          </w:tcPr>
          <w:p w14:paraId="79BF78EA"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418E95E1"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Number Wake Bouts</w:t>
            </w:r>
          </w:p>
        </w:tc>
      </w:tr>
      <w:tr w:rsidR="00782FEA" w:rsidRPr="000B4F3B" w14:paraId="32D470C9" w14:textId="77777777" w:rsidTr="00021A55">
        <w:tc>
          <w:tcPr>
            <w:tcW w:w="4585" w:type="dxa"/>
            <w:vMerge/>
            <w:shd w:val="clear" w:color="auto" w:fill="auto"/>
          </w:tcPr>
          <w:p w14:paraId="4C1A6E5A"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2D084F3C"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Avg Wake Bouts</w:t>
            </w:r>
          </w:p>
        </w:tc>
      </w:tr>
      <w:tr w:rsidR="00782FEA" w:rsidRPr="000B4F3B" w14:paraId="572432D4" w14:textId="77777777" w:rsidTr="00021A55">
        <w:tc>
          <w:tcPr>
            <w:tcW w:w="4585" w:type="dxa"/>
            <w:vMerge/>
            <w:shd w:val="clear" w:color="auto" w:fill="auto"/>
          </w:tcPr>
          <w:p w14:paraId="1AF7AD82"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2AC80994"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Frequency of wake bouts</w:t>
            </w:r>
          </w:p>
        </w:tc>
      </w:tr>
      <w:tr w:rsidR="00782FEA" w:rsidRPr="000B4F3B" w14:paraId="5EF10CE0" w14:textId="77777777" w:rsidTr="00021A55">
        <w:tc>
          <w:tcPr>
            <w:tcW w:w="4585" w:type="dxa"/>
            <w:vMerge/>
            <w:shd w:val="clear" w:color="auto" w:fill="auto"/>
          </w:tcPr>
          <w:p w14:paraId="22BED478"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0DE9D730"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Activity Count/Wake Min</w:t>
            </w:r>
          </w:p>
        </w:tc>
      </w:tr>
      <w:tr w:rsidR="00782FEA" w:rsidRPr="000B4F3B" w14:paraId="19413E40" w14:textId="77777777" w:rsidTr="00021A55">
        <w:tc>
          <w:tcPr>
            <w:tcW w:w="4585" w:type="dxa"/>
            <w:vMerge/>
            <w:shd w:val="clear" w:color="auto" w:fill="auto"/>
          </w:tcPr>
          <w:p w14:paraId="6087CF4E"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5528CCAF"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Sleep Time</w:t>
            </w:r>
          </w:p>
        </w:tc>
      </w:tr>
      <w:tr w:rsidR="00782FEA" w:rsidRPr="000B4F3B" w14:paraId="5AE200E4" w14:textId="77777777" w:rsidTr="00021A55">
        <w:tc>
          <w:tcPr>
            <w:tcW w:w="4585" w:type="dxa"/>
            <w:vMerge/>
            <w:shd w:val="clear" w:color="auto" w:fill="auto"/>
          </w:tcPr>
          <w:p w14:paraId="76FDED92"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068FEF75"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WASO</w:t>
            </w:r>
          </w:p>
        </w:tc>
      </w:tr>
      <w:tr w:rsidR="00782FEA" w:rsidRPr="000B4F3B" w14:paraId="6921B861" w14:textId="77777777" w:rsidTr="00021A55">
        <w:tc>
          <w:tcPr>
            <w:tcW w:w="4585" w:type="dxa"/>
            <w:vMerge/>
            <w:shd w:val="clear" w:color="auto" w:fill="auto"/>
          </w:tcPr>
          <w:p w14:paraId="2B491D2C"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2EF0DB81"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Number Sleep Bouts</w:t>
            </w:r>
          </w:p>
        </w:tc>
      </w:tr>
      <w:tr w:rsidR="00782FEA" w:rsidRPr="000B4F3B" w14:paraId="213C51B9" w14:textId="77777777" w:rsidTr="00021A55">
        <w:tc>
          <w:tcPr>
            <w:tcW w:w="4585" w:type="dxa"/>
            <w:vMerge/>
            <w:shd w:val="clear" w:color="auto" w:fill="auto"/>
          </w:tcPr>
          <w:p w14:paraId="4DAB5D3E"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422504F7"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Avg Sleep Bouts</w:t>
            </w:r>
          </w:p>
        </w:tc>
      </w:tr>
      <w:tr w:rsidR="00782FEA" w:rsidRPr="000B4F3B" w14:paraId="360383DC" w14:textId="77777777" w:rsidTr="00021A55">
        <w:tc>
          <w:tcPr>
            <w:tcW w:w="4585" w:type="dxa"/>
            <w:shd w:val="clear" w:color="auto" w:fill="auto"/>
          </w:tcPr>
          <w:p w14:paraId="2217DF74" w14:textId="77777777" w:rsidR="00782FEA" w:rsidRPr="000B4F3B" w:rsidRDefault="00782FEA" w:rsidP="00021A55">
            <w:pPr>
              <w:spacing w:before="60" w:after="60" w:line="240" w:lineRule="auto"/>
              <w:jc w:val="center"/>
              <w:rPr>
                <w:rFonts w:ascii="Times New Roman" w:eastAsia="MS Mincho" w:hAnsi="Times New Roman" w:cs="Times New Roman"/>
                <w:bCs/>
                <w:sz w:val="20"/>
                <w:szCs w:val="20"/>
              </w:rPr>
            </w:pPr>
            <w:r w:rsidRPr="000B4F3B">
              <w:rPr>
                <w:rFonts w:ascii="Times New Roman" w:eastAsia="MS Mincho" w:hAnsi="Times New Roman" w:cs="Times New Roman"/>
                <w:bCs/>
                <w:sz w:val="20"/>
                <w:szCs w:val="20"/>
              </w:rPr>
              <w:t>PRO sleep measures</w:t>
            </w:r>
          </w:p>
        </w:tc>
        <w:tc>
          <w:tcPr>
            <w:tcW w:w="4860" w:type="dxa"/>
            <w:shd w:val="clear" w:color="auto" w:fill="auto"/>
          </w:tcPr>
          <w:p w14:paraId="08E4364B"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PSQI</w:t>
            </w:r>
          </w:p>
        </w:tc>
      </w:tr>
      <w:tr w:rsidR="00782FEA" w:rsidRPr="000B4F3B" w14:paraId="1C011FD1" w14:textId="77777777" w:rsidTr="00021A55">
        <w:tc>
          <w:tcPr>
            <w:tcW w:w="4585" w:type="dxa"/>
            <w:vMerge w:val="restart"/>
            <w:shd w:val="clear" w:color="auto" w:fill="auto"/>
          </w:tcPr>
          <w:p w14:paraId="3FE653A2" w14:textId="77777777" w:rsidR="00782FEA" w:rsidRPr="000B4F3B" w:rsidRDefault="00782FEA" w:rsidP="00021A55">
            <w:pPr>
              <w:spacing w:before="60" w:after="60" w:line="240" w:lineRule="auto"/>
              <w:jc w:val="center"/>
              <w:rPr>
                <w:rFonts w:ascii="Times New Roman" w:eastAsia="MS Mincho" w:hAnsi="Times New Roman" w:cs="Times New Roman"/>
                <w:bCs/>
                <w:sz w:val="20"/>
                <w:szCs w:val="20"/>
              </w:rPr>
            </w:pPr>
            <w:r w:rsidRPr="000B4F3B">
              <w:rPr>
                <w:rFonts w:ascii="Times New Roman" w:eastAsia="MS Mincho" w:hAnsi="Times New Roman" w:cs="Times New Roman"/>
                <w:bCs/>
                <w:sz w:val="20"/>
                <w:szCs w:val="20"/>
              </w:rPr>
              <w:t>PRO measures of RA</w:t>
            </w:r>
          </w:p>
        </w:tc>
        <w:tc>
          <w:tcPr>
            <w:tcW w:w="4860" w:type="dxa"/>
            <w:shd w:val="clear" w:color="auto" w:fill="auto"/>
          </w:tcPr>
          <w:p w14:paraId="022336FC"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DLQI</w:t>
            </w:r>
          </w:p>
        </w:tc>
      </w:tr>
      <w:tr w:rsidR="00782FEA" w:rsidRPr="000B4F3B" w14:paraId="34F0EA37" w14:textId="77777777" w:rsidTr="00021A55">
        <w:tc>
          <w:tcPr>
            <w:tcW w:w="4585" w:type="dxa"/>
            <w:vMerge/>
            <w:shd w:val="clear" w:color="auto" w:fill="auto"/>
          </w:tcPr>
          <w:p w14:paraId="722E463A"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744923D7"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HAQ-DI</w:t>
            </w:r>
          </w:p>
        </w:tc>
      </w:tr>
      <w:tr w:rsidR="00782FEA" w:rsidRPr="000B4F3B" w14:paraId="19F5BC40" w14:textId="77777777" w:rsidTr="00021A55">
        <w:tc>
          <w:tcPr>
            <w:tcW w:w="4585" w:type="dxa"/>
            <w:vMerge/>
            <w:shd w:val="clear" w:color="auto" w:fill="auto"/>
          </w:tcPr>
          <w:p w14:paraId="1956043E"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13ED8436"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HADS</w:t>
            </w:r>
          </w:p>
        </w:tc>
      </w:tr>
      <w:tr w:rsidR="00782FEA" w:rsidRPr="000B4F3B" w14:paraId="78B8CF5D" w14:textId="77777777" w:rsidTr="00021A55">
        <w:tc>
          <w:tcPr>
            <w:tcW w:w="4585" w:type="dxa"/>
            <w:vMerge w:val="restart"/>
            <w:shd w:val="clear" w:color="auto" w:fill="auto"/>
          </w:tcPr>
          <w:p w14:paraId="0343924F" w14:textId="77777777" w:rsidR="00782FEA" w:rsidRPr="000B4F3B" w:rsidRDefault="00782FEA" w:rsidP="00021A55">
            <w:pPr>
              <w:spacing w:before="60" w:after="60" w:line="240" w:lineRule="auto"/>
              <w:jc w:val="center"/>
              <w:rPr>
                <w:rFonts w:ascii="Times New Roman" w:eastAsia="MS Mincho" w:hAnsi="Times New Roman" w:cs="Times New Roman"/>
                <w:bCs/>
                <w:sz w:val="20"/>
                <w:szCs w:val="20"/>
              </w:rPr>
            </w:pPr>
            <w:r w:rsidRPr="000B4F3B">
              <w:rPr>
                <w:rFonts w:ascii="Times New Roman" w:eastAsia="MS Mincho" w:hAnsi="Times New Roman" w:cs="Times New Roman"/>
                <w:bCs/>
                <w:sz w:val="20"/>
                <w:szCs w:val="20"/>
              </w:rPr>
              <w:t>Biological measures of RA Disease Activity</w:t>
            </w:r>
          </w:p>
        </w:tc>
        <w:tc>
          <w:tcPr>
            <w:tcW w:w="4860" w:type="dxa"/>
            <w:shd w:val="clear" w:color="auto" w:fill="auto"/>
          </w:tcPr>
          <w:p w14:paraId="525096DF"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TNF alpha (Serum, Synovial, or Intracellular)</w:t>
            </w:r>
          </w:p>
        </w:tc>
      </w:tr>
      <w:tr w:rsidR="00782FEA" w:rsidRPr="000B4F3B" w14:paraId="40EAA827" w14:textId="77777777" w:rsidTr="00021A55">
        <w:tc>
          <w:tcPr>
            <w:tcW w:w="4585" w:type="dxa"/>
            <w:vMerge/>
            <w:shd w:val="clear" w:color="auto" w:fill="auto"/>
          </w:tcPr>
          <w:p w14:paraId="64F81845"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1CC80814"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DAS28</w:t>
            </w:r>
          </w:p>
        </w:tc>
      </w:tr>
      <w:tr w:rsidR="00782FEA" w:rsidRPr="000B4F3B" w14:paraId="249CC59C" w14:textId="77777777" w:rsidTr="00021A55">
        <w:tc>
          <w:tcPr>
            <w:tcW w:w="4585" w:type="dxa"/>
            <w:vMerge/>
            <w:shd w:val="clear" w:color="auto" w:fill="auto"/>
          </w:tcPr>
          <w:p w14:paraId="0541C58D"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47445C7B"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ACR70</w:t>
            </w:r>
          </w:p>
        </w:tc>
      </w:tr>
      <w:tr w:rsidR="00782FEA" w:rsidRPr="000B4F3B" w14:paraId="7CAEE072" w14:textId="77777777" w:rsidTr="00021A55">
        <w:tc>
          <w:tcPr>
            <w:tcW w:w="4585" w:type="dxa"/>
            <w:shd w:val="clear" w:color="auto" w:fill="auto"/>
          </w:tcPr>
          <w:p w14:paraId="2D55ACDE" w14:textId="77777777" w:rsidR="00782FEA" w:rsidRPr="000B4F3B" w:rsidRDefault="00782FEA" w:rsidP="00021A55">
            <w:pPr>
              <w:spacing w:before="60" w:after="60" w:line="240" w:lineRule="auto"/>
              <w:jc w:val="center"/>
              <w:rPr>
                <w:rFonts w:ascii="Times New Roman" w:eastAsia="MS Mincho" w:hAnsi="Times New Roman" w:cs="Times New Roman"/>
                <w:bCs/>
                <w:sz w:val="20"/>
                <w:szCs w:val="20"/>
              </w:rPr>
            </w:pPr>
            <w:r w:rsidRPr="000B4F3B">
              <w:rPr>
                <w:rFonts w:ascii="Times New Roman" w:eastAsia="MS Mincho" w:hAnsi="Times New Roman" w:cs="Times New Roman"/>
                <w:bCs/>
                <w:sz w:val="20"/>
                <w:szCs w:val="20"/>
              </w:rPr>
              <w:t>Reference Standard Sleep Measure</w:t>
            </w:r>
          </w:p>
        </w:tc>
        <w:tc>
          <w:tcPr>
            <w:tcW w:w="4860" w:type="dxa"/>
            <w:shd w:val="clear" w:color="auto" w:fill="auto"/>
          </w:tcPr>
          <w:p w14:paraId="4AD58728"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PSG</w:t>
            </w:r>
          </w:p>
        </w:tc>
      </w:tr>
      <w:tr w:rsidR="00782FEA" w:rsidRPr="000B4F3B" w14:paraId="41E98C6B" w14:textId="77777777" w:rsidTr="00021A55">
        <w:tc>
          <w:tcPr>
            <w:tcW w:w="4585" w:type="dxa"/>
            <w:vMerge w:val="restart"/>
            <w:shd w:val="clear" w:color="auto" w:fill="auto"/>
          </w:tcPr>
          <w:p w14:paraId="5BE56A3A" w14:textId="77777777" w:rsidR="00782FEA" w:rsidRPr="000B4F3B" w:rsidRDefault="00782FEA" w:rsidP="00021A55">
            <w:pPr>
              <w:spacing w:before="60" w:after="60" w:line="240" w:lineRule="auto"/>
              <w:jc w:val="center"/>
              <w:rPr>
                <w:rFonts w:ascii="Times New Roman" w:eastAsia="MS Mincho" w:hAnsi="Times New Roman" w:cs="Times New Roman"/>
                <w:bCs/>
                <w:sz w:val="20"/>
                <w:szCs w:val="20"/>
              </w:rPr>
            </w:pPr>
            <w:r w:rsidRPr="000B4F3B">
              <w:rPr>
                <w:rFonts w:ascii="Times New Roman" w:eastAsia="MS Mincho" w:hAnsi="Times New Roman" w:cs="Times New Roman"/>
                <w:bCs/>
                <w:sz w:val="20"/>
                <w:szCs w:val="20"/>
              </w:rPr>
              <w:t>Clinical and Demographic Information</w:t>
            </w:r>
          </w:p>
        </w:tc>
        <w:tc>
          <w:tcPr>
            <w:tcW w:w="4860" w:type="dxa"/>
            <w:shd w:val="clear" w:color="auto" w:fill="auto"/>
          </w:tcPr>
          <w:p w14:paraId="0B2913CE"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Age</w:t>
            </w:r>
          </w:p>
        </w:tc>
      </w:tr>
      <w:tr w:rsidR="00782FEA" w:rsidRPr="000B4F3B" w14:paraId="0C76FDDF" w14:textId="77777777" w:rsidTr="00021A55">
        <w:tc>
          <w:tcPr>
            <w:tcW w:w="4585" w:type="dxa"/>
            <w:vMerge/>
            <w:shd w:val="clear" w:color="auto" w:fill="auto"/>
          </w:tcPr>
          <w:p w14:paraId="37BCC2C2"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5F8856CE"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Sex</w:t>
            </w:r>
          </w:p>
        </w:tc>
      </w:tr>
      <w:tr w:rsidR="00782FEA" w:rsidRPr="000B4F3B" w14:paraId="2E6C4872" w14:textId="77777777" w:rsidTr="00021A55">
        <w:tc>
          <w:tcPr>
            <w:tcW w:w="4585" w:type="dxa"/>
            <w:vMerge/>
            <w:shd w:val="clear" w:color="auto" w:fill="auto"/>
          </w:tcPr>
          <w:p w14:paraId="4BF6101B" w14:textId="77777777" w:rsidR="00782FEA" w:rsidRPr="000B4F3B" w:rsidRDefault="00782FEA" w:rsidP="00021A55">
            <w:pPr>
              <w:snapToGrid w:val="0"/>
              <w:spacing w:before="200" w:after="200" w:line="240" w:lineRule="auto"/>
              <w:jc w:val="center"/>
              <w:rPr>
                <w:rFonts w:ascii="Times New Roman" w:hAnsi="Times New Roman" w:cs="Times New Roman"/>
                <w:bCs/>
                <w:sz w:val="24"/>
                <w:szCs w:val="24"/>
              </w:rPr>
            </w:pPr>
          </w:p>
        </w:tc>
        <w:tc>
          <w:tcPr>
            <w:tcW w:w="4860" w:type="dxa"/>
            <w:shd w:val="clear" w:color="auto" w:fill="auto"/>
          </w:tcPr>
          <w:p w14:paraId="39D4A936"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BMI</w:t>
            </w:r>
          </w:p>
        </w:tc>
      </w:tr>
    </w:tbl>
    <w:p w14:paraId="0B24105D" w14:textId="77777777" w:rsidR="00782FEA" w:rsidRPr="000B4F3B" w:rsidRDefault="00782FEA" w:rsidP="00782FEA">
      <w:pPr>
        <w:tabs>
          <w:tab w:val="left" w:pos="1950"/>
        </w:tabs>
        <w:snapToGrid w:val="0"/>
        <w:spacing w:before="240" w:after="240" w:line="480" w:lineRule="auto"/>
        <w:rPr>
          <w:rFonts w:ascii="Times New Roman" w:eastAsia="Arial" w:hAnsi="Times New Roman" w:cs="Times New Roman"/>
          <w:color w:val="000000"/>
          <w:sz w:val="24"/>
          <w:szCs w:val="24"/>
        </w:rPr>
      </w:pPr>
      <w:r w:rsidRPr="000B4F3B">
        <w:rPr>
          <w:rFonts w:ascii="Times New Roman" w:eastAsia="Arial" w:hAnsi="Times New Roman" w:cs="Times New Roman"/>
          <w:color w:val="000000"/>
          <w:sz w:val="24"/>
          <w:szCs w:val="24"/>
        </w:rPr>
        <w:br w:type="page"/>
      </w:r>
    </w:p>
    <w:p w14:paraId="01947630" w14:textId="77777777" w:rsidR="00782FEA" w:rsidRPr="000B4F3B" w:rsidRDefault="00782FEA" w:rsidP="00782FEA">
      <w:pPr>
        <w:tabs>
          <w:tab w:val="left" w:pos="1950"/>
        </w:tabs>
        <w:snapToGrid w:val="0"/>
        <w:spacing w:before="240" w:after="240" w:line="480" w:lineRule="auto"/>
        <w:rPr>
          <w:rFonts w:ascii="Times New Roman" w:hAnsi="Times New Roman" w:cs="Times New Roman"/>
          <w:b/>
          <w:bCs/>
          <w:color w:val="000000"/>
          <w:sz w:val="24"/>
          <w:szCs w:val="24"/>
        </w:rPr>
      </w:pPr>
      <w:r>
        <w:rPr>
          <w:rFonts w:ascii="Times New Roman" w:eastAsia="Arial" w:hAnsi="Times New Roman" w:cs="Times New Roman"/>
          <w:b/>
          <w:bCs/>
          <w:caps/>
          <w:color w:val="000000"/>
          <w:sz w:val="24"/>
          <w:szCs w:val="24"/>
        </w:rPr>
        <w:lastRenderedPageBreak/>
        <w:t>SUPPLEMENTARY MATERIAL</w:t>
      </w:r>
      <w:r w:rsidRPr="000B4F3B">
        <w:rPr>
          <w:rFonts w:ascii="Times New Roman" w:hAnsi="Times New Roman" w:cs="Times New Roman"/>
          <w:b/>
          <w:bCs/>
          <w:color w:val="000000"/>
          <w:sz w:val="24"/>
          <w:szCs w:val="24"/>
        </w:rPr>
        <w:t xml:space="preserve"> 3.</w:t>
      </w:r>
      <w:r w:rsidRPr="000B4F3B">
        <w:rPr>
          <w:rFonts w:ascii="Times New Roman" w:hAnsi="Times New Roman" w:cs="Times New Roman"/>
          <w:b/>
          <w:bCs/>
          <w:color w:val="000000"/>
          <w:sz w:val="24"/>
          <w:szCs w:val="24"/>
        </w:rPr>
        <w:tab/>
        <w:t>HYPOTHETICAL STUDY ACTIVITIES SCHEDULE</w:t>
      </w:r>
    </w:p>
    <w:tbl>
      <w:tblPr>
        <w:tblW w:w="96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65"/>
        <w:gridCol w:w="2213"/>
        <w:gridCol w:w="2213"/>
        <w:gridCol w:w="2213"/>
      </w:tblGrid>
      <w:tr w:rsidR="00782FEA" w:rsidRPr="000B4F3B" w14:paraId="22A358BB" w14:textId="77777777" w:rsidTr="00021A55">
        <w:trPr>
          <w:trHeight w:val="371"/>
          <w:tblHeader/>
        </w:trPr>
        <w:tc>
          <w:tcPr>
            <w:tcW w:w="2965" w:type="dxa"/>
            <w:shd w:val="clear" w:color="auto" w:fill="auto"/>
            <w:vAlign w:val="bottom"/>
          </w:tcPr>
          <w:p w14:paraId="3786BDF8" w14:textId="77777777" w:rsidR="00782FEA" w:rsidRPr="000B4F3B" w:rsidRDefault="00782FEA" w:rsidP="00021A55">
            <w:pPr>
              <w:keepNext/>
              <w:spacing w:before="60" w:after="60" w:line="240" w:lineRule="auto"/>
              <w:rPr>
                <w:rFonts w:ascii="Times New Roman" w:eastAsia="MS Mincho" w:hAnsi="Times New Roman" w:cs="Times New Roman"/>
                <w:b/>
                <w:sz w:val="20"/>
                <w:szCs w:val="20"/>
              </w:rPr>
            </w:pPr>
            <w:r w:rsidRPr="000B4F3B">
              <w:rPr>
                <w:rFonts w:ascii="Times New Roman" w:eastAsia="MS Mincho" w:hAnsi="Times New Roman" w:cs="Times New Roman"/>
                <w:b/>
                <w:sz w:val="20"/>
                <w:szCs w:val="20"/>
              </w:rPr>
              <w:t>Activity</w:t>
            </w:r>
          </w:p>
        </w:tc>
        <w:tc>
          <w:tcPr>
            <w:tcW w:w="2213" w:type="dxa"/>
            <w:shd w:val="clear" w:color="auto" w:fill="auto"/>
            <w:vAlign w:val="bottom"/>
          </w:tcPr>
          <w:p w14:paraId="4732A537" w14:textId="77777777" w:rsidR="00782FEA" w:rsidRPr="000B4F3B" w:rsidRDefault="00782FEA" w:rsidP="00021A55">
            <w:pPr>
              <w:keepNext/>
              <w:spacing w:before="60" w:after="60" w:line="240" w:lineRule="auto"/>
              <w:jc w:val="center"/>
              <w:rPr>
                <w:rFonts w:ascii="Times New Roman" w:eastAsia="MS Mincho" w:hAnsi="Times New Roman" w:cs="Times New Roman"/>
                <w:b/>
                <w:sz w:val="20"/>
                <w:szCs w:val="20"/>
              </w:rPr>
            </w:pPr>
            <w:r w:rsidRPr="000B4F3B">
              <w:rPr>
                <w:rFonts w:ascii="Times New Roman" w:eastAsia="MS Mincho" w:hAnsi="Times New Roman" w:cs="Times New Roman"/>
                <w:b/>
                <w:sz w:val="20"/>
                <w:szCs w:val="20"/>
              </w:rPr>
              <w:t>Baseline </w:t>
            </w:r>
            <w:r w:rsidRPr="000B4F3B">
              <w:rPr>
                <w:rFonts w:ascii="Times New Roman" w:eastAsia="MS Mincho" w:hAnsi="Times New Roman" w:cs="Times New Roman"/>
                <w:b/>
                <w:sz w:val="20"/>
                <w:szCs w:val="20"/>
              </w:rPr>
              <w:br/>
              <w:t>(W</w:t>
            </w:r>
            <w:r w:rsidRPr="000B4F3B">
              <w:rPr>
                <w:rFonts w:ascii="Calibri" w:eastAsia="MS Mincho" w:hAnsi="Calibri" w:cs="Times New Roman"/>
                <w:b/>
                <w:sz w:val="20"/>
              </w:rPr>
              <w:t xml:space="preserve">eek </w:t>
            </w:r>
            <w:r w:rsidRPr="000B4F3B">
              <w:rPr>
                <w:rFonts w:ascii="Times New Roman" w:eastAsia="MS Mincho" w:hAnsi="Times New Roman" w:cs="Times New Roman"/>
                <w:b/>
                <w:sz w:val="20"/>
                <w:szCs w:val="20"/>
              </w:rPr>
              <w:t>-1)</w:t>
            </w:r>
          </w:p>
        </w:tc>
        <w:tc>
          <w:tcPr>
            <w:tcW w:w="2213" w:type="dxa"/>
            <w:shd w:val="clear" w:color="auto" w:fill="auto"/>
            <w:vAlign w:val="bottom"/>
          </w:tcPr>
          <w:p w14:paraId="7CF91747" w14:textId="77777777" w:rsidR="00782FEA" w:rsidRPr="000B4F3B" w:rsidRDefault="00782FEA" w:rsidP="00021A55">
            <w:pPr>
              <w:keepNext/>
              <w:spacing w:before="60" w:after="60" w:line="240" w:lineRule="auto"/>
              <w:jc w:val="center"/>
              <w:rPr>
                <w:rFonts w:ascii="Times New Roman" w:eastAsia="MS Mincho" w:hAnsi="Times New Roman" w:cs="Times New Roman"/>
                <w:b/>
                <w:sz w:val="20"/>
                <w:szCs w:val="20"/>
              </w:rPr>
            </w:pPr>
            <w:r w:rsidRPr="000B4F3B">
              <w:rPr>
                <w:rFonts w:ascii="Times New Roman" w:eastAsia="MS Mincho" w:hAnsi="Times New Roman" w:cs="Times New Roman"/>
                <w:b/>
                <w:sz w:val="20"/>
                <w:szCs w:val="20"/>
              </w:rPr>
              <w:t>Treatment</w:t>
            </w:r>
            <w:r w:rsidRPr="000B4F3B">
              <w:rPr>
                <w:rFonts w:ascii="Times New Roman" w:eastAsia="MS Mincho" w:hAnsi="Times New Roman" w:cs="Times New Roman"/>
                <w:b/>
                <w:sz w:val="20"/>
                <w:szCs w:val="20"/>
              </w:rPr>
              <w:br/>
              <w:t>Week 1</w:t>
            </w:r>
          </w:p>
        </w:tc>
        <w:tc>
          <w:tcPr>
            <w:tcW w:w="2213" w:type="dxa"/>
            <w:shd w:val="clear" w:color="auto" w:fill="auto"/>
            <w:vAlign w:val="bottom"/>
          </w:tcPr>
          <w:p w14:paraId="7AFEF8FF" w14:textId="77777777" w:rsidR="00782FEA" w:rsidRPr="000B4F3B" w:rsidRDefault="00782FEA" w:rsidP="00021A55">
            <w:pPr>
              <w:keepNext/>
              <w:spacing w:before="60" w:after="60" w:line="240" w:lineRule="auto"/>
              <w:jc w:val="center"/>
              <w:rPr>
                <w:rFonts w:ascii="Times New Roman" w:hAnsi="Times New Roman" w:cs="Times New Roman"/>
                <w:b/>
                <w:sz w:val="20"/>
                <w:szCs w:val="20"/>
              </w:rPr>
            </w:pPr>
            <w:r w:rsidRPr="000B4F3B">
              <w:rPr>
                <w:rFonts w:ascii="Times New Roman" w:eastAsia="MS Mincho" w:hAnsi="Times New Roman" w:cs="Times New Roman"/>
                <w:b/>
                <w:sz w:val="20"/>
                <w:szCs w:val="20"/>
              </w:rPr>
              <w:t>Treatment</w:t>
            </w:r>
            <w:r w:rsidRPr="000B4F3B">
              <w:rPr>
                <w:rFonts w:ascii="Times New Roman" w:eastAsia="MS Mincho" w:hAnsi="Times New Roman" w:cs="Times New Roman"/>
                <w:b/>
                <w:sz w:val="20"/>
                <w:szCs w:val="20"/>
              </w:rPr>
              <w:br/>
              <w:t>Week 12</w:t>
            </w:r>
          </w:p>
        </w:tc>
      </w:tr>
      <w:tr w:rsidR="00782FEA" w:rsidRPr="000B4F3B" w14:paraId="417EE0B8" w14:textId="77777777" w:rsidTr="00021A55">
        <w:trPr>
          <w:trHeight w:val="352"/>
        </w:trPr>
        <w:tc>
          <w:tcPr>
            <w:tcW w:w="2965" w:type="dxa"/>
            <w:shd w:val="clear" w:color="auto" w:fill="auto"/>
          </w:tcPr>
          <w:p w14:paraId="6F8FCEC7" w14:textId="77777777" w:rsidR="00782FEA" w:rsidRPr="000B4F3B" w:rsidRDefault="00782FEA" w:rsidP="00021A55">
            <w:pPr>
              <w:spacing w:before="60" w:after="60" w:line="240" w:lineRule="auto"/>
              <w:rPr>
                <w:rFonts w:ascii="Times New Roman" w:hAnsi="Times New Roman" w:cs="Times New Roman"/>
                <w:sz w:val="20"/>
                <w:szCs w:val="20"/>
              </w:rPr>
            </w:pPr>
            <w:r w:rsidRPr="000B4F3B">
              <w:rPr>
                <w:rFonts w:ascii="Times New Roman" w:eastAsia="MS Mincho" w:hAnsi="Times New Roman" w:cs="Times New Roman"/>
                <w:sz w:val="20"/>
                <w:szCs w:val="20"/>
              </w:rPr>
              <w:t>RA disease activity</w:t>
            </w:r>
          </w:p>
        </w:tc>
        <w:tc>
          <w:tcPr>
            <w:tcW w:w="2213" w:type="dxa"/>
            <w:shd w:val="clear" w:color="auto" w:fill="auto"/>
          </w:tcPr>
          <w:p w14:paraId="7AFCA81E"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c>
          <w:tcPr>
            <w:tcW w:w="2213" w:type="dxa"/>
            <w:shd w:val="clear" w:color="auto" w:fill="auto"/>
          </w:tcPr>
          <w:p w14:paraId="49CA829B"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c>
          <w:tcPr>
            <w:tcW w:w="2213" w:type="dxa"/>
            <w:shd w:val="clear" w:color="auto" w:fill="auto"/>
          </w:tcPr>
          <w:p w14:paraId="790149F3"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r>
      <w:tr w:rsidR="00782FEA" w:rsidRPr="000B4F3B" w14:paraId="0EE8300C" w14:textId="77777777" w:rsidTr="00021A55">
        <w:trPr>
          <w:trHeight w:val="365"/>
        </w:trPr>
        <w:tc>
          <w:tcPr>
            <w:tcW w:w="2965" w:type="dxa"/>
            <w:shd w:val="clear" w:color="auto" w:fill="auto"/>
          </w:tcPr>
          <w:p w14:paraId="3B7FCCFC" w14:textId="77777777" w:rsidR="00782FEA" w:rsidRPr="000B4F3B" w:rsidRDefault="00782FEA" w:rsidP="00021A55">
            <w:pPr>
              <w:spacing w:before="60" w:after="60" w:line="240" w:lineRule="auto"/>
              <w:rPr>
                <w:rFonts w:ascii="Times New Roman" w:hAnsi="Times New Roman" w:cs="Times New Roman"/>
                <w:sz w:val="20"/>
                <w:szCs w:val="20"/>
              </w:rPr>
            </w:pPr>
            <w:r w:rsidRPr="000B4F3B">
              <w:rPr>
                <w:rFonts w:ascii="Times New Roman" w:eastAsia="MS Mincho" w:hAnsi="Times New Roman" w:cs="Times New Roman"/>
                <w:sz w:val="20"/>
                <w:szCs w:val="20"/>
              </w:rPr>
              <w:t>Biological measures of RA</w:t>
            </w:r>
          </w:p>
        </w:tc>
        <w:tc>
          <w:tcPr>
            <w:tcW w:w="2213" w:type="dxa"/>
            <w:shd w:val="clear" w:color="auto" w:fill="auto"/>
          </w:tcPr>
          <w:p w14:paraId="30E7A6BB"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c>
          <w:tcPr>
            <w:tcW w:w="2213" w:type="dxa"/>
            <w:shd w:val="clear" w:color="auto" w:fill="auto"/>
          </w:tcPr>
          <w:p w14:paraId="41F41CD7"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c>
          <w:tcPr>
            <w:tcW w:w="2213" w:type="dxa"/>
            <w:shd w:val="clear" w:color="auto" w:fill="auto"/>
          </w:tcPr>
          <w:p w14:paraId="4D0333D4"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r>
      <w:tr w:rsidR="00782FEA" w:rsidRPr="000B4F3B" w14:paraId="6087C9EA" w14:textId="77777777" w:rsidTr="00021A55">
        <w:trPr>
          <w:trHeight w:val="358"/>
        </w:trPr>
        <w:tc>
          <w:tcPr>
            <w:tcW w:w="2965" w:type="dxa"/>
            <w:shd w:val="clear" w:color="auto" w:fill="auto"/>
          </w:tcPr>
          <w:p w14:paraId="7C8802A4" w14:textId="77777777" w:rsidR="00782FEA" w:rsidRPr="000B4F3B" w:rsidRDefault="00782FEA" w:rsidP="00021A55">
            <w:pPr>
              <w:spacing w:before="60" w:after="60" w:line="240" w:lineRule="auto"/>
              <w:rPr>
                <w:rFonts w:ascii="Times New Roman" w:hAnsi="Times New Roman" w:cs="Times New Roman"/>
                <w:sz w:val="20"/>
                <w:szCs w:val="20"/>
              </w:rPr>
            </w:pPr>
            <w:r w:rsidRPr="000B4F3B">
              <w:rPr>
                <w:rFonts w:ascii="Times New Roman" w:eastAsia="MS Mincho" w:hAnsi="Times New Roman" w:cs="Times New Roman"/>
                <w:sz w:val="20"/>
                <w:szCs w:val="20"/>
              </w:rPr>
              <w:t>PRO measures of RA</w:t>
            </w:r>
          </w:p>
        </w:tc>
        <w:tc>
          <w:tcPr>
            <w:tcW w:w="2213" w:type="dxa"/>
            <w:shd w:val="clear" w:color="auto" w:fill="auto"/>
          </w:tcPr>
          <w:p w14:paraId="08DA35F5"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c>
          <w:tcPr>
            <w:tcW w:w="2213" w:type="dxa"/>
            <w:shd w:val="clear" w:color="auto" w:fill="auto"/>
          </w:tcPr>
          <w:p w14:paraId="3654AC88"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c>
          <w:tcPr>
            <w:tcW w:w="2213" w:type="dxa"/>
            <w:shd w:val="clear" w:color="auto" w:fill="auto"/>
          </w:tcPr>
          <w:p w14:paraId="696B9D8B"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r>
      <w:tr w:rsidR="00782FEA" w:rsidRPr="000B4F3B" w14:paraId="7B28A86A" w14:textId="77777777" w:rsidTr="00021A55">
        <w:trPr>
          <w:trHeight w:val="358"/>
        </w:trPr>
        <w:tc>
          <w:tcPr>
            <w:tcW w:w="2965" w:type="dxa"/>
            <w:shd w:val="clear" w:color="auto" w:fill="auto"/>
          </w:tcPr>
          <w:p w14:paraId="545A0FD7" w14:textId="77777777" w:rsidR="00782FEA" w:rsidRPr="000B4F3B" w:rsidRDefault="00782FEA" w:rsidP="00021A55">
            <w:pPr>
              <w:spacing w:before="60" w:after="60" w:line="240" w:lineRule="auto"/>
              <w:rPr>
                <w:rFonts w:ascii="Times New Roman" w:hAnsi="Times New Roman" w:cs="Times New Roman"/>
                <w:sz w:val="20"/>
                <w:szCs w:val="20"/>
              </w:rPr>
            </w:pPr>
            <w:r w:rsidRPr="000B4F3B">
              <w:rPr>
                <w:rFonts w:ascii="Times New Roman" w:eastAsia="MS Mincho" w:hAnsi="Times New Roman" w:cs="Times New Roman"/>
                <w:sz w:val="20"/>
                <w:szCs w:val="20"/>
              </w:rPr>
              <w:t>Actigraphy Sleep Measures</w:t>
            </w:r>
          </w:p>
        </w:tc>
        <w:tc>
          <w:tcPr>
            <w:tcW w:w="2213" w:type="dxa"/>
            <w:shd w:val="clear" w:color="auto" w:fill="auto"/>
          </w:tcPr>
          <w:p w14:paraId="1E1E9249"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Continuous</w:t>
            </w:r>
          </w:p>
        </w:tc>
        <w:tc>
          <w:tcPr>
            <w:tcW w:w="2213" w:type="dxa"/>
            <w:shd w:val="clear" w:color="auto" w:fill="auto"/>
          </w:tcPr>
          <w:p w14:paraId="15DEB292"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c>
          <w:tcPr>
            <w:tcW w:w="2213" w:type="dxa"/>
            <w:shd w:val="clear" w:color="auto" w:fill="auto"/>
          </w:tcPr>
          <w:p w14:paraId="1B75396C"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r>
      <w:tr w:rsidR="00782FEA" w:rsidRPr="000B4F3B" w14:paraId="196EA8D7" w14:textId="77777777" w:rsidTr="00021A55">
        <w:trPr>
          <w:trHeight w:val="358"/>
        </w:trPr>
        <w:tc>
          <w:tcPr>
            <w:tcW w:w="2965" w:type="dxa"/>
            <w:shd w:val="clear" w:color="auto" w:fill="auto"/>
          </w:tcPr>
          <w:p w14:paraId="61D1F5F3" w14:textId="77777777" w:rsidR="00782FEA" w:rsidRPr="000B4F3B" w:rsidRDefault="00782FEA" w:rsidP="00021A55">
            <w:pPr>
              <w:spacing w:before="60" w:after="60" w:line="240" w:lineRule="auto"/>
              <w:rPr>
                <w:rFonts w:ascii="Times New Roman" w:hAnsi="Times New Roman" w:cs="Times New Roman"/>
                <w:sz w:val="20"/>
                <w:szCs w:val="20"/>
              </w:rPr>
            </w:pPr>
            <w:r w:rsidRPr="000B4F3B">
              <w:rPr>
                <w:rFonts w:ascii="Times New Roman" w:eastAsia="MS Mincho" w:hAnsi="Times New Roman" w:cs="Times New Roman"/>
                <w:sz w:val="20"/>
                <w:szCs w:val="20"/>
              </w:rPr>
              <w:t>PSG (sub-study only)</w:t>
            </w:r>
          </w:p>
        </w:tc>
        <w:tc>
          <w:tcPr>
            <w:tcW w:w="2213" w:type="dxa"/>
            <w:shd w:val="clear" w:color="auto" w:fill="auto"/>
          </w:tcPr>
          <w:p w14:paraId="4ED54677"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c>
          <w:tcPr>
            <w:tcW w:w="2213" w:type="dxa"/>
            <w:shd w:val="clear" w:color="auto" w:fill="auto"/>
          </w:tcPr>
          <w:p w14:paraId="66FD1F3E"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c>
          <w:tcPr>
            <w:tcW w:w="2213" w:type="dxa"/>
            <w:shd w:val="clear" w:color="auto" w:fill="auto"/>
          </w:tcPr>
          <w:p w14:paraId="17A46977"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r>
      <w:tr w:rsidR="00782FEA" w:rsidRPr="000B4F3B" w14:paraId="5472B4A7" w14:textId="77777777" w:rsidTr="00021A55">
        <w:trPr>
          <w:trHeight w:val="358"/>
        </w:trPr>
        <w:tc>
          <w:tcPr>
            <w:tcW w:w="2965" w:type="dxa"/>
            <w:shd w:val="clear" w:color="auto" w:fill="auto"/>
          </w:tcPr>
          <w:p w14:paraId="454FF2D5" w14:textId="77777777" w:rsidR="00782FEA" w:rsidRPr="000B4F3B" w:rsidRDefault="00782FEA" w:rsidP="00021A55">
            <w:pPr>
              <w:spacing w:before="60" w:after="60" w:line="240" w:lineRule="auto"/>
              <w:rPr>
                <w:rFonts w:ascii="Times New Roman" w:hAnsi="Times New Roman" w:cs="Times New Roman"/>
                <w:sz w:val="20"/>
                <w:szCs w:val="20"/>
              </w:rPr>
            </w:pPr>
            <w:r w:rsidRPr="000B4F3B">
              <w:rPr>
                <w:rFonts w:ascii="Times New Roman" w:eastAsia="MS Mincho" w:hAnsi="Times New Roman" w:cs="Times New Roman"/>
                <w:sz w:val="20"/>
                <w:szCs w:val="20"/>
              </w:rPr>
              <w:t>PRO measures of sleep</w:t>
            </w:r>
          </w:p>
        </w:tc>
        <w:tc>
          <w:tcPr>
            <w:tcW w:w="2213" w:type="dxa"/>
            <w:shd w:val="clear" w:color="auto" w:fill="auto"/>
          </w:tcPr>
          <w:p w14:paraId="2723AE19"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c>
          <w:tcPr>
            <w:tcW w:w="2213" w:type="dxa"/>
            <w:shd w:val="clear" w:color="auto" w:fill="auto"/>
          </w:tcPr>
          <w:p w14:paraId="1EDAAAF5"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c>
          <w:tcPr>
            <w:tcW w:w="2213" w:type="dxa"/>
            <w:shd w:val="clear" w:color="auto" w:fill="auto"/>
          </w:tcPr>
          <w:p w14:paraId="45DD437C"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r>
      <w:tr w:rsidR="00782FEA" w:rsidRPr="000B4F3B" w14:paraId="6C59BFC0" w14:textId="77777777" w:rsidTr="00021A55">
        <w:trPr>
          <w:trHeight w:val="51"/>
        </w:trPr>
        <w:tc>
          <w:tcPr>
            <w:tcW w:w="2965" w:type="dxa"/>
            <w:shd w:val="clear" w:color="auto" w:fill="auto"/>
          </w:tcPr>
          <w:p w14:paraId="4F8944E2" w14:textId="77777777" w:rsidR="00782FEA" w:rsidRPr="000B4F3B" w:rsidRDefault="00782FEA" w:rsidP="00021A55">
            <w:pPr>
              <w:spacing w:before="60" w:after="60" w:line="240" w:lineRule="auto"/>
              <w:rPr>
                <w:rFonts w:ascii="Times New Roman" w:hAnsi="Times New Roman" w:cs="Times New Roman"/>
                <w:sz w:val="20"/>
                <w:szCs w:val="20"/>
              </w:rPr>
            </w:pPr>
            <w:r w:rsidRPr="000B4F3B">
              <w:rPr>
                <w:rFonts w:ascii="Times New Roman" w:eastAsia="MS Mincho" w:hAnsi="Times New Roman" w:cs="Times New Roman"/>
                <w:sz w:val="20"/>
                <w:szCs w:val="20"/>
              </w:rPr>
              <w:t>Clinical and Demographic Information</w:t>
            </w:r>
          </w:p>
        </w:tc>
        <w:tc>
          <w:tcPr>
            <w:tcW w:w="2213" w:type="dxa"/>
            <w:shd w:val="clear" w:color="auto" w:fill="auto"/>
          </w:tcPr>
          <w:p w14:paraId="60246040"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c>
          <w:tcPr>
            <w:tcW w:w="2213" w:type="dxa"/>
            <w:shd w:val="clear" w:color="auto" w:fill="auto"/>
          </w:tcPr>
          <w:p w14:paraId="6E8D6265"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c>
          <w:tcPr>
            <w:tcW w:w="2213" w:type="dxa"/>
            <w:shd w:val="clear" w:color="auto" w:fill="auto"/>
          </w:tcPr>
          <w:p w14:paraId="4104B327" w14:textId="77777777" w:rsidR="00782FEA" w:rsidRPr="000B4F3B" w:rsidRDefault="00782FEA" w:rsidP="00021A55">
            <w:pPr>
              <w:spacing w:before="60" w:after="60" w:line="240" w:lineRule="auto"/>
              <w:jc w:val="center"/>
              <w:rPr>
                <w:rFonts w:ascii="Times New Roman" w:hAnsi="Times New Roman" w:cs="Times New Roman"/>
                <w:sz w:val="20"/>
                <w:szCs w:val="20"/>
              </w:rPr>
            </w:pPr>
            <w:r w:rsidRPr="000B4F3B">
              <w:rPr>
                <w:rFonts w:ascii="Times New Roman" w:eastAsia="MS Mincho" w:hAnsi="Times New Roman" w:cs="Times New Roman"/>
                <w:sz w:val="20"/>
                <w:szCs w:val="20"/>
              </w:rPr>
              <w:t>√</w:t>
            </w:r>
          </w:p>
        </w:tc>
      </w:tr>
    </w:tbl>
    <w:p w14:paraId="4A1E07C2" w14:textId="77777777" w:rsidR="00782FEA" w:rsidRPr="000B4F3B" w:rsidRDefault="00782FEA" w:rsidP="00782FEA">
      <w:pPr>
        <w:tabs>
          <w:tab w:val="left" w:pos="1950"/>
        </w:tabs>
        <w:snapToGrid w:val="0"/>
        <w:spacing w:after="240" w:line="480" w:lineRule="auto"/>
        <w:rPr>
          <w:rFonts w:ascii="Times New Roman" w:eastAsia="Arial" w:hAnsi="Times New Roman" w:cs="Times New Roman"/>
          <w:color w:val="000000"/>
          <w:sz w:val="20"/>
          <w:szCs w:val="20"/>
        </w:rPr>
      </w:pPr>
      <w:r w:rsidRPr="000B4F3B">
        <w:rPr>
          <w:rFonts w:ascii="Times New Roman" w:eastAsia="Arial" w:hAnsi="Times New Roman" w:cs="Times New Roman"/>
          <w:color w:val="000000"/>
          <w:sz w:val="20"/>
          <w:szCs w:val="20"/>
        </w:rPr>
        <w:t>PRO = patient-reported outcome; PSG = polysomnography; RA = rheumatoid arthritis.</w:t>
      </w:r>
    </w:p>
    <w:p w14:paraId="7D1C839A" w14:textId="77777777" w:rsidR="00782FEA" w:rsidRPr="000B4F3B" w:rsidRDefault="00782FEA" w:rsidP="00782FEA">
      <w:pPr>
        <w:tabs>
          <w:tab w:val="left" w:pos="1950"/>
        </w:tabs>
        <w:snapToGrid w:val="0"/>
        <w:spacing w:before="240" w:after="240" w:line="480" w:lineRule="auto"/>
        <w:rPr>
          <w:rFonts w:ascii="Times New Roman" w:eastAsia="Arial" w:hAnsi="Times New Roman" w:cs="Times New Roman"/>
          <w:color w:val="000000"/>
          <w:sz w:val="24"/>
          <w:szCs w:val="24"/>
        </w:rPr>
      </w:pPr>
      <w:r w:rsidRPr="000B4F3B">
        <w:rPr>
          <w:rFonts w:ascii="Times New Roman" w:eastAsia="Arial" w:hAnsi="Times New Roman" w:cs="Times New Roman"/>
          <w:color w:val="000000"/>
          <w:sz w:val="24"/>
          <w:szCs w:val="24"/>
        </w:rPr>
        <w:br w:type="page"/>
      </w:r>
    </w:p>
    <w:p w14:paraId="49F19AE3" w14:textId="77777777" w:rsidR="00782FEA" w:rsidRPr="000B4F3B" w:rsidRDefault="00782FEA" w:rsidP="00782FEA">
      <w:pPr>
        <w:tabs>
          <w:tab w:val="left" w:pos="1950"/>
        </w:tabs>
        <w:snapToGrid w:val="0"/>
        <w:spacing w:before="240" w:after="240" w:line="480" w:lineRule="auto"/>
        <w:rPr>
          <w:rFonts w:ascii="Times New Roman" w:hAnsi="Times New Roman" w:cs="Times New Roman"/>
          <w:b/>
          <w:bCs/>
          <w:color w:val="000000"/>
          <w:sz w:val="24"/>
          <w:szCs w:val="24"/>
        </w:rPr>
      </w:pPr>
      <w:r>
        <w:rPr>
          <w:rFonts w:ascii="Times New Roman" w:eastAsia="Arial" w:hAnsi="Times New Roman" w:cs="Times New Roman"/>
          <w:b/>
          <w:bCs/>
          <w:caps/>
          <w:color w:val="000000"/>
          <w:sz w:val="24"/>
          <w:szCs w:val="24"/>
        </w:rPr>
        <w:lastRenderedPageBreak/>
        <w:t>SUPPLEMENTARY MATERIAL</w:t>
      </w:r>
      <w:r w:rsidRPr="000B4F3B">
        <w:rPr>
          <w:rFonts w:ascii="Times New Roman" w:hAnsi="Times New Roman" w:cs="Times New Roman"/>
          <w:b/>
          <w:bCs/>
          <w:color w:val="000000"/>
          <w:sz w:val="24"/>
          <w:szCs w:val="24"/>
        </w:rPr>
        <w:t xml:space="preserve"> 4.</w:t>
      </w:r>
      <w:r w:rsidRPr="000B4F3B">
        <w:rPr>
          <w:rFonts w:ascii="Times New Roman" w:hAnsi="Times New Roman" w:cs="Times New Roman"/>
          <w:b/>
          <w:bCs/>
          <w:color w:val="000000"/>
          <w:sz w:val="24"/>
          <w:szCs w:val="24"/>
        </w:rPr>
        <w:tab/>
        <w:t>LEXICON</w:t>
      </w:r>
    </w:p>
    <w:tbl>
      <w:tblPr>
        <w:tblW w:w="9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64"/>
        <w:gridCol w:w="5461"/>
        <w:gridCol w:w="1761"/>
      </w:tblGrid>
      <w:tr w:rsidR="00782FEA" w:rsidRPr="000B4F3B" w14:paraId="2A7F640E" w14:textId="77777777" w:rsidTr="00021A55">
        <w:trPr>
          <w:cantSplit/>
          <w:tblHeader/>
        </w:trPr>
        <w:tc>
          <w:tcPr>
            <w:tcW w:w="2364" w:type="dxa"/>
            <w:shd w:val="clear" w:color="auto" w:fill="auto"/>
          </w:tcPr>
          <w:p w14:paraId="54CFDEB0" w14:textId="77777777" w:rsidR="00782FEA" w:rsidRPr="000B4F3B" w:rsidRDefault="00782FEA" w:rsidP="00021A55">
            <w:pPr>
              <w:keepNext/>
              <w:spacing w:before="60" w:after="60" w:line="240" w:lineRule="auto"/>
              <w:rPr>
                <w:rFonts w:ascii="Times New Roman" w:eastAsia="MS Mincho" w:hAnsi="Times New Roman" w:cs="Times New Roman"/>
                <w:b/>
                <w:color w:val="000000"/>
                <w:sz w:val="20"/>
                <w:szCs w:val="20"/>
              </w:rPr>
            </w:pPr>
            <w:r w:rsidRPr="000B4F3B">
              <w:rPr>
                <w:rFonts w:ascii="Times New Roman" w:eastAsia="MS Mincho" w:hAnsi="Times New Roman" w:cs="Times New Roman"/>
                <w:b/>
                <w:color w:val="000000"/>
                <w:sz w:val="20"/>
                <w:szCs w:val="20"/>
              </w:rPr>
              <w:t>Terminology</w:t>
            </w:r>
          </w:p>
        </w:tc>
        <w:tc>
          <w:tcPr>
            <w:tcW w:w="5461" w:type="dxa"/>
            <w:shd w:val="clear" w:color="auto" w:fill="auto"/>
          </w:tcPr>
          <w:p w14:paraId="459EF92D" w14:textId="77777777" w:rsidR="00782FEA" w:rsidRPr="000B4F3B" w:rsidRDefault="00782FEA" w:rsidP="00021A55">
            <w:pPr>
              <w:keepNext/>
              <w:spacing w:before="60" w:after="60" w:line="240" w:lineRule="auto"/>
              <w:rPr>
                <w:rFonts w:ascii="Times New Roman" w:eastAsia="MS Mincho" w:hAnsi="Times New Roman" w:cs="Times New Roman"/>
                <w:b/>
                <w:color w:val="000000"/>
                <w:sz w:val="20"/>
                <w:szCs w:val="20"/>
              </w:rPr>
            </w:pPr>
            <w:r w:rsidRPr="000B4F3B">
              <w:rPr>
                <w:rFonts w:ascii="Times New Roman" w:eastAsia="MS Mincho" w:hAnsi="Times New Roman" w:cs="Times New Roman"/>
                <w:b/>
                <w:color w:val="000000"/>
                <w:sz w:val="20"/>
                <w:szCs w:val="20"/>
              </w:rPr>
              <w:t>Definition</w:t>
            </w:r>
          </w:p>
        </w:tc>
        <w:tc>
          <w:tcPr>
            <w:tcW w:w="1761" w:type="dxa"/>
            <w:shd w:val="clear" w:color="auto" w:fill="auto"/>
          </w:tcPr>
          <w:p w14:paraId="7ECA1B1F" w14:textId="77777777" w:rsidR="00782FEA" w:rsidRPr="000B4F3B" w:rsidRDefault="00782FEA" w:rsidP="00021A55">
            <w:pPr>
              <w:keepNext/>
              <w:spacing w:before="60" w:after="60" w:line="240" w:lineRule="auto"/>
              <w:rPr>
                <w:rFonts w:ascii="Times New Roman" w:eastAsia="MS Mincho" w:hAnsi="Times New Roman" w:cs="Times New Roman"/>
                <w:b/>
                <w:color w:val="000000"/>
                <w:sz w:val="20"/>
                <w:szCs w:val="20"/>
              </w:rPr>
            </w:pPr>
            <w:r w:rsidRPr="000B4F3B">
              <w:rPr>
                <w:rFonts w:ascii="Times New Roman" w:eastAsia="MS Mincho" w:hAnsi="Times New Roman" w:cs="Times New Roman"/>
                <w:b/>
                <w:color w:val="000000"/>
                <w:sz w:val="20"/>
                <w:szCs w:val="20"/>
              </w:rPr>
              <w:t>Source</w:t>
            </w:r>
          </w:p>
        </w:tc>
      </w:tr>
      <w:tr w:rsidR="00782FEA" w:rsidRPr="000B4F3B" w14:paraId="1BD5C299" w14:textId="77777777" w:rsidTr="00021A55">
        <w:trPr>
          <w:cantSplit/>
        </w:trPr>
        <w:tc>
          <w:tcPr>
            <w:tcW w:w="2364" w:type="dxa"/>
            <w:shd w:val="clear" w:color="auto" w:fill="auto"/>
          </w:tcPr>
          <w:p w14:paraId="742E4739" w14:textId="77777777" w:rsidR="00782FEA" w:rsidRPr="000B4F3B" w:rsidRDefault="00782FEA" w:rsidP="00021A55">
            <w:pPr>
              <w:spacing w:before="60" w:after="60" w:line="240" w:lineRule="auto"/>
              <w:rPr>
                <w:rFonts w:ascii="Times New Roman" w:eastAsia="MS Mincho" w:hAnsi="Times New Roman" w:cs="Times New Roman"/>
                <w:color w:val="000000"/>
                <w:sz w:val="20"/>
                <w:szCs w:val="20"/>
              </w:rPr>
            </w:pPr>
            <w:r w:rsidRPr="000B4F3B">
              <w:rPr>
                <w:rFonts w:ascii="Times New Roman" w:eastAsia="MS Mincho" w:hAnsi="Times New Roman" w:cs="Times New Roman"/>
                <w:color w:val="000000"/>
                <w:sz w:val="20"/>
                <w:szCs w:val="20"/>
              </w:rPr>
              <w:t>Clinical Endpoint</w:t>
            </w:r>
          </w:p>
        </w:tc>
        <w:tc>
          <w:tcPr>
            <w:tcW w:w="5461" w:type="dxa"/>
            <w:shd w:val="clear" w:color="auto" w:fill="auto"/>
          </w:tcPr>
          <w:p w14:paraId="2E6F4341" w14:textId="77777777" w:rsidR="00782FEA" w:rsidRPr="000B4F3B" w:rsidRDefault="00782FEA" w:rsidP="00021A55">
            <w:pPr>
              <w:snapToGrid w:val="0"/>
              <w:spacing w:before="60" w:after="60" w:line="240" w:lineRule="auto"/>
              <w:textAlignment w:val="baseline"/>
              <w:rPr>
                <w:rFonts w:ascii="Times New Roman" w:eastAsia="Times New Roman" w:hAnsi="Times New Roman" w:cs="Times New Roman"/>
                <w:sz w:val="20"/>
                <w:szCs w:val="20"/>
              </w:rPr>
            </w:pPr>
            <w:r w:rsidRPr="000B4F3B">
              <w:rPr>
                <w:rFonts w:ascii="Times New Roman" w:eastAsia="Times New Roman" w:hAnsi="Times New Roman" w:cs="Times New Roman"/>
                <w:sz w:val="20"/>
                <w:szCs w:val="20"/>
              </w:rPr>
              <w:t>A precisely defined variable is intended to reflect an </w:t>
            </w:r>
            <w:hyperlink r:id="rId5" w:tgtFrame="_blank" w:history="1">
              <w:r w:rsidRPr="000B4F3B">
                <w:rPr>
                  <w:rFonts w:ascii="Times New Roman" w:eastAsia="Times New Roman" w:hAnsi="Times New Roman" w:cs="Times New Roman"/>
                  <w:sz w:val="20"/>
                  <w:szCs w:val="20"/>
                </w:rPr>
                <w:t>outcome</w:t>
              </w:r>
            </w:hyperlink>
            <w:r w:rsidRPr="000B4F3B">
              <w:rPr>
                <w:rFonts w:ascii="Times New Roman" w:eastAsia="Times New Roman" w:hAnsi="Times New Roman" w:cs="Times New Roman"/>
                <w:sz w:val="20"/>
                <w:szCs w:val="20"/>
              </w:rPr>
              <w:t xml:space="preserve"> of interest that is statistically analyzed to address a particular research question. </w:t>
            </w:r>
          </w:p>
          <w:p w14:paraId="7D73DDAA" w14:textId="77777777" w:rsidR="00782FEA" w:rsidRPr="000B4F3B" w:rsidRDefault="00782FEA" w:rsidP="00021A55">
            <w:pPr>
              <w:snapToGrid w:val="0"/>
              <w:spacing w:before="60" w:after="60" w:line="240" w:lineRule="auto"/>
              <w:textAlignment w:val="baseline"/>
              <w:rPr>
                <w:rFonts w:ascii="Times New Roman" w:eastAsia="Times New Roman" w:hAnsi="Times New Roman" w:cs="Times New Roman"/>
                <w:color w:val="0D0D0D"/>
                <w:sz w:val="20"/>
                <w:szCs w:val="20"/>
              </w:rPr>
            </w:pPr>
            <w:r w:rsidRPr="000B4F3B">
              <w:rPr>
                <w:rFonts w:ascii="Times New Roman" w:eastAsia="Times New Roman" w:hAnsi="Times New Roman" w:cs="Times New Roman"/>
                <w:sz w:val="20"/>
                <w:szCs w:val="20"/>
              </w:rPr>
              <w:t>A precise definition of an endpoint typically specifies the type of assessments made, the timing of those assessments, the </w:t>
            </w:r>
            <w:hyperlink r:id="rId6" w:tgtFrame="_blank" w:history="1">
              <w:r w:rsidRPr="000B4F3B">
                <w:rPr>
                  <w:rFonts w:ascii="Times New Roman" w:eastAsia="Times New Roman" w:hAnsi="Times New Roman" w:cs="Times New Roman"/>
                  <w:sz w:val="20"/>
                  <w:szCs w:val="20"/>
                </w:rPr>
                <w:t>assessment</w:t>
              </w:r>
            </w:hyperlink>
            <w:r w:rsidRPr="000B4F3B">
              <w:rPr>
                <w:rFonts w:ascii="Times New Roman" w:eastAsia="Times New Roman" w:hAnsi="Times New Roman" w:cs="Times New Roman"/>
                <w:sz w:val="20"/>
                <w:szCs w:val="20"/>
              </w:rPr>
              <w:t> tools used, and possibly other details, as applicable, such as how multiple assessments within an individual are to be combined. </w:t>
            </w:r>
          </w:p>
        </w:tc>
        <w:tc>
          <w:tcPr>
            <w:tcW w:w="1761" w:type="dxa"/>
            <w:shd w:val="clear" w:color="auto" w:fill="auto"/>
          </w:tcPr>
          <w:p w14:paraId="610BC6C8" w14:textId="77777777" w:rsidR="00782FEA" w:rsidRPr="000B4F3B" w:rsidRDefault="00782FEA" w:rsidP="00021A55">
            <w:pPr>
              <w:spacing w:before="60" w:after="60" w:line="240" w:lineRule="auto"/>
              <w:rPr>
                <w:rFonts w:ascii="Times New Roman" w:eastAsia="MS Mincho" w:hAnsi="Times New Roman" w:cs="Times New Roman"/>
                <w:sz w:val="20"/>
                <w:szCs w:val="20"/>
              </w:rPr>
            </w:pPr>
            <w:r w:rsidRPr="000B4F3B">
              <w:rPr>
                <w:rFonts w:ascii="Times New Roman" w:eastAsia="MS Mincho" w:hAnsi="Times New Roman" w:cs="Times New Roman"/>
                <w:sz w:val="20"/>
                <w:szCs w:val="20"/>
              </w:rPr>
              <w:t>FDA - BEST</w:t>
            </w:r>
          </w:p>
        </w:tc>
      </w:tr>
      <w:tr w:rsidR="00782FEA" w:rsidRPr="000B4F3B" w14:paraId="4B43FD95" w14:textId="77777777" w:rsidTr="00021A55">
        <w:trPr>
          <w:cantSplit/>
        </w:trPr>
        <w:tc>
          <w:tcPr>
            <w:tcW w:w="2364" w:type="dxa"/>
            <w:shd w:val="clear" w:color="auto" w:fill="auto"/>
          </w:tcPr>
          <w:p w14:paraId="7297162F" w14:textId="77777777" w:rsidR="00782FEA" w:rsidRPr="000B4F3B" w:rsidRDefault="00782FEA" w:rsidP="00021A55">
            <w:pPr>
              <w:spacing w:before="60" w:after="60" w:line="240" w:lineRule="auto"/>
              <w:rPr>
                <w:rFonts w:ascii="Times New Roman" w:eastAsia="MS Mincho" w:hAnsi="Times New Roman" w:cs="Times New Roman"/>
                <w:color w:val="000000"/>
                <w:sz w:val="20"/>
                <w:szCs w:val="20"/>
              </w:rPr>
            </w:pPr>
            <w:r w:rsidRPr="000B4F3B">
              <w:rPr>
                <w:rFonts w:ascii="Times New Roman" w:eastAsia="MS Mincho" w:hAnsi="Times New Roman" w:cs="Times New Roman"/>
                <w:color w:val="000000"/>
                <w:sz w:val="20"/>
                <w:szCs w:val="20"/>
              </w:rPr>
              <w:t>Biomarker</w:t>
            </w:r>
          </w:p>
        </w:tc>
        <w:tc>
          <w:tcPr>
            <w:tcW w:w="5461" w:type="dxa"/>
            <w:shd w:val="clear" w:color="auto" w:fill="auto"/>
          </w:tcPr>
          <w:p w14:paraId="293B0887" w14:textId="77777777" w:rsidR="00782FEA" w:rsidRPr="000B4F3B" w:rsidRDefault="00782FEA" w:rsidP="00021A55">
            <w:pPr>
              <w:spacing w:before="60" w:after="60" w:line="240" w:lineRule="auto"/>
              <w:rPr>
                <w:rFonts w:ascii="Times New Roman" w:eastAsia="MS Mincho" w:hAnsi="Times New Roman" w:cs="Times New Roman"/>
                <w:color w:val="0D0D0D"/>
                <w:sz w:val="20"/>
                <w:szCs w:val="20"/>
              </w:rPr>
            </w:pPr>
            <w:r w:rsidRPr="000B4F3B">
              <w:rPr>
                <w:rFonts w:ascii="Times New Roman" w:eastAsia="MS Mincho" w:hAnsi="Times New Roman" w:cs="Times New Roman"/>
                <w:color w:val="0D0D0D"/>
                <w:sz w:val="20"/>
                <w:szCs w:val="20"/>
              </w:rPr>
              <w:t>A defined characteristic that is measured to provide insight into a normal biological processes, pathogenic processes, or responses to an exposure or intervention, including therapeutic interventions. Molecular, histologic, radiographic, or physiologic characteristics are types of biomarkers. A biomarker is not an assessment of how a patient feels, functions, or survives.  </w:t>
            </w:r>
          </w:p>
        </w:tc>
        <w:tc>
          <w:tcPr>
            <w:tcW w:w="1761" w:type="dxa"/>
            <w:shd w:val="clear" w:color="auto" w:fill="auto"/>
          </w:tcPr>
          <w:p w14:paraId="58C2FBD5" w14:textId="77777777" w:rsidR="00782FEA" w:rsidRPr="000B4F3B" w:rsidRDefault="00782FEA" w:rsidP="00021A55">
            <w:pPr>
              <w:spacing w:before="60" w:after="60" w:line="240" w:lineRule="auto"/>
              <w:rPr>
                <w:rFonts w:ascii="Times New Roman" w:eastAsia="MS Mincho" w:hAnsi="Times New Roman" w:cs="Times New Roman"/>
                <w:sz w:val="20"/>
                <w:szCs w:val="20"/>
              </w:rPr>
            </w:pPr>
            <w:r w:rsidRPr="000B4F3B">
              <w:rPr>
                <w:rFonts w:ascii="Times New Roman" w:eastAsia="MS Mincho" w:hAnsi="Times New Roman" w:cs="Times New Roman"/>
                <w:sz w:val="20"/>
                <w:szCs w:val="20"/>
              </w:rPr>
              <w:t>FDA - BEST</w:t>
            </w:r>
          </w:p>
        </w:tc>
      </w:tr>
      <w:tr w:rsidR="00782FEA" w:rsidRPr="000B4F3B" w14:paraId="099A618B" w14:textId="77777777" w:rsidTr="00021A55">
        <w:trPr>
          <w:cantSplit/>
        </w:trPr>
        <w:tc>
          <w:tcPr>
            <w:tcW w:w="2364" w:type="dxa"/>
            <w:vMerge w:val="restart"/>
            <w:shd w:val="clear" w:color="auto" w:fill="auto"/>
          </w:tcPr>
          <w:p w14:paraId="0A6429DA" w14:textId="77777777" w:rsidR="00782FEA" w:rsidRPr="000B4F3B" w:rsidRDefault="00782FEA" w:rsidP="00021A55">
            <w:pPr>
              <w:spacing w:before="60" w:after="60" w:line="240" w:lineRule="auto"/>
              <w:rPr>
                <w:rFonts w:ascii="Times New Roman" w:eastAsia="MS Mincho" w:hAnsi="Times New Roman" w:cs="Times New Roman"/>
                <w:color w:val="000000"/>
                <w:sz w:val="20"/>
                <w:szCs w:val="20"/>
              </w:rPr>
            </w:pPr>
            <w:r w:rsidRPr="000B4F3B">
              <w:rPr>
                <w:rFonts w:ascii="Times New Roman" w:eastAsia="MS Mincho" w:hAnsi="Times New Roman" w:cs="Times New Roman"/>
                <w:color w:val="000000"/>
                <w:sz w:val="20"/>
                <w:szCs w:val="20"/>
              </w:rPr>
              <w:t>Digital Biomarker*</w:t>
            </w:r>
          </w:p>
        </w:tc>
        <w:tc>
          <w:tcPr>
            <w:tcW w:w="5461" w:type="dxa"/>
            <w:shd w:val="clear" w:color="auto" w:fill="auto"/>
          </w:tcPr>
          <w:p w14:paraId="3FA6592D" w14:textId="77777777" w:rsidR="00782FEA" w:rsidRPr="000B4F3B" w:rsidRDefault="00782FEA" w:rsidP="00021A55">
            <w:pPr>
              <w:spacing w:before="60" w:after="60" w:line="240" w:lineRule="auto"/>
              <w:rPr>
                <w:rFonts w:ascii="Times New Roman" w:eastAsia="MS Mincho" w:hAnsi="Times New Roman" w:cs="Times New Roman"/>
                <w:color w:val="0D0D0D"/>
                <w:sz w:val="20"/>
                <w:szCs w:val="20"/>
              </w:rPr>
            </w:pPr>
            <w:r w:rsidRPr="000B4F3B">
              <w:rPr>
                <w:rFonts w:ascii="Times New Roman" w:eastAsia="MS Mincho" w:hAnsi="Times New Roman" w:cs="Times New Roman"/>
                <w:color w:val="0D0D0D"/>
                <w:sz w:val="20"/>
                <w:szCs w:val="20"/>
              </w:rPr>
              <w:t>An objective and quantifiable physiological signal(s) measured by digital technologies. These “digital signals” can be developed as an indicator of disease activity or treatment response.</w:t>
            </w:r>
          </w:p>
        </w:tc>
        <w:tc>
          <w:tcPr>
            <w:tcW w:w="1761" w:type="dxa"/>
            <w:shd w:val="clear" w:color="auto" w:fill="auto"/>
          </w:tcPr>
          <w:p w14:paraId="6BB7EA0A" w14:textId="77777777" w:rsidR="00782FEA" w:rsidRPr="000B4F3B" w:rsidRDefault="00782FEA" w:rsidP="00021A55">
            <w:pPr>
              <w:spacing w:before="60" w:after="60" w:line="240" w:lineRule="auto"/>
              <w:rPr>
                <w:rFonts w:ascii="Times New Roman" w:eastAsia="MS Mincho" w:hAnsi="Times New Roman" w:cs="Times New Roman"/>
                <w:sz w:val="20"/>
                <w:szCs w:val="20"/>
              </w:rPr>
            </w:pPr>
            <w:r w:rsidRPr="000B4F3B">
              <w:rPr>
                <w:rFonts w:ascii="Times New Roman" w:eastAsia="MS Mincho" w:hAnsi="Times New Roman" w:cs="Times New Roman"/>
                <w:sz w:val="20"/>
                <w:szCs w:val="20"/>
              </w:rPr>
              <w:t>TransCelerate</w:t>
            </w:r>
          </w:p>
        </w:tc>
      </w:tr>
      <w:tr w:rsidR="00782FEA" w:rsidRPr="000B4F3B" w14:paraId="2EAAE760" w14:textId="77777777" w:rsidTr="00021A55">
        <w:trPr>
          <w:cantSplit/>
        </w:trPr>
        <w:tc>
          <w:tcPr>
            <w:tcW w:w="2364" w:type="dxa"/>
            <w:vMerge/>
            <w:shd w:val="clear" w:color="auto" w:fill="auto"/>
          </w:tcPr>
          <w:p w14:paraId="029CD828" w14:textId="77777777" w:rsidR="00782FEA" w:rsidRPr="000B4F3B" w:rsidRDefault="00782FEA" w:rsidP="00021A55">
            <w:pPr>
              <w:spacing w:before="240" w:after="240" w:line="240" w:lineRule="auto"/>
              <w:ind w:left="720"/>
              <w:rPr>
                <w:rFonts w:ascii="Times New Roman" w:eastAsia="Arial" w:hAnsi="Times New Roman" w:cs="Times New Roman"/>
                <w:color w:val="000000"/>
                <w:sz w:val="20"/>
                <w:szCs w:val="20"/>
              </w:rPr>
            </w:pPr>
          </w:p>
        </w:tc>
        <w:tc>
          <w:tcPr>
            <w:tcW w:w="5461" w:type="dxa"/>
            <w:shd w:val="clear" w:color="auto" w:fill="auto"/>
          </w:tcPr>
          <w:p w14:paraId="561D3505" w14:textId="77777777" w:rsidR="00782FEA" w:rsidRPr="000B4F3B" w:rsidRDefault="00782FEA" w:rsidP="00021A55">
            <w:pPr>
              <w:spacing w:before="60" w:after="60" w:line="240" w:lineRule="auto"/>
              <w:rPr>
                <w:rFonts w:ascii="Times New Roman" w:hAnsi="Times New Roman" w:cs="Times New Roman"/>
                <w:sz w:val="20"/>
                <w:szCs w:val="20"/>
              </w:rPr>
            </w:pPr>
            <w:r w:rsidRPr="000B4F3B">
              <w:rPr>
                <w:rFonts w:ascii="Times New Roman" w:eastAsia="MS Mincho" w:hAnsi="Times New Roman" w:cs="Times New Roman"/>
                <w:sz w:val="20"/>
                <w:szCs w:val="20"/>
              </w:rPr>
              <w:t>An objective, quantifiable measure of physiology and/or behavior used as an indicator of biological, pathological process or response to an exposure or an intervention that is derived from a digital measure. The clinical meaning is established by a reliable relationship to an existing, validated endpoint.</w:t>
            </w:r>
          </w:p>
        </w:tc>
        <w:tc>
          <w:tcPr>
            <w:tcW w:w="1761" w:type="dxa"/>
            <w:shd w:val="clear" w:color="auto" w:fill="auto"/>
          </w:tcPr>
          <w:p w14:paraId="3987ED64" w14:textId="77777777" w:rsidR="00782FEA" w:rsidRPr="000B4F3B" w:rsidRDefault="00782FEA" w:rsidP="00021A55">
            <w:pPr>
              <w:spacing w:before="60" w:after="60" w:line="240" w:lineRule="auto"/>
              <w:rPr>
                <w:rFonts w:ascii="Times New Roman" w:eastAsia="MS Mincho" w:hAnsi="Times New Roman" w:cs="Times New Roman"/>
                <w:sz w:val="20"/>
                <w:szCs w:val="20"/>
              </w:rPr>
            </w:pPr>
            <w:r w:rsidRPr="000B4F3B">
              <w:rPr>
                <w:rFonts w:ascii="Times New Roman" w:eastAsia="MS Mincho" w:hAnsi="Times New Roman" w:cs="Times New Roman"/>
                <w:sz w:val="20"/>
                <w:szCs w:val="20"/>
              </w:rPr>
              <w:t>EMA Q&amp;A</w:t>
            </w:r>
          </w:p>
        </w:tc>
      </w:tr>
      <w:tr w:rsidR="00782FEA" w:rsidRPr="000B4F3B" w14:paraId="51A73F4C" w14:textId="77777777" w:rsidTr="00021A55">
        <w:trPr>
          <w:cantSplit/>
        </w:trPr>
        <w:tc>
          <w:tcPr>
            <w:tcW w:w="2364" w:type="dxa"/>
            <w:vMerge/>
            <w:shd w:val="clear" w:color="auto" w:fill="auto"/>
          </w:tcPr>
          <w:p w14:paraId="6D7B23BE" w14:textId="77777777" w:rsidR="00782FEA" w:rsidRPr="000B4F3B" w:rsidRDefault="00782FEA" w:rsidP="00021A55">
            <w:pPr>
              <w:spacing w:before="240" w:after="240" w:line="240" w:lineRule="auto"/>
              <w:ind w:left="720"/>
              <w:rPr>
                <w:rFonts w:ascii="Times New Roman" w:eastAsia="Arial" w:hAnsi="Times New Roman" w:cs="Times New Roman"/>
                <w:color w:val="000000"/>
                <w:sz w:val="20"/>
                <w:szCs w:val="20"/>
              </w:rPr>
            </w:pPr>
          </w:p>
        </w:tc>
        <w:tc>
          <w:tcPr>
            <w:tcW w:w="5461" w:type="dxa"/>
            <w:shd w:val="clear" w:color="auto" w:fill="auto"/>
          </w:tcPr>
          <w:p w14:paraId="28171002" w14:textId="77777777" w:rsidR="00782FEA" w:rsidRPr="000B4F3B" w:rsidRDefault="00782FEA" w:rsidP="00021A55">
            <w:pPr>
              <w:spacing w:before="60" w:after="60" w:line="240" w:lineRule="auto"/>
              <w:rPr>
                <w:rFonts w:ascii="Times New Roman" w:eastAsia="MS Mincho" w:hAnsi="Times New Roman" w:cs="Times New Roman"/>
                <w:sz w:val="20"/>
                <w:szCs w:val="20"/>
              </w:rPr>
            </w:pPr>
            <w:r w:rsidRPr="000B4F3B">
              <w:rPr>
                <w:rFonts w:ascii="Times New Roman" w:eastAsia="MS Mincho" w:hAnsi="Times New Roman" w:cs="Times New Roman"/>
                <w:sz w:val="20"/>
                <w:szCs w:val="20"/>
              </w:rPr>
              <w:t>Digital Biomarkers are defined as requirements or specifications that are measured as an indicator of normal biological processes, pathogenic processes, or responses to an exposure or intervention, including therapeutic interventions that can only be measured by a validated DHTT.</w:t>
            </w:r>
          </w:p>
        </w:tc>
        <w:tc>
          <w:tcPr>
            <w:tcW w:w="1761" w:type="dxa"/>
            <w:shd w:val="clear" w:color="auto" w:fill="auto"/>
          </w:tcPr>
          <w:p w14:paraId="17CDEA6E" w14:textId="77777777" w:rsidR="00782FEA" w:rsidRPr="000B4F3B" w:rsidRDefault="00782FEA" w:rsidP="00021A55">
            <w:pPr>
              <w:spacing w:before="60" w:after="60" w:line="240" w:lineRule="auto"/>
              <w:rPr>
                <w:rFonts w:ascii="Times New Roman" w:eastAsia="MS Mincho" w:hAnsi="Times New Roman" w:cs="Times New Roman"/>
                <w:sz w:val="20"/>
                <w:szCs w:val="20"/>
              </w:rPr>
            </w:pPr>
            <w:r w:rsidRPr="000B4F3B">
              <w:rPr>
                <w:rFonts w:ascii="Times New Roman" w:eastAsia="MS Mincho" w:hAnsi="Times New Roman" w:cs="Times New Roman"/>
                <w:sz w:val="20"/>
                <w:szCs w:val="20"/>
              </w:rPr>
              <w:t>PhRMA</w:t>
            </w:r>
          </w:p>
        </w:tc>
      </w:tr>
      <w:tr w:rsidR="00782FEA" w:rsidRPr="000B4F3B" w14:paraId="5E374C3B" w14:textId="77777777" w:rsidTr="00021A55">
        <w:trPr>
          <w:cantSplit/>
        </w:trPr>
        <w:tc>
          <w:tcPr>
            <w:tcW w:w="2364" w:type="dxa"/>
            <w:shd w:val="clear" w:color="auto" w:fill="auto"/>
          </w:tcPr>
          <w:p w14:paraId="18342F70" w14:textId="77777777" w:rsidR="00782FEA" w:rsidRPr="000B4F3B" w:rsidRDefault="00782FEA" w:rsidP="00021A55">
            <w:pPr>
              <w:spacing w:before="60" w:after="60" w:line="240" w:lineRule="auto"/>
              <w:rPr>
                <w:rFonts w:ascii="Times New Roman" w:eastAsia="MS Mincho" w:hAnsi="Times New Roman" w:cs="Times New Roman"/>
                <w:color w:val="0D0D0D"/>
                <w:sz w:val="20"/>
                <w:szCs w:val="20"/>
              </w:rPr>
            </w:pPr>
            <w:r w:rsidRPr="000B4F3B">
              <w:rPr>
                <w:rFonts w:ascii="Times New Roman" w:eastAsia="MS Mincho" w:hAnsi="Times New Roman" w:cs="Times New Roman"/>
                <w:color w:val="0D0D0D"/>
                <w:sz w:val="20"/>
                <w:szCs w:val="20"/>
              </w:rPr>
              <w:t>Clinical Outcome Assessment (COA)</w:t>
            </w:r>
          </w:p>
        </w:tc>
        <w:tc>
          <w:tcPr>
            <w:tcW w:w="5461" w:type="dxa"/>
            <w:shd w:val="clear" w:color="auto" w:fill="auto"/>
          </w:tcPr>
          <w:p w14:paraId="250C9396" w14:textId="77777777" w:rsidR="00782FEA" w:rsidRPr="000B4F3B" w:rsidRDefault="00782FEA" w:rsidP="00021A55">
            <w:pPr>
              <w:spacing w:before="60" w:after="60" w:line="240" w:lineRule="auto"/>
              <w:rPr>
                <w:rFonts w:ascii="Times New Roman" w:eastAsia="MS Mincho" w:hAnsi="Times New Roman" w:cs="Times New Roman"/>
                <w:color w:val="0D0D0D"/>
                <w:sz w:val="20"/>
                <w:szCs w:val="20"/>
              </w:rPr>
            </w:pPr>
            <w:r w:rsidRPr="000B4F3B">
              <w:rPr>
                <w:rFonts w:ascii="Times New Roman" w:eastAsia="MS Mincho" w:hAnsi="Times New Roman" w:cs="Times New Roman"/>
                <w:color w:val="0D0D0D"/>
                <w:sz w:val="20"/>
                <w:szCs w:val="20"/>
              </w:rPr>
              <w:t>Assessment of a clinical outcome can be made through report by a clinician, a patient, a non-clinician observer or through a performance-based assessment. There are four types of COAs. </w:t>
            </w:r>
          </w:p>
          <w:p w14:paraId="6E86A84C" w14:textId="77777777" w:rsidR="00782FEA" w:rsidRPr="000B4F3B" w:rsidRDefault="00782FEA" w:rsidP="00021A55">
            <w:pPr>
              <w:tabs>
                <w:tab w:val="num" w:pos="720"/>
              </w:tabs>
              <w:spacing w:before="60" w:after="60" w:line="240" w:lineRule="auto"/>
              <w:rPr>
                <w:rFonts w:ascii="Times New Roman" w:eastAsia="MS Mincho" w:hAnsi="Times New Roman" w:cs="Times New Roman"/>
                <w:color w:val="0D0D0D"/>
                <w:sz w:val="20"/>
                <w:szCs w:val="20"/>
              </w:rPr>
            </w:pPr>
            <w:r w:rsidRPr="000B4F3B">
              <w:rPr>
                <w:rFonts w:ascii="Times New Roman" w:eastAsia="MS Mincho" w:hAnsi="Times New Roman" w:cs="Times New Roman"/>
                <w:color w:val="0D0D0D"/>
                <w:sz w:val="20"/>
                <w:szCs w:val="20"/>
              </w:rPr>
              <w:t>Clinician-reported outcome </w:t>
            </w:r>
          </w:p>
          <w:p w14:paraId="3EF35E66" w14:textId="77777777" w:rsidR="00782FEA" w:rsidRPr="000B4F3B" w:rsidRDefault="00782FEA" w:rsidP="00021A55">
            <w:pPr>
              <w:tabs>
                <w:tab w:val="num" w:pos="720"/>
              </w:tabs>
              <w:spacing w:before="60" w:after="60" w:line="240" w:lineRule="auto"/>
              <w:rPr>
                <w:rFonts w:ascii="Times New Roman" w:eastAsia="MS Mincho" w:hAnsi="Times New Roman" w:cs="Times New Roman"/>
                <w:color w:val="0D0D0D"/>
                <w:sz w:val="20"/>
                <w:szCs w:val="20"/>
              </w:rPr>
            </w:pPr>
            <w:r w:rsidRPr="000B4F3B">
              <w:rPr>
                <w:rFonts w:ascii="Times New Roman" w:eastAsia="MS Mincho" w:hAnsi="Times New Roman" w:cs="Times New Roman"/>
                <w:color w:val="0D0D0D"/>
                <w:sz w:val="20"/>
                <w:szCs w:val="20"/>
              </w:rPr>
              <w:t>Observer-reported outcome </w:t>
            </w:r>
          </w:p>
          <w:p w14:paraId="19795363" w14:textId="77777777" w:rsidR="00782FEA" w:rsidRPr="000B4F3B" w:rsidRDefault="00782FEA" w:rsidP="00021A55">
            <w:pPr>
              <w:tabs>
                <w:tab w:val="num" w:pos="720"/>
              </w:tabs>
              <w:spacing w:before="60" w:after="60" w:line="240" w:lineRule="auto"/>
              <w:rPr>
                <w:rFonts w:ascii="Times New Roman" w:eastAsia="MS Mincho" w:hAnsi="Times New Roman" w:cs="Times New Roman"/>
                <w:color w:val="0D0D0D"/>
                <w:sz w:val="20"/>
                <w:szCs w:val="20"/>
              </w:rPr>
            </w:pPr>
            <w:r w:rsidRPr="000B4F3B">
              <w:rPr>
                <w:rFonts w:ascii="Times New Roman" w:eastAsia="MS Mincho" w:hAnsi="Times New Roman" w:cs="Times New Roman"/>
                <w:color w:val="0D0D0D"/>
                <w:sz w:val="20"/>
                <w:szCs w:val="20"/>
              </w:rPr>
              <w:t>Patient-reported outcome (PRO) </w:t>
            </w:r>
          </w:p>
          <w:p w14:paraId="5E80B8C2" w14:textId="77777777" w:rsidR="00782FEA" w:rsidRPr="000B4F3B" w:rsidRDefault="00782FEA" w:rsidP="00021A55">
            <w:pPr>
              <w:tabs>
                <w:tab w:val="num" w:pos="720"/>
              </w:tabs>
              <w:spacing w:before="60" w:after="60" w:line="240" w:lineRule="auto"/>
              <w:rPr>
                <w:rFonts w:ascii="Times New Roman" w:eastAsia="MS Mincho" w:hAnsi="Times New Roman" w:cs="Times New Roman"/>
                <w:color w:val="0D0D0D"/>
                <w:sz w:val="20"/>
                <w:szCs w:val="20"/>
              </w:rPr>
            </w:pPr>
            <w:r w:rsidRPr="000B4F3B">
              <w:rPr>
                <w:rFonts w:ascii="Times New Roman" w:eastAsia="MS Mincho" w:hAnsi="Times New Roman" w:cs="Times New Roman"/>
                <w:color w:val="0D0D0D"/>
                <w:sz w:val="20"/>
                <w:szCs w:val="20"/>
              </w:rPr>
              <w:t>Performance outcome (PerfO) </w:t>
            </w:r>
          </w:p>
          <w:p w14:paraId="0B3CC25F" w14:textId="77777777" w:rsidR="00782FEA" w:rsidRPr="000B4F3B" w:rsidRDefault="00782FEA" w:rsidP="00021A55">
            <w:pPr>
              <w:tabs>
                <w:tab w:val="num" w:pos="720"/>
              </w:tabs>
              <w:spacing w:before="60" w:after="60" w:line="240" w:lineRule="auto"/>
              <w:rPr>
                <w:rFonts w:ascii="Times New Roman" w:eastAsia="MS Mincho" w:hAnsi="Times New Roman" w:cs="Times New Roman"/>
                <w:color w:val="0D0D0D"/>
                <w:sz w:val="20"/>
                <w:szCs w:val="20"/>
              </w:rPr>
            </w:pPr>
            <w:r w:rsidRPr="000B4F3B">
              <w:rPr>
                <w:rFonts w:ascii="Times New Roman" w:eastAsia="MS Mincho" w:hAnsi="Times New Roman" w:cs="Times New Roman"/>
                <w:color w:val="0D0D0D"/>
                <w:sz w:val="20"/>
                <w:szCs w:val="20"/>
              </w:rPr>
              <w:t>Passive monitoring outcome</w:t>
            </w:r>
          </w:p>
          <w:p w14:paraId="34F96C76" w14:textId="77777777" w:rsidR="00782FEA" w:rsidRPr="000B4F3B" w:rsidRDefault="00782FEA" w:rsidP="00021A55">
            <w:pPr>
              <w:spacing w:before="60" w:after="60" w:line="240" w:lineRule="auto"/>
              <w:rPr>
                <w:rFonts w:ascii="Times New Roman" w:eastAsia="MS Mincho" w:hAnsi="Times New Roman" w:cs="Times New Roman"/>
                <w:color w:val="0D0D0D"/>
                <w:sz w:val="20"/>
                <w:szCs w:val="20"/>
              </w:rPr>
            </w:pPr>
            <w:r w:rsidRPr="000B4F3B">
              <w:rPr>
                <w:rFonts w:ascii="Times New Roman" w:eastAsia="MS Mincho" w:hAnsi="Times New Roman" w:cs="Times New Roman"/>
                <w:color w:val="0D0D0D"/>
                <w:sz w:val="20"/>
                <w:szCs w:val="20"/>
              </w:rPr>
              <w:t>Other (wearable sensors)</w:t>
            </w:r>
          </w:p>
        </w:tc>
        <w:tc>
          <w:tcPr>
            <w:tcW w:w="1761" w:type="dxa"/>
            <w:shd w:val="clear" w:color="auto" w:fill="auto"/>
          </w:tcPr>
          <w:p w14:paraId="5FC2BC50" w14:textId="77777777" w:rsidR="00782FEA" w:rsidRPr="000B4F3B" w:rsidRDefault="00782FEA" w:rsidP="00021A55">
            <w:pPr>
              <w:snapToGrid w:val="0"/>
              <w:spacing w:before="240" w:after="240" w:line="240" w:lineRule="auto"/>
              <w:textAlignment w:val="baseline"/>
              <w:rPr>
                <w:rFonts w:ascii="Times New Roman" w:eastAsia="Times New Roman" w:hAnsi="Times New Roman" w:cs="Times New Roman"/>
                <w:sz w:val="20"/>
                <w:szCs w:val="20"/>
              </w:rPr>
            </w:pPr>
            <w:r w:rsidRPr="000B4F3B">
              <w:rPr>
                <w:rFonts w:ascii="Times New Roman" w:eastAsia="Times New Roman" w:hAnsi="Times New Roman" w:cs="Times New Roman"/>
                <w:sz w:val="20"/>
                <w:szCs w:val="20"/>
              </w:rPr>
              <w:t xml:space="preserve">FDA - </w:t>
            </w:r>
            <w:hyperlink r:id="rId7" w:tgtFrame="_blank" w:history="1">
              <w:r w:rsidRPr="000B4F3B">
                <w:rPr>
                  <w:rFonts w:ascii="Times New Roman" w:eastAsia="Times New Roman" w:hAnsi="Times New Roman" w:cs="Times New Roman"/>
                  <w:sz w:val="20"/>
                  <w:szCs w:val="20"/>
                </w:rPr>
                <w:t>BEST</w:t>
              </w:r>
            </w:hyperlink>
          </w:p>
          <w:p w14:paraId="4CBF33E9" w14:textId="77777777" w:rsidR="00782FEA" w:rsidRPr="000B4F3B" w:rsidRDefault="00782FEA" w:rsidP="00021A55">
            <w:pPr>
              <w:snapToGrid w:val="0"/>
              <w:spacing w:before="240" w:after="240" w:line="240" w:lineRule="auto"/>
              <w:textAlignment w:val="baseline"/>
              <w:rPr>
                <w:rFonts w:ascii="Times New Roman" w:eastAsia="Times New Roman" w:hAnsi="Times New Roman" w:cs="Times New Roman"/>
                <w:sz w:val="20"/>
                <w:szCs w:val="20"/>
              </w:rPr>
            </w:pPr>
            <w:r w:rsidRPr="000B4F3B">
              <w:rPr>
                <w:rFonts w:ascii="Times New Roman" w:eastAsia="MS Mincho" w:hAnsi="Times New Roman" w:cs="Times New Roman"/>
                <w:sz w:val="20"/>
                <w:szCs w:val="20"/>
              </w:rPr>
              <w:t>Resource Glossary</w:t>
            </w:r>
          </w:p>
        </w:tc>
      </w:tr>
      <w:tr w:rsidR="00782FEA" w:rsidRPr="000B4F3B" w14:paraId="504283DE" w14:textId="77777777" w:rsidTr="00021A55">
        <w:trPr>
          <w:cantSplit/>
        </w:trPr>
        <w:tc>
          <w:tcPr>
            <w:tcW w:w="2364" w:type="dxa"/>
            <w:vMerge w:val="restart"/>
            <w:shd w:val="clear" w:color="auto" w:fill="auto"/>
          </w:tcPr>
          <w:p w14:paraId="0A74646E" w14:textId="77777777" w:rsidR="00782FEA" w:rsidRPr="000B4F3B" w:rsidRDefault="00782FEA" w:rsidP="00021A55">
            <w:pPr>
              <w:keepNext/>
              <w:keepLines/>
              <w:spacing w:before="60" w:after="60" w:line="240" w:lineRule="auto"/>
              <w:rPr>
                <w:rFonts w:ascii="Times New Roman" w:eastAsia="MS Mincho" w:hAnsi="Times New Roman" w:cs="Times New Roman"/>
                <w:color w:val="000000"/>
                <w:sz w:val="20"/>
                <w:szCs w:val="20"/>
              </w:rPr>
            </w:pPr>
            <w:r w:rsidRPr="000B4F3B">
              <w:rPr>
                <w:rFonts w:ascii="Times New Roman" w:eastAsia="MS Mincho" w:hAnsi="Times New Roman" w:cs="Times New Roman"/>
                <w:color w:val="000000"/>
                <w:sz w:val="20"/>
                <w:szCs w:val="20"/>
              </w:rPr>
              <w:lastRenderedPageBreak/>
              <w:t>Novel Digital Endpoints (NDE)</w:t>
            </w:r>
          </w:p>
          <w:p w14:paraId="2E3D8024" w14:textId="77777777" w:rsidR="00782FEA" w:rsidRPr="000B4F3B" w:rsidRDefault="00782FEA" w:rsidP="00021A55">
            <w:pPr>
              <w:keepNext/>
              <w:keepLines/>
              <w:spacing w:before="60" w:after="60" w:line="240" w:lineRule="auto"/>
              <w:rPr>
                <w:rFonts w:ascii="Times New Roman" w:eastAsia="MS Mincho" w:hAnsi="Times New Roman" w:cs="Times New Roman"/>
                <w:color w:val="000000"/>
                <w:sz w:val="20"/>
                <w:szCs w:val="20"/>
              </w:rPr>
            </w:pPr>
            <w:r w:rsidRPr="000B4F3B">
              <w:rPr>
                <w:rFonts w:ascii="Times New Roman" w:hAnsi="Times New Roman" w:cs="Times New Roman"/>
                <w:color w:val="000000"/>
                <w:sz w:val="20"/>
                <w:szCs w:val="20"/>
              </w:rPr>
              <w:t>There is currently no consensus from industry or Health Authorities regarding these definitions.</w:t>
            </w:r>
          </w:p>
        </w:tc>
        <w:tc>
          <w:tcPr>
            <w:tcW w:w="5461" w:type="dxa"/>
            <w:shd w:val="clear" w:color="auto" w:fill="auto"/>
          </w:tcPr>
          <w:p w14:paraId="0869B70E" w14:textId="77777777" w:rsidR="00782FEA" w:rsidRPr="000B4F3B" w:rsidRDefault="00782FEA" w:rsidP="00021A55">
            <w:pPr>
              <w:keepNext/>
              <w:keepLines/>
              <w:snapToGrid w:val="0"/>
              <w:spacing w:before="60" w:after="60" w:line="240" w:lineRule="auto"/>
              <w:textAlignment w:val="baseline"/>
              <w:rPr>
                <w:rFonts w:ascii="Times New Roman" w:eastAsia="Times New Roman" w:hAnsi="Times New Roman" w:cs="Times New Roman"/>
                <w:color w:val="0D0D0D"/>
                <w:sz w:val="20"/>
                <w:szCs w:val="20"/>
              </w:rPr>
            </w:pPr>
            <w:r w:rsidRPr="000B4F3B">
              <w:rPr>
                <w:rFonts w:ascii="Times New Roman" w:eastAsia="Times New Roman" w:hAnsi="Times New Roman" w:cs="Times New Roman"/>
                <w:color w:val="0D0D0D"/>
                <w:sz w:val="20"/>
                <w:szCs w:val="20"/>
              </w:rPr>
              <w:t xml:space="preserve">A </w:t>
            </w:r>
            <w:r w:rsidRPr="000B4F3B">
              <w:rPr>
                <w:rFonts w:ascii="Times New Roman" w:eastAsia="Times New Roman" w:hAnsi="Times New Roman" w:cs="Times New Roman"/>
                <w:sz w:val="20"/>
                <w:szCs w:val="20"/>
              </w:rPr>
              <w:t xml:space="preserve">precisely defined variable or </w:t>
            </w:r>
            <w:r w:rsidRPr="000B4F3B">
              <w:rPr>
                <w:rFonts w:ascii="Times New Roman" w:eastAsia="Times New Roman" w:hAnsi="Times New Roman" w:cs="Times New Roman"/>
                <w:color w:val="0D0D0D"/>
                <w:sz w:val="20"/>
                <w:szCs w:val="20"/>
              </w:rPr>
              <w:t>clinical outcome assessment (COA)</w:t>
            </w:r>
            <w:r w:rsidRPr="000B4F3B">
              <w:rPr>
                <w:rFonts w:ascii="Times New Roman" w:eastAsia="Times New Roman" w:hAnsi="Times New Roman" w:cs="Times New Roman"/>
                <w:sz w:val="20"/>
                <w:szCs w:val="20"/>
              </w:rPr>
              <w:t xml:space="preserve"> that is intended to reflect an </w:t>
            </w:r>
            <w:hyperlink r:id="rId8" w:tgtFrame="_blank" w:history="1">
              <w:r w:rsidRPr="000B4F3B">
                <w:rPr>
                  <w:rFonts w:ascii="Times New Roman" w:eastAsia="Times New Roman" w:hAnsi="Times New Roman" w:cs="Times New Roman"/>
                  <w:sz w:val="20"/>
                  <w:szCs w:val="20"/>
                </w:rPr>
                <w:t>outcome</w:t>
              </w:r>
            </w:hyperlink>
            <w:r w:rsidRPr="000B4F3B">
              <w:rPr>
                <w:rFonts w:ascii="Times New Roman" w:eastAsia="Times New Roman" w:hAnsi="Times New Roman" w:cs="Times New Roman"/>
                <w:sz w:val="20"/>
                <w:szCs w:val="20"/>
              </w:rPr>
              <w:t xml:space="preserve"> of interest that is </w:t>
            </w:r>
            <w:r w:rsidRPr="000B4F3B">
              <w:rPr>
                <w:rFonts w:ascii="Times New Roman" w:eastAsia="Times New Roman" w:hAnsi="Times New Roman" w:cs="Times New Roman"/>
                <w:color w:val="0D0D0D"/>
                <w:sz w:val="20"/>
                <w:szCs w:val="20"/>
              </w:rPr>
              <w:t xml:space="preserve">collected and measured through connected digital health technologies (DHT) or biometric monitoring technologies (BioMeTs) in the clinical trial setting. </w:t>
            </w:r>
          </w:p>
        </w:tc>
        <w:tc>
          <w:tcPr>
            <w:tcW w:w="1761" w:type="dxa"/>
            <w:shd w:val="clear" w:color="auto" w:fill="auto"/>
          </w:tcPr>
          <w:p w14:paraId="5AA03C9F" w14:textId="77777777" w:rsidR="00782FEA" w:rsidRPr="000B4F3B" w:rsidRDefault="00782FEA" w:rsidP="00021A55">
            <w:pPr>
              <w:keepNext/>
              <w:keepLines/>
              <w:spacing w:before="60" w:after="60" w:line="240" w:lineRule="auto"/>
              <w:rPr>
                <w:rFonts w:ascii="Times New Roman" w:eastAsia="MS Mincho" w:hAnsi="Times New Roman" w:cs="Times New Roman"/>
                <w:sz w:val="20"/>
                <w:szCs w:val="20"/>
              </w:rPr>
            </w:pPr>
            <w:r w:rsidRPr="000B4F3B">
              <w:rPr>
                <w:rFonts w:ascii="Times New Roman" w:eastAsia="MS Mincho" w:hAnsi="Times New Roman" w:cs="Times New Roman"/>
                <w:sz w:val="20"/>
                <w:szCs w:val="20"/>
              </w:rPr>
              <w:t>TransCelerate</w:t>
            </w:r>
          </w:p>
        </w:tc>
      </w:tr>
      <w:tr w:rsidR="00782FEA" w:rsidRPr="000B4F3B" w14:paraId="61D9CCFA" w14:textId="77777777" w:rsidTr="00021A55">
        <w:trPr>
          <w:cantSplit/>
        </w:trPr>
        <w:tc>
          <w:tcPr>
            <w:tcW w:w="2364" w:type="dxa"/>
            <w:vMerge/>
            <w:shd w:val="clear" w:color="auto" w:fill="auto"/>
          </w:tcPr>
          <w:p w14:paraId="22C9A8E7" w14:textId="77777777" w:rsidR="00782FEA" w:rsidRPr="000B4F3B" w:rsidRDefault="00782FEA" w:rsidP="00021A55">
            <w:pPr>
              <w:snapToGrid w:val="0"/>
              <w:spacing w:before="240" w:after="240" w:line="240" w:lineRule="auto"/>
              <w:rPr>
                <w:rFonts w:ascii="Times New Roman" w:eastAsia="Arial" w:hAnsi="Times New Roman" w:cs="Times New Roman"/>
                <w:color w:val="000000"/>
                <w:sz w:val="20"/>
                <w:szCs w:val="20"/>
              </w:rPr>
            </w:pPr>
          </w:p>
        </w:tc>
        <w:tc>
          <w:tcPr>
            <w:tcW w:w="5461" w:type="dxa"/>
            <w:shd w:val="clear" w:color="auto" w:fill="auto"/>
          </w:tcPr>
          <w:p w14:paraId="2D6163CF" w14:textId="77777777" w:rsidR="00782FEA" w:rsidRPr="000B4F3B" w:rsidRDefault="00782FEA" w:rsidP="00021A55">
            <w:pPr>
              <w:spacing w:before="60" w:after="60" w:line="240" w:lineRule="auto"/>
              <w:rPr>
                <w:rFonts w:ascii="Times New Roman" w:eastAsia="MS Mincho" w:hAnsi="Times New Roman" w:cs="Times New Roman"/>
                <w:color w:val="0D0D0D"/>
                <w:sz w:val="20"/>
                <w:szCs w:val="20"/>
              </w:rPr>
            </w:pPr>
            <w:r w:rsidRPr="000B4F3B">
              <w:rPr>
                <w:rFonts w:ascii="Times New Roman" w:eastAsia="MS Mincho" w:hAnsi="Times New Roman" w:cs="Times New Roman"/>
                <w:color w:val="0D0D0D"/>
                <w:sz w:val="20"/>
                <w:szCs w:val="20"/>
              </w:rPr>
              <w:t>Digital endpoints are defined as a precisely defined variable intended to reflect an outcome of interest that is statistically analyzable to address a particular research question derived from data captured with a DHTT.</w:t>
            </w:r>
            <w:r w:rsidRPr="000B4F3B">
              <w:rPr>
                <w:rFonts w:ascii="Times New Roman" w:hAnsi="Times New Roman" w:cs="Times New Roman"/>
                <w:color w:val="0D0D0D"/>
                <w:sz w:val="20"/>
                <w:szCs w:val="20"/>
              </w:rPr>
              <w:t xml:space="preserve">  </w:t>
            </w:r>
          </w:p>
        </w:tc>
        <w:tc>
          <w:tcPr>
            <w:tcW w:w="1761" w:type="dxa"/>
            <w:shd w:val="clear" w:color="auto" w:fill="auto"/>
          </w:tcPr>
          <w:p w14:paraId="0C3ED764" w14:textId="77777777" w:rsidR="00782FEA" w:rsidRPr="000B4F3B" w:rsidRDefault="00782FEA" w:rsidP="00021A55">
            <w:pPr>
              <w:spacing w:before="60" w:after="60" w:line="240" w:lineRule="auto"/>
              <w:rPr>
                <w:rFonts w:ascii="Times New Roman" w:eastAsia="MS Mincho" w:hAnsi="Times New Roman" w:cs="Times New Roman"/>
                <w:color w:val="0D0D0D"/>
                <w:sz w:val="20"/>
                <w:szCs w:val="20"/>
              </w:rPr>
            </w:pPr>
            <w:r w:rsidRPr="000B4F3B">
              <w:rPr>
                <w:rFonts w:ascii="Times New Roman" w:eastAsia="MS Mincho" w:hAnsi="Times New Roman" w:cs="Times New Roman"/>
                <w:color w:val="0D0D0D"/>
                <w:sz w:val="20"/>
                <w:szCs w:val="20"/>
              </w:rPr>
              <w:t>PhRMA</w:t>
            </w:r>
          </w:p>
        </w:tc>
      </w:tr>
      <w:tr w:rsidR="00782FEA" w:rsidRPr="000B4F3B" w14:paraId="74B9E851" w14:textId="77777777" w:rsidTr="00021A55">
        <w:trPr>
          <w:cantSplit/>
        </w:trPr>
        <w:tc>
          <w:tcPr>
            <w:tcW w:w="2364" w:type="dxa"/>
            <w:shd w:val="clear" w:color="auto" w:fill="auto"/>
          </w:tcPr>
          <w:p w14:paraId="7B996EC1" w14:textId="77777777" w:rsidR="00782FEA" w:rsidRPr="000B4F3B" w:rsidRDefault="00782FEA" w:rsidP="00021A55">
            <w:pPr>
              <w:spacing w:before="60" w:after="60" w:line="240" w:lineRule="auto"/>
              <w:rPr>
                <w:rFonts w:ascii="Times New Roman" w:hAnsi="Times New Roman" w:cs="Times New Roman"/>
                <w:color w:val="000000"/>
                <w:sz w:val="20"/>
                <w:szCs w:val="20"/>
              </w:rPr>
            </w:pPr>
            <w:r w:rsidRPr="000B4F3B">
              <w:rPr>
                <w:rFonts w:ascii="Times New Roman" w:eastAsia="MS Mincho" w:hAnsi="Times New Roman" w:cs="Times New Roman"/>
                <w:color w:val="000000"/>
                <w:sz w:val="20"/>
                <w:szCs w:val="20"/>
              </w:rPr>
              <w:t>Digital Health Technologies (DHT)</w:t>
            </w:r>
          </w:p>
        </w:tc>
        <w:tc>
          <w:tcPr>
            <w:tcW w:w="5461" w:type="dxa"/>
            <w:shd w:val="clear" w:color="auto" w:fill="auto"/>
          </w:tcPr>
          <w:p w14:paraId="483ADD72" w14:textId="77777777" w:rsidR="00782FEA" w:rsidRPr="000B4F3B" w:rsidRDefault="00782FEA" w:rsidP="00021A55">
            <w:pPr>
              <w:spacing w:before="60" w:after="60" w:line="240" w:lineRule="auto"/>
              <w:rPr>
                <w:rFonts w:ascii="Times New Roman" w:eastAsia="MS Mincho" w:hAnsi="Times New Roman" w:cs="Times New Roman"/>
                <w:color w:val="0D0D0D"/>
                <w:sz w:val="20"/>
                <w:szCs w:val="20"/>
              </w:rPr>
            </w:pPr>
            <w:r w:rsidRPr="000B4F3B">
              <w:rPr>
                <w:rFonts w:ascii="Times New Roman" w:eastAsia="MS Mincho" w:hAnsi="Times New Roman" w:cs="Times New Roman"/>
                <w:color w:val="0D0D0D"/>
                <w:sz w:val="20"/>
                <w:szCs w:val="20"/>
              </w:rPr>
              <w:t>DHTTs are defined as electronic technology tools intended for use in clinical investigations (inclusive of clinical trial and post-market settings) or clinical practice. They may, for example, capture data, actively or passively (e.g., measure data and interpret data), educate digitally, or serve as reminders.</w:t>
            </w:r>
            <w:r w:rsidRPr="000B4F3B">
              <w:rPr>
                <w:rFonts w:ascii="Times New Roman" w:hAnsi="Times New Roman" w:cs="Times New Roman"/>
                <w:color w:val="0D0D0D"/>
                <w:sz w:val="20"/>
                <w:szCs w:val="20"/>
              </w:rPr>
              <w:t xml:space="preserve">   </w:t>
            </w:r>
          </w:p>
        </w:tc>
        <w:tc>
          <w:tcPr>
            <w:tcW w:w="1761" w:type="dxa"/>
            <w:shd w:val="clear" w:color="auto" w:fill="auto"/>
          </w:tcPr>
          <w:p w14:paraId="154E37A8" w14:textId="77777777" w:rsidR="00782FEA" w:rsidRPr="000B4F3B" w:rsidRDefault="00782FEA" w:rsidP="00021A55">
            <w:pPr>
              <w:spacing w:before="60" w:after="60" w:line="240" w:lineRule="auto"/>
              <w:rPr>
                <w:rFonts w:ascii="Times New Roman" w:eastAsia="MS Mincho" w:hAnsi="Times New Roman" w:cs="Times New Roman"/>
                <w:sz w:val="20"/>
                <w:szCs w:val="20"/>
              </w:rPr>
            </w:pPr>
            <w:r w:rsidRPr="000B4F3B">
              <w:rPr>
                <w:rFonts w:ascii="Times New Roman" w:eastAsia="MS Mincho" w:hAnsi="Times New Roman" w:cs="Times New Roman"/>
                <w:sz w:val="20"/>
                <w:szCs w:val="20"/>
              </w:rPr>
              <w:t>PhRMA</w:t>
            </w:r>
          </w:p>
        </w:tc>
      </w:tr>
      <w:tr w:rsidR="00782FEA" w:rsidRPr="000B4F3B" w14:paraId="705817D1" w14:textId="77777777" w:rsidTr="00021A55">
        <w:trPr>
          <w:cantSplit/>
        </w:trPr>
        <w:tc>
          <w:tcPr>
            <w:tcW w:w="2364" w:type="dxa"/>
            <w:shd w:val="clear" w:color="auto" w:fill="auto"/>
          </w:tcPr>
          <w:p w14:paraId="1B1265C9" w14:textId="77777777" w:rsidR="00782FEA" w:rsidRPr="000B4F3B" w:rsidRDefault="00782FEA" w:rsidP="00021A55">
            <w:pPr>
              <w:spacing w:before="60" w:after="60" w:line="240" w:lineRule="auto"/>
              <w:rPr>
                <w:rFonts w:ascii="Times New Roman" w:eastAsia="MS Mincho" w:hAnsi="Times New Roman" w:cs="Times New Roman"/>
                <w:color w:val="000000"/>
                <w:sz w:val="20"/>
                <w:szCs w:val="20"/>
              </w:rPr>
            </w:pPr>
            <w:r w:rsidRPr="000B4F3B">
              <w:rPr>
                <w:rFonts w:ascii="Times New Roman" w:eastAsia="MS Mincho" w:hAnsi="Times New Roman" w:cs="Times New Roman"/>
                <w:sz w:val="20"/>
                <w:szCs w:val="20"/>
              </w:rPr>
              <w:t>Biometric Monitoring Technologies (</w:t>
            </w:r>
            <w:bookmarkStart w:id="0" w:name="_Hlk64660644"/>
            <w:r w:rsidRPr="000B4F3B">
              <w:rPr>
                <w:rFonts w:ascii="Times New Roman" w:eastAsia="MS Mincho" w:hAnsi="Times New Roman" w:cs="Times New Roman"/>
                <w:sz w:val="20"/>
                <w:szCs w:val="20"/>
              </w:rPr>
              <w:t>BioMeT</w:t>
            </w:r>
            <w:bookmarkEnd w:id="0"/>
            <w:r w:rsidRPr="000B4F3B">
              <w:rPr>
                <w:rFonts w:ascii="Times New Roman" w:eastAsia="MS Mincho" w:hAnsi="Times New Roman" w:cs="Times New Roman"/>
                <w:sz w:val="20"/>
                <w:szCs w:val="20"/>
              </w:rPr>
              <w:t>s)</w:t>
            </w:r>
          </w:p>
        </w:tc>
        <w:tc>
          <w:tcPr>
            <w:tcW w:w="5461" w:type="dxa"/>
            <w:shd w:val="clear" w:color="auto" w:fill="auto"/>
          </w:tcPr>
          <w:p w14:paraId="2BD79B53" w14:textId="77777777" w:rsidR="00782FEA" w:rsidRPr="000B4F3B" w:rsidRDefault="00782FEA" w:rsidP="00021A55">
            <w:pPr>
              <w:spacing w:before="60" w:after="60" w:line="240" w:lineRule="auto"/>
              <w:rPr>
                <w:rFonts w:ascii="Times New Roman" w:eastAsia="MS Mincho" w:hAnsi="Times New Roman" w:cs="Times New Roman"/>
                <w:color w:val="0D0D0D"/>
                <w:sz w:val="20"/>
                <w:szCs w:val="20"/>
              </w:rPr>
            </w:pPr>
            <w:r w:rsidRPr="000B4F3B">
              <w:rPr>
                <w:rFonts w:ascii="Times New Roman" w:eastAsia="MS Mincho" w:hAnsi="Times New Roman" w:cs="Times New Roman"/>
                <w:color w:val="0D0D0D"/>
                <w:sz w:val="20"/>
                <w:szCs w:val="20"/>
              </w:rPr>
              <w:t xml:space="preserve">Biometric monitoring technologies (BioMeTs) are defined as connected digital medicine tools, processing data captured by mobile sensors using algorithms to generate measures of behavioral and/or physiological function. </w:t>
            </w:r>
          </w:p>
        </w:tc>
        <w:tc>
          <w:tcPr>
            <w:tcW w:w="1761" w:type="dxa"/>
            <w:shd w:val="clear" w:color="auto" w:fill="auto"/>
          </w:tcPr>
          <w:p w14:paraId="096E87B0" w14:textId="77777777" w:rsidR="00782FEA" w:rsidRPr="000B4F3B" w:rsidRDefault="00782FEA" w:rsidP="00021A55">
            <w:pPr>
              <w:spacing w:before="60" w:after="60" w:line="240" w:lineRule="auto"/>
              <w:rPr>
                <w:rFonts w:ascii="Times New Roman" w:eastAsia="MS Mincho" w:hAnsi="Times New Roman" w:cs="Times New Roman"/>
                <w:sz w:val="20"/>
                <w:szCs w:val="20"/>
              </w:rPr>
            </w:pPr>
            <w:r w:rsidRPr="000B4F3B">
              <w:rPr>
                <w:rFonts w:ascii="Times New Roman" w:eastAsia="MS Mincho" w:hAnsi="Times New Roman" w:cs="Times New Roman"/>
                <w:sz w:val="20"/>
                <w:szCs w:val="20"/>
              </w:rPr>
              <w:t>(Goldsack, 2020)</w:t>
            </w:r>
          </w:p>
        </w:tc>
      </w:tr>
    </w:tbl>
    <w:p w14:paraId="7E96A58F" w14:textId="77777777" w:rsidR="00782FEA" w:rsidRPr="000B4F3B" w:rsidRDefault="00782FEA" w:rsidP="00782FEA">
      <w:pPr>
        <w:tabs>
          <w:tab w:val="left" w:pos="1950"/>
        </w:tabs>
        <w:snapToGrid w:val="0"/>
        <w:spacing w:after="240" w:line="240" w:lineRule="auto"/>
        <w:rPr>
          <w:rFonts w:ascii="Times New Roman" w:eastAsia="Arial" w:hAnsi="Times New Roman" w:cs="Times New Roman"/>
          <w:color w:val="000000"/>
          <w:sz w:val="20"/>
          <w:szCs w:val="20"/>
        </w:rPr>
      </w:pPr>
      <w:r w:rsidRPr="000B4F3B">
        <w:rPr>
          <w:rFonts w:ascii="Times New Roman" w:eastAsia="Arial" w:hAnsi="Times New Roman" w:cs="Times New Roman"/>
          <w:color w:val="000000"/>
          <w:sz w:val="20"/>
          <w:szCs w:val="20"/>
        </w:rPr>
        <w:t>BioMeTs = biometric monitoring technologies; COA = clinical outcome assessment; DHT = digital health technology; DHTT = DHT tool; EMA Q&amp;A = European Medicines Agency Question and Answer; FDA – BEST = United Stated Food and Drug Administration Biomarkers, Endpoints, and other Tools; NDE = novel digital endpoint; PerfO = performance outcome; PhRMA = Pharmaceutical Research and Manufacturers of America; PRO = patient-reported outcome.</w:t>
      </w:r>
    </w:p>
    <w:p w14:paraId="745A49DE" w14:textId="77777777" w:rsidR="00782FEA" w:rsidRDefault="00782FEA" w:rsidP="00782FEA"/>
    <w:p w14:paraId="2CB65FAF" w14:textId="77777777" w:rsidR="00782FEA" w:rsidRDefault="00782FEA" w:rsidP="00782FEA">
      <w:pPr>
        <w:keepLines/>
        <w:snapToGrid w:val="0"/>
        <w:spacing w:before="240" w:after="240" w:line="480" w:lineRule="auto"/>
        <w:rPr>
          <w:rFonts w:ascii="Times New Roman" w:hAnsi="Times New Roman" w:cs="Times New Roman"/>
          <w:sz w:val="24"/>
          <w:szCs w:val="24"/>
          <w:shd w:val="clear" w:color="auto" w:fill="FFFFFF"/>
        </w:rPr>
      </w:pPr>
    </w:p>
    <w:sectPr w:rsidR="00782FEA" w:rsidSect="00167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748A2"/>
    <w:multiLevelType w:val="hybridMultilevel"/>
    <w:tmpl w:val="4E2A3B6E"/>
    <w:lvl w:ilvl="0" w:tplc="F3A465AC">
      <w:start w:val="1"/>
      <w:numFmt w:val="bullet"/>
      <w:lvlText w:val=""/>
      <w:lvlJc w:val="left"/>
      <w:pPr>
        <w:tabs>
          <w:tab w:val="num" w:pos="720"/>
        </w:tabs>
        <w:ind w:left="720" w:hanging="360"/>
      </w:pPr>
      <w:rPr>
        <w:rFonts w:ascii="Symbol" w:hAnsi="Symbol" w:hint="default"/>
        <w:sz w:val="20"/>
      </w:rPr>
    </w:lvl>
    <w:lvl w:ilvl="1" w:tplc="F31281E6">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rPr>
        <w:rFonts w:hint="default"/>
        <w:sz w:val="20"/>
      </w:rPr>
    </w:lvl>
    <w:lvl w:ilvl="3" w:tplc="03D2CF36" w:tentative="1">
      <w:start w:val="1"/>
      <w:numFmt w:val="bullet"/>
      <w:lvlText w:val=""/>
      <w:lvlJc w:val="left"/>
      <w:pPr>
        <w:tabs>
          <w:tab w:val="num" w:pos="2880"/>
        </w:tabs>
        <w:ind w:left="2880" w:hanging="360"/>
      </w:pPr>
      <w:rPr>
        <w:rFonts w:ascii="Wingdings" w:hAnsi="Wingdings" w:hint="default"/>
        <w:sz w:val="20"/>
      </w:rPr>
    </w:lvl>
    <w:lvl w:ilvl="4" w:tplc="F5DEDDAA" w:tentative="1">
      <w:start w:val="1"/>
      <w:numFmt w:val="bullet"/>
      <w:lvlText w:val=""/>
      <w:lvlJc w:val="left"/>
      <w:pPr>
        <w:tabs>
          <w:tab w:val="num" w:pos="3600"/>
        </w:tabs>
        <w:ind w:left="3600" w:hanging="360"/>
      </w:pPr>
      <w:rPr>
        <w:rFonts w:ascii="Wingdings" w:hAnsi="Wingdings" w:hint="default"/>
        <w:sz w:val="20"/>
      </w:rPr>
    </w:lvl>
    <w:lvl w:ilvl="5" w:tplc="54F0F5C0" w:tentative="1">
      <w:start w:val="1"/>
      <w:numFmt w:val="bullet"/>
      <w:lvlText w:val=""/>
      <w:lvlJc w:val="left"/>
      <w:pPr>
        <w:tabs>
          <w:tab w:val="num" w:pos="4320"/>
        </w:tabs>
        <w:ind w:left="4320" w:hanging="360"/>
      </w:pPr>
      <w:rPr>
        <w:rFonts w:ascii="Wingdings" w:hAnsi="Wingdings" w:hint="default"/>
        <w:sz w:val="20"/>
      </w:rPr>
    </w:lvl>
    <w:lvl w:ilvl="6" w:tplc="5C2692F8" w:tentative="1">
      <w:start w:val="1"/>
      <w:numFmt w:val="bullet"/>
      <w:lvlText w:val=""/>
      <w:lvlJc w:val="left"/>
      <w:pPr>
        <w:tabs>
          <w:tab w:val="num" w:pos="5040"/>
        </w:tabs>
        <w:ind w:left="5040" w:hanging="360"/>
      </w:pPr>
      <w:rPr>
        <w:rFonts w:ascii="Wingdings" w:hAnsi="Wingdings" w:hint="default"/>
        <w:sz w:val="20"/>
      </w:rPr>
    </w:lvl>
    <w:lvl w:ilvl="7" w:tplc="D3EED448" w:tentative="1">
      <w:start w:val="1"/>
      <w:numFmt w:val="bullet"/>
      <w:lvlText w:val=""/>
      <w:lvlJc w:val="left"/>
      <w:pPr>
        <w:tabs>
          <w:tab w:val="num" w:pos="5760"/>
        </w:tabs>
        <w:ind w:left="5760" w:hanging="360"/>
      </w:pPr>
      <w:rPr>
        <w:rFonts w:ascii="Wingdings" w:hAnsi="Wingdings" w:hint="default"/>
        <w:sz w:val="20"/>
      </w:rPr>
    </w:lvl>
    <w:lvl w:ilvl="8" w:tplc="48A41BE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B1AA5"/>
    <w:multiLevelType w:val="hybridMultilevel"/>
    <w:tmpl w:val="C23299EE"/>
    <w:lvl w:ilvl="0" w:tplc="D51646FE">
      <w:start w:val="1"/>
      <w:numFmt w:val="bullet"/>
      <w:lvlText w:val=""/>
      <w:lvlJc w:val="left"/>
      <w:pPr>
        <w:tabs>
          <w:tab w:val="num" w:pos="1440"/>
        </w:tabs>
        <w:ind w:left="1440" w:hanging="360"/>
      </w:pPr>
      <w:rPr>
        <w:rFonts w:ascii="Symbol" w:hAnsi="Symbol" w:hint="default"/>
        <w:sz w:val="20"/>
      </w:rPr>
    </w:lvl>
    <w:lvl w:ilvl="1" w:tplc="D5582774" w:tentative="1">
      <w:start w:val="1"/>
      <w:numFmt w:val="bullet"/>
      <w:lvlText w:val="o"/>
      <w:lvlJc w:val="left"/>
      <w:pPr>
        <w:tabs>
          <w:tab w:val="num" w:pos="2160"/>
        </w:tabs>
        <w:ind w:left="2160" w:hanging="360"/>
      </w:pPr>
      <w:rPr>
        <w:rFonts w:ascii="Courier New" w:hAnsi="Courier New" w:hint="default"/>
        <w:sz w:val="20"/>
      </w:rPr>
    </w:lvl>
    <w:lvl w:ilvl="2" w:tplc="05F03876" w:tentative="1">
      <w:start w:val="1"/>
      <w:numFmt w:val="bullet"/>
      <w:lvlText w:val=""/>
      <w:lvlJc w:val="left"/>
      <w:pPr>
        <w:tabs>
          <w:tab w:val="num" w:pos="2880"/>
        </w:tabs>
        <w:ind w:left="2880" w:hanging="360"/>
      </w:pPr>
      <w:rPr>
        <w:rFonts w:ascii="Wingdings" w:hAnsi="Wingdings" w:hint="default"/>
        <w:sz w:val="20"/>
      </w:rPr>
    </w:lvl>
    <w:lvl w:ilvl="3" w:tplc="585EA304" w:tentative="1">
      <w:start w:val="1"/>
      <w:numFmt w:val="bullet"/>
      <w:lvlText w:val=""/>
      <w:lvlJc w:val="left"/>
      <w:pPr>
        <w:tabs>
          <w:tab w:val="num" w:pos="3600"/>
        </w:tabs>
        <w:ind w:left="3600" w:hanging="360"/>
      </w:pPr>
      <w:rPr>
        <w:rFonts w:ascii="Wingdings" w:hAnsi="Wingdings" w:hint="default"/>
        <w:sz w:val="20"/>
      </w:rPr>
    </w:lvl>
    <w:lvl w:ilvl="4" w:tplc="5D446694" w:tentative="1">
      <w:start w:val="1"/>
      <w:numFmt w:val="bullet"/>
      <w:lvlText w:val=""/>
      <w:lvlJc w:val="left"/>
      <w:pPr>
        <w:tabs>
          <w:tab w:val="num" w:pos="4320"/>
        </w:tabs>
        <w:ind w:left="4320" w:hanging="360"/>
      </w:pPr>
      <w:rPr>
        <w:rFonts w:ascii="Wingdings" w:hAnsi="Wingdings" w:hint="default"/>
        <w:sz w:val="20"/>
      </w:rPr>
    </w:lvl>
    <w:lvl w:ilvl="5" w:tplc="C31455D8" w:tentative="1">
      <w:start w:val="1"/>
      <w:numFmt w:val="bullet"/>
      <w:lvlText w:val=""/>
      <w:lvlJc w:val="left"/>
      <w:pPr>
        <w:tabs>
          <w:tab w:val="num" w:pos="5040"/>
        </w:tabs>
        <w:ind w:left="5040" w:hanging="360"/>
      </w:pPr>
      <w:rPr>
        <w:rFonts w:ascii="Wingdings" w:hAnsi="Wingdings" w:hint="default"/>
        <w:sz w:val="20"/>
      </w:rPr>
    </w:lvl>
    <w:lvl w:ilvl="6" w:tplc="9B0ED0B6" w:tentative="1">
      <w:start w:val="1"/>
      <w:numFmt w:val="bullet"/>
      <w:lvlText w:val=""/>
      <w:lvlJc w:val="left"/>
      <w:pPr>
        <w:tabs>
          <w:tab w:val="num" w:pos="5760"/>
        </w:tabs>
        <w:ind w:left="5760" w:hanging="360"/>
      </w:pPr>
      <w:rPr>
        <w:rFonts w:ascii="Wingdings" w:hAnsi="Wingdings" w:hint="default"/>
        <w:sz w:val="20"/>
      </w:rPr>
    </w:lvl>
    <w:lvl w:ilvl="7" w:tplc="647ECB06" w:tentative="1">
      <w:start w:val="1"/>
      <w:numFmt w:val="bullet"/>
      <w:lvlText w:val=""/>
      <w:lvlJc w:val="left"/>
      <w:pPr>
        <w:tabs>
          <w:tab w:val="num" w:pos="6480"/>
        </w:tabs>
        <w:ind w:left="6480" w:hanging="360"/>
      </w:pPr>
      <w:rPr>
        <w:rFonts w:ascii="Wingdings" w:hAnsi="Wingdings" w:hint="default"/>
        <w:sz w:val="20"/>
      </w:rPr>
    </w:lvl>
    <w:lvl w:ilvl="8" w:tplc="377047DE"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EA"/>
    <w:rsid w:val="00782FEA"/>
    <w:rsid w:val="00BF63FE"/>
    <w:rsid w:val="00FD0C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FF11"/>
  <w15:chartTrackingRefBased/>
  <w15:docId w15:val="{4BA904FF-7B1D-4D74-9F8A-12786118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FEA"/>
    <w:pPr>
      <w:spacing w:line="312" w:lineRule="auto"/>
    </w:pPr>
    <w:rPr>
      <w:rFonts w:ascii="Century Gothic" w:eastAsia="SimSun" w:hAnsi="Century Gothic" w:cs="Cordia New"/>
      <w:sz w:val="21"/>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338448/def-item/outcome/" TargetMode="External"/><Relationship Id="rId3" Type="http://schemas.openxmlformats.org/officeDocument/2006/relationships/settings" Target="settings.xml"/><Relationship Id="rId7" Type="http://schemas.openxmlformats.org/officeDocument/2006/relationships/hyperlink" Target="https://www.fda.gov/downloads/drugs/developmentapprovalprocess/drugdevelopmenttoolsqualificationprogram/ucm51044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338448/def-item/assessment/" TargetMode="External"/><Relationship Id="rId5" Type="http://schemas.openxmlformats.org/officeDocument/2006/relationships/hyperlink" Target="https://www.ncbi.nlm.nih.gov/books/NBK338448/def-item/outc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1194</Words>
  <Characters>6806</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Shelly</cp:lastModifiedBy>
  <cp:revision>1</cp:revision>
  <dcterms:created xsi:type="dcterms:W3CDTF">2021-06-23T08:48:00Z</dcterms:created>
  <dcterms:modified xsi:type="dcterms:W3CDTF">2021-06-23T08:49:00Z</dcterms:modified>
</cp:coreProperties>
</file>