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5B1D" w14:textId="60C4E479" w:rsidR="004F6BDB" w:rsidRPr="004F6BDB" w:rsidRDefault="004F6BDB" w:rsidP="004F6BDB">
      <w:pPr>
        <w:pStyle w:val="dfigcaption"/>
      </w:pPr>
      <w:bookmarkStart w:id="0" w:name="figS1"/>
      <w:r w:rsidRPr="004F6BDB">
        <w:rPr>
          <w:b/>
          <w:bCs/>
        </w:rPr>
        <w:t>Figure S1</w:t>
      </w:r>
      <w:bookmarkEnd w:id="0"/>
      <w:r w:rsidRPr="004F6BDB">
        <w:rPr>
          <w:b/>
          <w:bCs/>
        </w:rPr>
        <w:t>.</w:t>
      </w:r>
      <w:r w:rsidRPr="004F6BDB">
        <w:t xml:space="preserve"> Growth and heterocyst differentiation. </w:t>
      </w:r>
      <w:r w:rsidRPr="004F6BDB">
        <w:rPr>
          <w:b/>
          <w:bCs/>
        </w:rPr>
        <w:t>A</w:t>
      </w:r>
      <w:r w:rsidRPr="004F6BDB">
        <w:t xml:space="preserve"> The growth of </w:t>
      </w:r>
      <w:r w:rsidRPr="004F6BDB">
        <w:rPr>
          <w:i/>
          <w:iCs/>
        </w:rPr>
        <w:t>A. variabilis</w:t>
      </w:r>
      <w:r w:rsidRPr="004F6BDB">
        <w:t xml:space="preserve"> WT and </w:t>
      </w:r>
      <w:r w:rsidRPr="004F6BDB">
        <w:rPr>
          <w:i/>
          <w:iCs/>
        </w:rPr>
        <w:t>cphA1</w:t>
      </w:r>
      <w:r w:rsidRPr="004F6BDB">
        <w:t xml:space="preserve"> mutant filaments spotted on solid AA/4 medium (NO3</w:t>
      </w:r>
      <w:r w:rsidRPr="004F6BDB">
        <w:rPr>
          <w:vertAlign w:val="superscript"/>
        </w:rPr>
        <w:t>–</w:t>
      </w:r>
      <w:r w:rsidRPr="004F6BDB">
        <w:t>) and medium lacking a combined nitrogen source (N</w:t>
      </w:r>
      <w:r w:rsidRPr="004F6BDB">
        <w:rPr>
          <w:vertAlign w:val="subscript"/>
        </w:rPr>
        <w:t>2</w:t>
      </w:r>
      <w:r w:rsidRPr="004F6BDB">
        <w:t xml:space="preserve">) after 7 days of incubation. </w:t>
      </w:r>
      <w:r w:rsidRPr="004F6BDB">
        <w:rPr>
          <w:b/>
          <w:bCs/>
        </w:rPr>
        <w:t>B</w:t>
      </w:r>
      <w:r w:rsidRPr="004F6BDB">
        <w:t xml:space="preserve"> Light micrographs of WT and mutant </w:t>
      </w:r>
      <w:r w:rsidRPr="004F6BDB">
        <w:rPr>
          <w:i/>
          <w:iCs/>
        </w:rPr>
        <w:t>cphA1</w:t>
      </w:r>
      <w:r w:rsidRPr="004F6BDB">
        <w:t xml:space="preserve"> showing the heterocyst differentiation after 72 h of nitrogen step-down. Right panels show the magnified view of heterocyst, indicated by square. Red arrow indicates the </w:t>
      </w:r>
      <w:proofErr w:type="spellStart"/>
      <w:r w:rsidRPr="004F6BDB">
        <w:t>cyanophycin</w:t>
      </w:r>
      <w:proofErr w:type="spellEnd"/>
      <w:r w:rsidRPr="004F6BDB">
        <w:t xml:space="preserve"> polar nodule. Bars, 10 µm.</w:t>
      </w:r>
      <w:bookmarkStart w:id="1" w:name="Line_manuscript_154"/>
      <w:bookmarkEnd w:id="1"/>
    </w:p>
    <w:p w14:paraId="45DD008D" w14:textId="77777777" w:rsidR="00944ECE" w:rsidRDefault="004F6BDB"/>
    <w:sectPr w:rsidR="00944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DB"/>
    <w:rsid w:val="00356A05"/>
    <w:rsid w:val="004F6BDB"/>
    <w:rsid w:val="006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AA8375"/>
  <w15:chartTrackingRefBased/>
  <w15:docId w15:val="{F1BF9595-4F76-49AE-B698-360D51B4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igcaption">
    <w:name w:val="dfigcaption"/>
    <w:basedOn w:val="Standard"/>
    <w:uiPriority w:val="99"/>
    <w:rsid w:val="004F6BDB"/>
    <w:pPr>
      <w:spacing w:before="120" w:after="120" w:line="240" w:lineRule="auto"/>
      <w:ind w:firstLine="288"/>
    </w:pPr>
    <w:rPr>
      <w:rFonts w:ascii="Calibri" w:eastAsia="Times New Roman" w:hAnsi="Calibri" w:cs="Calibri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Grieder</dc:creator>
  <cp:keywords/>
  <dc:description/>
  <cp:lastModifiedBy>Sonja Grieder</cp:lastModifiedBy>
  <cp:revision>1</cp:revision>
  <dcterms:created xsi:type="dcterms:W3CDTF">2021-06-29T14:40:00Z</dcterms:created>
  <dcterms:modified xsi:type="dcterms:W3CDTF">2021-06-29T14:43:00Z</dcterms:modified>
</cp:coreProperties>
</file>